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5.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8.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9.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0.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1.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2.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3.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4.xml" ContentType="application/vnd.openxmlformats-officedocument.drawingml.chart+xml"/>
  <Override PartName="/word/charts/style25.xml" ContentType="application/vnd.ms-office.chartstyle+xml"/>
  <Override PartName="/word/charts/colors2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91DDE" w14:textId="4DC65CA1" w:rsidR="00611550" w:rsidRDefault="00611550" w:rsidP="004F74A6">
      <w:pPr>
        <w:spacing w:after="0" w:line="480" w:lineRule="auto"/>
        <w:rPr>
          <w:rFonts w:cs="Times New Roman"/>
          <w:b/>
          <w:bCs/>
          <w:szCs w:val="24"/>
        </w:rPr>
      </w:pPr>
    </w:p>
    <w:sdt>
      <w:sdtPr>
        <w:rPr>
          <w:rFonts w:cs="Times New Roman"/>
          <w:b/>
          <w:bCs/>
          <w:szCs w:val="24"/>
        </w:rPr>
        <w:id w:val="-49846302"/>
        <w:docPartObj>
          <w:docPartGallery w:val="Table of Contents"/>
          <w:docPartUnique/>
        </w:docPartObj>
      </w:sdtPr>
      <w:sdtEndPr>
        <w:rPr>
          <w:b w:val="0"/>
          <w:bCs w:val="0"/>
          <w:noProof/>
        </w:rPr>
      </w:sdtEndPr>
      <w:sdtContent>
        <w:p w14:paraId="4AA0D414" w14:textId="18F6D119" w:rsidR="000E252A" w:rsidRPr="000E252A" w:rsidRDefault="000E252A" w:rsidP="000E252A">
          <w:pPr>
            <w:spacing w:after="0" w:line="480" w:lineRule="auto"/>
            <w:jc w:val="center"/>
            <w:rPr>
              <w:color w:val="1C1C1C"/>
              <w:szCs w:val="24"/>
              <w:lang w:val="en-US"/>
            </w:rPr>
          </w:pPr>
          <w:r w:rsidRPr="000E252A">
            <w:rPr>
              <w:color w:val="1C1C1C"/>
              <w:szCs w:val="24"/>
              <w:lang w:val="en-US"/>
            </w:rPr>
            <w:t>UNIVERSITY OF OKLAHOMA</w:t>
          </w:r>
        </w:p>
        <w:p w14:paraId="16F4E354" w14:textId="77777777" w:rsidR="000E252A" w:rsidRPr="000E252A" w:rsidRDefault="000E252A" w:rsidP="000E252A">
          <w:pPr>
            <w:spacing w:after="0" w:line="480" w:lineRule="auto"/>
            <w:jc w:val="center"/>
            <w:rPr>
              <w:color w:val="1C1C1C"/>
              <w:szCs w:val="24"/>
              <w:lang w:val="en-US"/>
            </w:rPr>
          </w:pPr>
          <w:r w:rsidRPr="000E252A">
            <w:rPr>
              <w:color w:val="1C1C1C"/>
              <w:szCs w:val="24"/>
              <w:lang w:val="en-US"/>
            </w:rPr>
            <w:t>GRADUATE COLLEGE</w:t>
          </w:r>
        </w:p>
        <w:p w14:paraId="4BC1BBBF" w14:textId="77777777" w:rsidR="000E252A" w:rsidRPr="000E252A" w:rsidRDefault="000E252A" w:rsidP="000E252A">
          <w:pPr>
            <w:spacing w:after="0" w:line="480" w:lineRule="auto"/>
            <w:jc w:val="center"/>
            <w:rPr>
              <w:color w:val="1C1C1C"/>
              <w:szCs w:val="24"/>
              <w:lang w:val="en-US"/>
            </w:rPr>
          </w:pPr>
        </w:p>
        <w:p w14:paraId="28B1A5F5" w14:textId="77777777" w:rsidR="000E252A" w:rsidRPr="000E252A" w:rsidRDefault="000E252A" w:rsidP="000E252A">
          <w:pPr>
            <w:spacing w:after="0" w:line="480" w:lineRule="auto"/>
            <w:jc w:val="center"/>
            <w:rPr>
              <w:color w:val="1C1C1C"/>
              <w:szCs w:val="24"/>
              <w:lang w:val="en-US"/>
            </w:rPr>
          </w:pPr>
        </w:p>
        <w:p w14:paraId="43E52834" w14:textId="4FB37FF2" w:rsidR="009B283A" w:rsidRDefault="009B283A" w:rsidP="000E252A">
          <w:pPr>
            <w:spacing w:after="0" w:line="480" w:lineRule="auto"/>
            <w:jc w:val="center"/>
            <w:rPr>
              <w:szCs w:val="24"/>
              <w:lang w:val="en-US"/>
            </w:rPr>
          </w:pPr>
          <w:r>
            <w:rPr>
              <w:szCs w:val="24"/>
              <w:lang w:val="en-US"/>
            </w:rPr>
            <w:t xml:space="preserve">DROP PENETRATION </w:t>
          </w:r>
          <w:r w:rsidRPr="00DA3048">
            <w:rPr>
              <w:szCs w:val="24"/>
              <w:lang w:val="en-US"/>
            </w:rPr>
            <w:t>MEAS</w:t>
          </w:r>
          <w:r w:rsidR="00DA3048" w:rsidRPr="00903D53">
            <w:rPr>
              <w:szCs w:val="24"/>
              <w:lang w:val="en-US"/>
            </w:rPr>
            <w:t>UREMENT</w:t>
          </w:r>
          <w:r w:rsidRPr="00DA3048">
            <w:rPr>
              <w:szCs w:val="24"/>
              <w:lang w:val="en-US"/>
            </w:rPr>
            <w:t xml:space="preserve"> OF Z</w:t>
          </w:r>
          <w:r w:rsidR="00DA3048" w:rsidRPr="00903D53">
            <w:rPr>
              <w:szCs w:val="24"/>
              <w:lang w:val="en-US"/>
            </w:rPr>
            <w:t>n</w:t>
          </w:r>
          <w:r w:rsidRPr="00DA3048">
            <w:rPr>
              <w:szCs w:val="24"/>
              <w:lang w:val="en-US"/>
            </w:rPr>
            <w:t>O AND T</w:t>
          </w:r>
          <w:r w:rsidR="00DA3048" w:rsidRPr="00903D53">
            <w:rPr>
              <w:szCs w:val="24"/>
              <w:lang w:val="en-US"/>
            </w:rPr>
            <w:t>i</w:t>
          </w:r>
          <w:r w:rsidRPr="00DA3048">
            <w:rPr>
              <w:szCs w:val="24"/>
              <w:lang w:val="en-US"/>
            </w:rPr>
            <w:t>O</w:t>
          </w:r>
          <w:r w:rsidRPr="00DA3048">
            <w:rPr>
              <w:szCs w:val="24"/>
              <w:vertAlign w:val="subscript"/>
              <w:lang w:val="en-US"/>
            </w:rPr>
            <w:t>2</w:t>
          </w:r>
          <w:r w:rsidRPr="00DA3048">
            <w:rPr>
              <w:szCs w:val="24"/>
              <w:lang w:val="en-US"/>
            </w:rPr>
            <w:t xml:space="preserve"> </w:t>
          </w:r>
        </w:p>
        <w:p w14:paraId="05F47425" w14:textId="77777777" w:rsidR="009F34F4" w:rsidRDefault="009B283A" w:rsidP="000E252A">
          <w:pPr>
            <w:spacing w:after="0" w:line="480" w:lineRule="auto"/>
            <w:jc w:val="center"/>
            <w:rPr>
              <w:szCs w:val="24"/>
              <w:lang w:val="en-US"/>
            </w:rPr>
          </w:pPr>
          <w:r>
            <w:rPr>
              <w:szCs w:val="24"/>
              <w:lang w:val="en-US"/>
            </w:rPr>
            <w:t xml:space="preserve">NANOPARTICLES FOR POTENTIAL </w:t>
          </w:r>
          <w:r w:rsidR="003C5249">
            <w:rPr>
              <w:szCs w:val="24"/>
              <w:lang w:val="en-US"/>
            </w:rPr>
            <w:t xml:space="preserve">ANTIBACTERIAL </w:t>
          </w:r>
        </w:p>
        <w:p w14:paraId="2823DCB4" w14:textId="3557D789" w:rsidR="000E252A" w:rsidRPr="000E252A" w:rsidRDefault="009B283A" w:rsidP="000E252A">
          <w:pPr>
            <w:spacing w:after="0" w:line="480" w:lineRule="auto"/>
            <w:jc w:val="center"/>
            <w:rPr>
              <w:color w:val="1C1C1C"/>
              <w:szCs w:val="24"/>
              <w:lang w:val="en-US"/>
            </w:rPr>
          </w:pPr>
          <w:r>
            <w:rPr>
              <w:szCs w:val="24"/>
              <w:lang w:val="en-US"/>
            </w:rPr>
            <w:t>APPLICATIONS IN DENTAL ADHESIVES</w:t>
          </w:r>
          <w:r w:rsidRPr="009B283A" w:rsidDel="009B283A">
            <w:rPr>
              <w:szCs w:val="24"/>
              <w:lang w:val="en-US"/>
            </w:rPr>
            <w:t xml:space="preserve"> </w:t>
          </w:r>
        </w:p>
        <w:p w14:paraId="02D6B63E" w14:textId="5897268B" w:rsidR="000E252A" w:rsidRDefault="000E252A" w:rsidP="000E252A">
          <w:pPr>
            <w:spacing w:after="0" w:line="480" w:lineRule="auto"/>
            <w:jc w:val="center"/>
            <w:rPr>
              <w:color w:val="1C1C1C"/>
              <w:szCs w:val="24"/>
              <w:lang w:val="en-US"/>
            </w:rPr>
          </w:pPr>
        </w:p>
        <w:p w14:paraId="39AE81A8" w14:textId="77777777" w:rsidR="009B283A" w:rsidRPr="000E252A" w:rsidRDefault="009B283A" w:rsidP="000E252A">
          <w:pPr>
            <w:spacing w:after="0" w:line="480" w:lineRule="auto"/>
            <w:jc w:val="center"/>
            <w:rPr>
              <w:color w:val="1C1C1C"/>
              <w:szCs w:val="24"/>
              <w:lang w:val="en-US"/>
            </w:rPr>
          </w:pPr>
        </w:p>
        <w:p w14:paraId="021A1BA1" w14:textId="77777777" w:rsidR="000E252A" w:rsidRPr="000E252A" w:rsidRDefault="000E252A" w:rsidP="000E252A">
          <w:pPr>
            <w:spacing w:after="0" w:line="480" w:lineRule="auto"/>
            <w:jc w:val="center"/>
            <w:rPr>
              <w:color w:val="1C1C1C"/>
              <w:szCs w:val="24"/>
              <w:lang w:val="en-US"/>
            </w:rPr>
          </w:pPr>
          <w:r w:rsidRPr="000E252A">
            <w:rPr>
              <w:color w:val="1C1C1C"/>
              <w:szCs w:val="24"/>
              <w:lang w:val="en-US"/>
            </w:rPr>
            <w:t>A THESIS</w:t>
          </w:r>
        </w:p>
        <w:p w14:paraId="3EA29E52" w14:textId="77777777" w:rsidR="000E252A" w:rsidRPr="000E252A" w:rsidRDefault="000E252A" w:rsidP="000E252A">
          <w:pPr>
            <w:spacing w:after="0" w:line="480" w:lineRule="auto"/>
            <w:jc w:val="center"/>
            <w:rPr>
              <w:color w:val="1C1C1C"/>
              <w:szCs w:val="24"/>
              <w:lang w:val="en-US"/>
            </w:rPr>
          </w:pPr>
          <w:r w:rsidRPr="000E252A">
            <w:rPr>
              <w:color w:val="1C1C1C"/>
              <w:szCs w:val="24"/>
              <w:lang w:val="en-US"/>
            </w:rPr>
            <w:t>SUBMITTED TO THE GRADUATE FACULTY</w:t>
          </w:r>
        </w:p>
        <w:p w14:paraId="7FA08E6A" w14:textId="77777777" w:rsidR="000E252A" w:rsidRPr="000E252A" w:rsidRDefault="000E252A" w:rsidP="000E252A">
          <w:pPr>
            <w:spacing w:after="0" w:line="480" w:lineRule="auto"/>
            <w:jc w:val="center"/>
            <w:rPr>
              <w:color w:val="1C1C1C"/>
              <w:szCs w:val="24"/>
              <w:lang w:val="en-US"/>
            </w:rPr>
          </w:pPr>
          <w:r w:rsidRPr="000E252A">
            <w:rPr>
              <w:color w:val="1C1C1C"/>
              <w:szCs w:val="24"/>
              <w:lang w:val="en-US"/>
            </w:rPr>
            <w:t>in partial fulfillment of the requirements for the</w:t>
          </w:r>
        </w:p>
        <w:p w14:paraId="4D8480E0" w14:textId="77777777" w:rsidR="000E252A" w:rsidRPr="000E252A" w:rsidRDefault="000E252A" w:rsidP="000E252A">
          <w:pPr>
            <w:spacing w:after="0" w:line="480" w:lineRule="auto"/>
            <w:jc w:val="center"/>
            <w:rPr>
              <w:color w:val="1C1C1C"/>
              <w:szCs w:val="24"/>
              <w:lang w:val="en-US"/>
            </w:rPr>
          </w:pPr>
          <w:r w:rsidRPr="000E252A">
            <w:rPr>
              <w:color w:val="1C1C1C"/>
              <w:szCs w:val="24"/>
              <w:lang w:val="en-US"/>
            </w:rPr>
            <w:t>Degree of</w:t>
          </w:r>
        </w:p>
        <w:p w14:paraId="6F5101B1" w14:textId="77777777" w:rsidR="000E252A" w:rsidRPr="000E252A" w:rsidRDefault="000E252A" w:rsidP="000E252A">
          <w:pPr>
            <w:spacing w:after="0" w:line="480" w:lineRule="auto"/>
            <w:jc w:val="center"/>
            <w:rPr>
              <w:color w:val="1C1C1C"/>
              <w:szCs w:val="24"/>
              <w:lang w:val="en-US"/>
            </w:rPr>
          </w:pPr>
          <w:r w:rsidRPr="000E252A">
            <w:rPr>
              <w:color w:val="1C1C1C"/>
              <w:szCs w:val="24"/>
              <w:lang w:val="en-US"/>
            </w:rPr>
            <w:t xml:space="preserve">MASTER OF SCIENCE </w:t>
          </w:r>
          <w:r w:rsidRPr="000E252A">
            <w:rPr>
              <w:color w:val="1C1C1C"/>
              <w:szCs w:val="24"/>
              <w:lang w:val="en-US"/>
            </w:rPr>
            <w:br/>
          </w:r>
        </w:p>
        <w:p w14:paraId="11BAC7DC" w14:textId="77777777" w:rsidR="000E252A" w:rsidRPr="000E252A" w:rsidRDefault="000E252A" w:rsidP="000E252A">
          <w:pPr>
            <w:spacing w:after="0" w:line="480" w:lineRule="auto"/>
            <w:jc w:val="center"/>
            <w:rPr>
              <w:color w:val="1C1C1C"/>
              <w:szCs w:val="24"/>
              <w:lang w:val="en-US"/>
            </w:rPr>
          </w:pPr>
        </w:p>
        <w:p w14:paraId="0CD32344" w14:textId="77777777" w:rsidR="000E252A" w:rsidRPr="000E252A" w:rsidRDefault="000E252A" w:rsidP="000E252A">
          <w:pPr>
            <w:spacing w:after="0" w:line="240" w:lineRule="auto"/>
            <w:jc w:val="center"/>
            <w:rPr>
              <w:color w:val="1C1C1C"/>
              <w:szCs w:val="24"/>
              <w:lang w:val="en-US"/>
            </w:rPr>
          </w:pPr>
          <w:r w:rsidRPr="000E252A">
            <w:rPr>
              <w:color w:val="1C1C1C"/>
              <w:szCs w:val="24"/>
              <w:lang w:val="en-US"/>
            </w:rPr>
            <w:t>By</w:t>
          </w:r>
        </w:p>
        <w:p w14:paraId="1AFC8DB2" w14:textId="77777777" w:rsidR="000E252A" w:rsidRPr="000E252A" w:rsidRDefault="000E252A" w:rsidP="000E252A">
          <w:pPr>
            <w:spacing w:after="0" w:line="240" w:lineRule="auto"/>
            <w:jc w:val="center"/>
            <w:rPr>
              <w:color w:val="1C1C1C"/>
              <w:szCs w:val="24"/>
              <w:lang w:val="en-US"/>
            </w:rPr>
          </w:pPr>
        </w:p>
        <w:p w14:paraId="65D49CA9" w14:textId="77777777" w:rsidR="000E252A" w:rsidRPr="000E252A" w:rsidRDefault="000E252A" w:rsidP="000E252A">
          <w:pPr>
            <w:spacing w:after="0" w:line="240" w:lineRule="auto"/>
            <w:jc w:val="center"/>
            <w:rPr>
              <w:color w:val="1C1C1C"/>
              <w:szCs w:val="24"/>
              <w:lang w:val="en-US"/>
            </w:rPr>
          </w:pPr>
          <w:r>
            <w:rPr>
              <w:color w:val="1C1C1C"/>
              <w:szCs w:val="24"/>
              <w:lang w:val="en-US"/>
            </w:rPr>
            <w:t>SABRINA GARNER</w:t>
          </w:r>
        </w:p>
        <w:p w14:paraId="288AE5AC" w14:textId="77777777" w:rsidR="000E252A" w:rsidRPr="000E252A" w:rsidRDefault="000E252A" w:rsidP="000E252A">
          <w:pPr>
            <w:spacing w:after="0" w:line="240" w:lineRule="auto"/>
            <w:jc w:val="center"/>
            <w:rPr>
              <w:color w:val="1C1C1C"/>
              <w:szCs w:val="24"/>
              <w:lang w:val="en-US"/>
            </w:rPr>
          </w:pPr>
          <w:r w:rsidRPr="000E252A">
            <w:rPr>
              <w:color w:val="1C1C1C"/>
              <w:szCs w:val="24"/>
              <w:lang w:val="en-US"/>
            </w:rPr>
            <w:t>Norman, Oklahoma</w:t>
          </w:r>
        </w:p>
        <w:p w14:paraId="7399CEFF" w14:textId="08D7CB2A" w:rsidR="000E252A" w:rsidRPr="000E252A" w:rsidRDefault="000E252A" w:rsidP="000E252A">
          <w:pPr>
            <w:spacing w:after="0" w:line="240" w:lineRule="auto"/>
            <w:jc w:val="center"/>
            <w:rPr>
              <w:color w:val="1C1C1C"/>
              <w:szCs w:val="24"/>
              <w:lang w:val="en-US"/>
            </w:rPr>
          </w:pPr>
          <w:r w:rsidRPr="000E252A">
            <w:rPr>
              <w:color w:val="1C1C1C"/>
              <w:szCs w:val="24"/>
              <w:lang w:val="en-US"/>
            </w:rPr>
            <w:t>20</w:t>
          </w:r>
          <w:r w:rsidR="004B505E">
            <w:rPr>
              <w:color w:val="1C1C1C"/>
              <w:szCs w:val="24"/>
              <w:lang w:val="en-US"/>
            </w:rPr>
            <w:t>20</w:t>
          </w:r>
        </w:p>
        <w:p w14:paraId="6EA712D5" w14:textId="77777777" w:rsidR="000E252A" w:rsidRPr="000E252A" w:rsidRDefault="000E252A" w:rsidP="000E252A">
          <w:pPr>
            <w:spacing w:line="480" w:lineRule="auto"/>
            <w:rPr>
              <w:color w:val="1C1C1C"/>
              <w:szCs w:val="24"/>
              <w:lang w:val="en-US"/>
            </w:rPr>
          </w:pPr>
          <w:r w:rsidRPr="000E252A">
            <w:rPr>
              <w:color w:val="1C1C1C"/>
              <w:szCs w:val="24"/>
              <w:lang w:val="en-US"/>
            </w:rPr>
            <w:br w:type="page"/>
          </w:r>
        </w:p>
        <w:p w14:paraId="1A8A5B82" w14:textId="77777777" w:rsidR="000E252A" w:rsidRPr="000E252A" w:rsidRDefault="000E252A" w:rsidP="000E252A">
          <w:pPr>
            <w:spacing w:after="0" w:line="240" w:lineRule="auto"/>
            <w:rPr>
              <w:szCs w:val="24"/>
              <w:lang w:val="en-US"/>
            </w:rPr>
          </w:pPr>
        </w:p>
        <w:p w14:paraId="5F1652D6" w14:textId="77777777" w:rsidR="000E252A" w:rsidRPr="000E252A" w:rsidRDefault="000E252A" w:rsidP="000E252A">
          <w:pPr>
            <w:spacing w:after="0" w:line="240" w:lineRule="auto"/>
            <w:jc w:val="center"/>
            <w:rPr>
              <w:szCs w:val="24"/>
              <w:lang w:val="en-US"/>
            </w:rPr>
          </w:pPr>
        </w:p>
        <w:p w14:paraId="7674CC22" w14:textId="77777777" w:rsidR="000E252A" w:rsidRPr="000E252A" w:rsidRDefault="000E252A" w:rsidP="000E252A">
          <w:pPr>
            <w:spacing w:after="0" w:line="240" w:lineRule="auto"/>
            <w:jc w:val="center"/>
            <w:rPr>
              <w:szCs w:val="24"/>
              <w:lang w:val="en-US"/>
            </w:rPr>
          </w:pPr>
        </w:p>
        <w:p w14:paraId="0D7BA108" w14:textId="77777777" w:rsidR="000E252A" w:rsidRPr="000E252A" w:rsidRDefault="000E252A" w:rsidP="000E252A">
          <w:pPr>
            <w:spacing w:after="0" w:line="240" w:lineRule="auto"/>
            <w:jc w:val="center"/>
            <w:rPr>
              <w:szCs w:val="24"/>
              <w:lang w:val="en-US"/>
            </w:rPr>
          </w:pPr>
        </w:p>
        <w:p w14:paraId="5B4D8ED9" w14:textId="77777777" w:rsidR="003C5249" w:rsidRDefault="003C5249" w:rsidP="003C5249">
          <w:pPr>
            <w:spacing w:after="0" w:line="480" w:lineRule="auto"/>
            <w:jc w:val="center"/>
            <w:rPr>
              <w:szCs w:val="24"/>
              <w:lang w:val="en-US"/>
            </w:rPr>
          </w:pPr>
          <w:r>
            <w:rPr>
              <w:szCs w:val="24"/>
              <w:lang w:val="en-US"/>
            </w:rPr>
            <w:t xml:space="preserve">DROP PENETRATION </w:t>
          </w:r>
          <w:r w:rsidRPr="00DA3048">
            <w:rPr>
              <w:szCs w:val="24"/>
              <w:lang w:val="en-US"/>
            </w:rPr>
            <w:t>MEAS</w:t>
          </w:r>
          <w:r w:rsidRPr="009D2A37">
            <w:rPr>
              <w:szCs w:val="24"/>
              <w:lang w:val="en-US"/>
            </w:rPr>
            <w:t>UREMENT</w:t>
          </w:r>
          <w:r w:rsidRPr="00DA3048">
            <w:rPr>
              <w:szCs w:val="24"/>
              <w:lang w:val="en-US"/>
            </w:rPr>
            <w:t xml:space="preserve"> OF Z</w:t>
          </w:r>
          <w:r w:rsidRPr="009D2A37">
            <w:rPr>
              <w:szCs w:val="24"/>
              <w:lang w:val="en-US"/>
            </w:rPr>
            <w:t>n</w:t>
          </w:r>
          <w:r w:rsidRPr="00DA3048">
            <w:rPr>
              <w:szCs w:val="24"/>
              <w:lang w:val="en-US"/>
            </w:rPr>
            <w:t>O AND T</w:t>
          </w:r>
          <w:r w:rsidRPr="009D2A37">
            <w:rPr>
              <w:szCs w:val="24"/>
              <w:lang w:val="en-US"/>
            </w:rPr>
            <w:t>i</w:t>
          </w:r>
          <w:r w:rsidRPr="00DA3048">
            <w:rPr>
              <w:szCs w:val="24"/>
              <w:lang w:val="en-US"/>
            </w:rPr>
            <w:t>O</w:t>
          </w:r>
          <w:r w:rsidRPr="00DA3048">
            <w:rPr>
              <w:szCs w:val="24"/>
              <w:vertAlign w:val="subscript"/>
              <w:lang w:val="en-US"/>
            </w:rPr>
            <w:t>2</w:t>
          </w:r>
          <w:r w:rsidRPr="00DA3048">
            <w:rPr>
              <w:szCs w:val="24"/>
              <w:lang w:val="en-US"/>
            </w:rPr>
            <w:t xml:space="preserve"> </w:t>
          </w:r>
        </w:p>
        <w:p w14:paraId="0991B19F" w14:textId="77777777" w:rsidR="009F34F4" w:rsidRDefault="003C5249" w:rsidP="003C5249">
          <w:pPr>
            <w:spacing w:after="0" w:line="480" w:lineRule="auto"/>
            <w:jc w:val="center"/>
            <w:rPr>
              <w:szCs w:val="24"/>
              <w:lang w:val="en-US"/>
            </w:rPr>
          </w:pPr>
          <w:r>
            <w:rPr>
              <w:szCs w:val="24"/>
              <w:lang w:val="en-US"/>
            </w:rPr>
            <w:t xml:space="preserve">NANOPARTICLES FOR POTENTIAL ANTIBACTERIAL </w:t>
          </w:r>
        </w:p>
        <w:p w14:paraId="496DF0ED" w14:textId="22614B47" w:rsidR="003C5249" w:rsidRPr="000E252A" w:rsidRDefault="003C5249" w:rsidP="003C5249">
          <w:pPr>
            <w:spacing w:after="0" w:line="480" w:lineRule="auto"/>
            <w:jc w:val="center"/>
            <w:rPr>
              <w:color w:val="1C1C1C"/>
              <w:szCs w:val="24"/>
              <w:lang w:val="en-US"/>
            </w:rPr>
          </w:pPr>
          <w:r>
            <w:rPr>
              <w:szCs w:val="24"/>
              <w:lang w:val="en-US"/>
            </w:rPr>
            <w:t>APPLICATIONS IN DENTAL ADHESIVES</w:t>
          </w:r>
          <w:r w:rsidRPr="009B283A" w:rsidDel="009B283A">
            <w:rPr>
              <w:szCs w:val="24"/>
              <w:lang w:val="en-US"/>
            </w:rPr>
            <w:t xml:space="preserve"> </w:t>
          </w:r>
        </w:p>
        <w:p w14:paraId="149C45DB" w14:textId="77777777" w:rsidR="000F67F4" w:rsidRDefault="000F67F4" w:rsidP="00903D53">
          <w:pPr>
            <w:spacing w:after="0" w:line="360" w:lineRule="auto"/>
            <w:jc w:val="center"/>
            <w:rPr>
              <w:szCs w:val="24"/>
              <w:lang w:val="en-US"/>
            </w:rPr>
          </w:pPr>
        </w:p>
        <w:p w14:paraId="44D90A5D" w14:textId="3E1E8C76" w:rsidR="000F67F4" w:rsidRDefault="000F67F4" w:rsidP="00903D53">
          <w:pPr>
            <w:spacing w:after="0" w:line="360" w:lineRule="auto"/>
            <w:jc w:val="center"/>
            <w:rPr>
              <w:szCs w:val="24"/>
              <w:lang w:val="en-US"/>
            </w:rPr>
          </w:pPr>
        </w:p>
        <w:p w14:paraId="34FF5F2A" w14:textId="43F28EFF" w:rsidR="000F67F4" w:rsidRDefault="000F67F4" w:rsidP="00903D53">
          <w:pPr>
            <w:spacing w:after="0" w:line="360" w:lineRule="auto"/>
            <w:jc w:val="center"/>
            <w:rPr>
              <w:szCs w:val="24"/>
              <w:lang w:val="en-US"/>
            </w:rPr>
          </w:pPr>
        </w:p>
        <w:p w14:paraId="4B64A414" w14:textId="77777777" w:rsidR="000F67F4" w:rsidRDefault="000F67F4" w:rsidP="00903D53">
          <w:pPr>
            <w:spacing w:after="0" w:line="360" w:lineRule="auto"/>
            <w:jc w:val="center"/>
            <w:rPr>
              <w:szCs w:val="24"/>
              <w:lang w:val="en-US"/>
            </w:rPr>
          </w:pPr>
        </w:p>
        <w:p w14:paraId="5ADD5C7D" w14:textId="4A309536" w:rsidR="000E252A" w:rsidRPr="000E252A" w:rsidRDefault="000E252A" w:rsidP="00903D53">
          <w:pPr>
            <w:spacing w:after="0" w:line="360" w:lineRule="auto"/>
            <w:jc w:val="center"/>
            <w:rPr>
              <w:szCs w:val="24"/>
              <w:lang w:val="en-US"/>
            </w:rPr>
          </w:pPr>
          <w:r w:rsidRPr="000E252A">
            <w:rPr>
              <w:szCs w:val="24"/>
              <w:lang w:val="en-US"/>
            </w:rPr>
            <w:t>A THESIS APPROVED FOR THE</w:t>
          </w:r>
        </w:p>
        <w:p w14:paraId="5136A2A3" w14:textId="230D5859" w:rsidR="000E252A" w:rsidRPr="000E252A" w:rsidRDefault="00D060A3" w:rsidP="00903D53">
          <w:pPr>
            <w:spacing w:after="0" w:line="360" w:lineRule="auto"/>
            <w:jc w:val="center"/>
            <w:rPr>
              <w:szCs w:val="24"/>
              <w:lang w:val="en-US"/>
            </w:rPr>
          </w:pPr>
          <w:r>
            <w:rPr>
              <w:szCs w:val="24"/>
              <w:lang w:val="en-US"/>
            </w:rPr>
            <w:t>STEPHENSON SCHOOL</w:t>
          </w:r>
          <w:r w:rsidRPr="000E252A">
            <w:rPr>
              <w:szCs w:val="24"/>
              <w:lang w:val="en-US"/>
            </w:rPr>
            <w:t xml:space="preserve"> </w:t>
          </w:r>
          <w:r w:rsidR="000E252A" w:rsidRPr="000E252A">
            <w:rPr>
              <w:szCs w:val="24"/>
              <w:lang w:val="en-US"/>
            </w:rPr>
            <w:t>OF BIO</w:t>
          </w:r>
          <w:r w:rsidR="00721A09">
            <w:rPr>
              <w:szCs w:val="24"/>
              <w:lang w:val="en-US"/>
            </w:rPr>
            <w:t xml:space="preserve">MEDICAL </w:t>
          </w:r>
          <w:r w:rsidR="000E252A" w:rsidRPr="000E252A">
            <w:rPr>
              <w:szCs w:val="24"/>
              <w:lang w:val="en-US"/>
            </w:rPr>
            <w:t>ENGINEERING</w:t>
          </w:r>
        </w:p>
        <w:p w14:paraId="380A2FD1" w14:textId="6EF76C21" w:rsidR="000E252A" w:rsidRDefault="000E252A" w:rsidP="00903D53">
          <w:pPr>
            <w:spacing w:after="0" w:line="360" w:lineRule="auto"/>
            <w:jc w:val="center"/>
            <w:rPr>
              <w:szCs w:val="24"/>
              <w:lang w:val="en-US"/>
            </w:rPr>
          </w:pPr>
        </w:p>
        <w:p w14:paraId="24FC182A" w14:textId="77777777" w:rsidR="000F67F4" w:rsidRPr="000E252A" w:rsidRDefault="000F67F4" w:rsidP="00903D53">
          <w:pPr>
            <w:spacing w:after="0" w:line="360" w:lineRule="auto"/>
            <w:jc w:val="center"/>
            <w:rPr>
              <w:szCs w:val="24"/>
              <w:lang w:val="en-US"/>
            </w:rPr>
          </w:pPr>
        </w:p>
        <w:p w14:paraId="79D92E47" w14:textId="77777777" w:rsidR="000E252A" w:rsidRPr="000E252A" w:rsidRDefault="000E252A" w:rsidP="00903D53">
          <w:pPr>
            <w:spacing w:after="0" w:line="360" w:lineRule="auto"/>
            <w:jc w:val="center"/>
            <w:rPr>
              <w:szCs w:val="24"/>
              <w:lang w:val="en-US"/>
            </w:rPr>
          </w:pPr>
        </w:p>
        <w:p w14:paraId="1BD15354" w14:textId="77777777" w:rsidR="000E252A" w:rsidRPr="000E252A" w:rsidRDefault="000E252A" w:rsidP="00903D53">
          <w:pPr>
            <w:spacing w:after="0" w:line="360" w:lineRule="auto"/>
            <w:jc w:val="center"/>
            <w:rPr>
              <w:szCs w:val="24"/>
              <w:lang w:val="en-US"/>
            </w:rPr>
          </w:pPr>
        </w:p>
        <w:p w14:paraId="06716891" w14:textId="60089095" w:rsidR="000E252A" w:rsidRPr="000E252A" w:rsidRDefault="000E252A" w:rsidP="00903D53">
          <w:pPr>
            <w:spacing w:after="0" w:line="360" w:lineRule="auto"/>
            <w:jc w:val="center"/>
            <w:rPr>
              <w:szCs w:val="24"/>
              <w:lang w:val="en-US"/>
            </w:rPr>
          </w:pPr>
          <w:r w:rsidRPr="000E252A">
            <w:rPr>
              <w:szCs w:val="24"/>
              <w:lang w:val="en-US"/>
            </w:rPr>
            <w:t>BY</w:t>
          </w:r>
          <w:r w:rsidR="00534749">
            <w:rPr>
              <w:szCs w:val="24"/>
              <w:lang w:val="en-US"/>
            </w:rPr>
            <w:t xml:space="preserve"> THE COMMITTEE CONSISTING OF</w:t>
          </w:r>
        </w:p>
        <w:p w14:paraId="47C52751" w14:textId="77777777" w:rsidR="000E252A" w:rsidRPr="000E252A" w:rsidRDefault="000E252A" w:rsidP="000E252A">
          <w:pPr>
            <w:spacing w:after="0" w:line="240" w:lineRule="auto"/>
            <w:rPr>
              <w:szCs w:val="24"/>
              <w:lang w:val="en-US"/>
            </w:rPr>
          </w:pPr>
        </w:p>
        <w:p w14:paraId="71822172" w14:textId="77777777" w:rsidR="000E252A" w:rsidRPr="000E252A" w:rsidRDefault="000E252A" w:rsidP="000E252A">
          <w:pPr>
            <w:spacing w:after="0" w:line="240" w:lineRule="auto"/>
            <w:rPr>
              <w:szCs w:val="24"/>
              <w:lang w:val="en-US"/>
            </w:rPr>
          </w:pPr>
        </w:p>
        <w:p w14:paraId="47646586" w14:textId="35BF4005" w:rsidR="000E252A" w:rsidRPr="000E252A" w:rsidRDefault="000E252A" w:rsidP="000E252A">
          <w:pPr>
            <w:spacing w:after="0" w:line="240" w:lineRule="auto"/>
            <w:ind w:left="360" w:hanging="360"/>
            <w:rPr>
              <w:szCs w:val="24"/>
              <w:u w:val="single"/>
              <w:lang w:val="en-US"/>
            </w:rPr>
          </w:pPr>
          <w:r w:rsidRPr="000E252A">
            <w:rPr>
              <w:szCs w:val="24"/>
              <w:lang w:val="en-US"/>
            </w:rPr>
            <w:tab/>
          </w:r>
          <w:r w:rsidRPr="000E252A">
            <w:rPr>
              <w:szCs w:val="24"/>
              <w:lang w:val="en-US"/>
            </w:rPr>
            <w:tab/>
          </w:r>
          <w:r w:rsidRPr="000E252A">
            <w:rPr>
              <w:szCs w:val="24"/>
              <w:lang w:val="en-US"/>
            </w:rPr>
            <w:tab/>
          </w:r>
          <w:r w:rsidRPr="000E252A">
            <w:rPr>
              <w:szCs w:val="24"/>
              <w:lang w:val="en-US"/>
            </w:rPr>
            <w:tab/>
          </w:r>
          <w:r w:rsidRPr="000E252A">
            <w:rPr>
              <w:szCs w:val="24"/>
              <w:lang w:val="en-US"/>
            </w:rPr>
            <w:tab/>
          </w:r>
          <w:r w:rsidRPr="000E252A">
            <w:rPr>
              <w:szCs w:val="24"/>
              <w:lang w:val="en-US"/>
            </w:rPr>
            <w:tab/>
          </w:r>
          <w:r w:rsidRPr="000E252A">
            <w:rPr>
              <w:szCs w:val="24"/>
              <w:lang w:val="en-US"/>
            </w:rPr>
            <w:tab/>
          </w:r>
        </w:p>
        <w:p w14:paraId="63D7A012" w14:textId="3F7DED0A" w:rsidR="000E252A" w:rsidRPr="00903D53" w:rsidRDefault="000E252A" w:rsidP="00C15EBF">
          <w:pPr>
            <w:spacing w:after="0" w:line="240" w:lineRule="auto"/>
            <w:ind w:left="360" w:hanging="360"/>
            <w:jc w:val="right"/>
            <w:rPr>
              <w:szCs w:val="24"/>
              <w:lang w:val="en-US"/>
            </w:rPr>
          </w:pPr>
          <w:r w:rsidRPr="00903D53">
            <w:rPr>
              <w:szCs w:val="24"/>
              <w:lang w:val="en-US"/>
            </w:rPr>
            <w:t>Dr. Edgar A. O’Rear</w:t>
          </w:r>
        </w:p>
        <w:p w14:paraId="6224ABC7" w14:textId="451B0108" w:rsidR="000E252A" w:rsidRPr="00903D53" w:rsidRDefault="000E252A" w:rsidP="00C15EBF">
          <w:pPr>
            <w:spacing w:after="0" w:line="240" w:lineRule="auto"/>
            <w:ind w:left="360" w:hanging="360"/>
            <w:jc w:val="right"/>
            <w:rPr>
              <w:szCs w:val="24"/>
              <w:lang w:val="en-US"/>
            </w:rPr>
          </w:pPr>
        </w:p>
        <w:p w14:paraId="33DED7F2" w14:textId="38035B0F" w:rsidR="000E252A" w:rsidRPr="00903D53" w:rsidRDefault="000E252A" w:rsidP="00C15EBF">
          <w:pPr>
            <w:spacing w:after="0" w:line="240" w:lineRule="auto"/>
            <w:ind w:left="360" w:hanging="360"/>
            <w:jc w:val="right"/>
            <w:rPr>
              <w:szCs w:val="24"/>
              <w:u w:val="single"/>
              <w:lang w:val="en-US"/>
            </w:rPr>
          </w:pPr>
        </w:p>
        <w:p w14:paraId="070F32EA" w14:textId="0F058755" w:rsidR="000E252A" w:rsidRPr="00903D53" w:rsidRDefault="000E252A" w:rsidP="00C15EBF">
          <w:pPr>
            <w:spacing w:after="0" w:line="240" w:lineRule="auto"/>
            <w:jc w:val="right"/>
            <w:rPr>
              <w:szCs w:val="24"/>
            </w:rPr>
          </w:pPr>
          <w:r w:rsidRPr="00903D53">
            <w:rPr>
              <w:szCs w:val="24"/>
            </w:rPr>
            <w:t>Dr. Fernando</w:t>
          </w:r>
          <w:r w:rsidR="00D976F9" w:rsidRPr="00903D53">
            <w:rPr>
              <w:szCs w:val="24"/>
            </w:rPr>
            <w:t xml:space="preserve"> </w:t>
          </w:r>
          <w:r w:rsidR="00DD11BE">
            <w:rPr>
              <w:szCs w:val="24"/>
            </w:rPr>
            <w:t xml:space="preserve">Luis </w:t>
          </w:r>
          <w:r w:rsidR="00D976F9" w:rsidRPr="00903D53">
            <w:rPr>
              <w:szCs w:val="24"/>
            </w:rPr>
            <w:t>Esteban</w:t>
          </w:r>
          <w:r w:rsidRPr="00903D53">
            <w:rPr>
              <w:szCs w:val="24"/>
            </w:rPr>
            <w:t xml:space="preserve"> Florez</w:t>
          </w:r>
        </w:p>
        <w:p w14:paraId="213955F1" w14:textId="77777777" w:rsidR="000E252A" w:rsidRPr="00903D53" w:rsidRDefault="000E252A" w:rsidP="00C15EBF">
          <w:pPr>
            <w:spacing w:after="0" w:line="240" w:lineRule="auto"/>
            <w:jc w:val="right"/>
            <w:rPr>
              <w:szCs w:val="24"/>
            </w:rPr>
          </w:pPr>
        </w:p>
        <w:p w14:paraId="2FA2AFA1" w14:textId="082C8446" w:rsidR="000E252A" w:rsidRPr="00903D53" w:rsidRDefault="000E252A" w:rsidP="00C15EBF">
          <w:pPr>
            <w:spacing w:after="0" w:line="240" w:lineRule="auto"/>
            <w:ind w:left="360" w:hanging="360"/>
            <w:jc w:val="right"/>
            <w:rPr>
              <w:szCs w:val="24"/>
              <w:u w:val="single"/>
            </w:rPr>
          </w:pPr>
        </w:p>
        <w:p w14:paraId="0F388C5B" w14:textId="2EDB1CAA" w:rsidR="000E252A" w:rsidRPr="00903D53" w:rsidRDefault="000E252A" w:rsidP="00C15EBF">
          <w:pPr>
            <w:spacing w:after="0" w:line="240" w:lineRule="auto"/>
            <w:ind w:left="360" w:hanging="360"/>
            <w:jc w:val="right"/>
            <w:rPr>
              <w:szCs w:val="24"/>
            </w:rPr>
          </w:pPr>
          <w:r w:rsidRPr="00903D53">
            <w:rPr>
              <w:szCs w:val="24"/>
            </w:rPr>
            <w:t xml:space="preserve">Dr. </w:t>
          </w:r>
          <w:r w:rsidR="000A28D1" w:rsidRPr="00903D53">
            <w:rPr>
              <w:rFonts w:cs="Times New Roman"/>
              <w:szCs w:val="24"/>
            </w:rPr>
            <w:t>Vassilios Sikavitsas</w:t>
          </w:r>
        </w:p>
        <w:p w14:paraId="076D42DF" w14:textId="77777777" w:rsidR="000E252A" w:rsidRPr="00903D53" w:rsidRDefault="000E252A" w:rsidP="00C15EBF">
          <w:pPr>
            <w:spacing w:after="0" w:line="240" w:lineRule="auto"/>
            <w:ind w:left="360" w:hanging="360"/>
            <w:jc w:val="right"/>
            <w:rPr>
              <w:szCs w:val="24"/>
            </w:rPr>
          </w:pPr>
        </w:p>
        <w:p w14:paraId="120D8B9C" w14:textId="26E7782E" w:rsidR="000E252A" w:rsidRPr="00903D53" w:rsidRDefault="000E252A" w:rsidP="00C15EBF">
          <w:pPr>
            <w:spacing w:after="0" w:line="240" w:lineRule="auto"/>
            <w:jc w:val="right"/>
            <w:rPr>
              <w:szCs w:val="24"/>
              <w:u w:val="single"/>
            </w:rPr>
          </w:pPr>
        </w:p>
        <w:p w14:paraId="2CB18C7B" w14:textId="18FA4F0F" w:rsidR="000E252A" w:rsidRPr="000E252A" w:rsidRDefault="000E252A" w:rsidP="00C15EBF">
          <w:pPr>
            <w:spacing w:after="0" w:line="240" w:lineRule="auto"/>
            <w:ind w:left="360" w:hanging="360"/>
            <w:jc w:val="right"/>
            <w:rPr>
              <w:szCs w:val="24"/>
              <w:lang w:val="en-US"/>
            </w:rPr>
          </w:pPr>
          <w:r w:rsidRPr="000E252A">
            <w:rPr>
              <w:szCs w:val="24"/>
              <w:lang w:val="en-US"/>
            </w:rPr>
            <w:t xml:space="preserve">Dr. </w:t>
          </w:r>
          <w:r>
            <w:rPr>
              <w:szCs w:val="24"/>
              <w:lang w:val="en-US"/>
            </w:rPr>
            <w:t>Ron</w:t>
          </w:r>
          <w:r w:rsidR="000A28D1">
            <w:rPr>
              <w:szCs w:val="24"/>
              <w:lang w:val="en-US"/>
            </w:rPr>
            <w:t>g</w:t>
          </w:r>
          <w:r>
            <w:rPr>
              <w:szCs w:val="24"/>
              <w:lang w:val="en-US"/>
            </w:rPr>
            <w:t xml:space="preserve"> Gan</w:t>
          </w:r>
        </w:p>
        <w:p w14:paraId="326715FD" w14:textId="17748B3F" w:rsidR="000E252A" w:rsidRDefault="000E252A" w:rsidP="000E252A">
          <w:pPr>
            <w:rPr>
              <w:szCs w:val="24"/>
              <w:lang w:val="en-US"/>
            </w:rPr>
          </w:pPr>
        </w:p>
        <w:p w14:paraId="6D0E9D37" w14:textId="77777777" w:rsidR="004524F3" w:rsidRPr="000E252A" w:rsidRDefault="004524F3" w:rsidP="000E252A">
          <w:pPr>
            <w:rPr>
              <w:szCs w:val="24"/>
              <w:lang w:val="en-US"/>
            </w:rPr>
          </w:pPr>
        </w:p>
        <w:p w14:paraId="517BAEDE" w14:textId="10F04DD2" w:rsidR="009E25BA" w:rsidRDefault="009E25BA" w:rsidP="000E252A">
          <w:pPr>
            <w:rPr>
              <w:szCs w:val="24"/>
              <w:lang w:val="en-US"/>
            </w:rPr>
          </w:pPr>
        </w:p>
        <w:p w14:paraId="6DE63C97" w14:textId="34AF5BC0" w:rsidR="009E25BA" w:rsidRDefault="009E25BA" w:rsidP="000E252A">
          <w:pPr>
            <w:rPr>
              <w:szCs w:val="24"/>
              <w:lang w:val="en-US"/>
            </w:rPr>
          </w:pPr>
        </w:p>
        <w:p w14:paraId="465FA7FF" w14:textId="5EBCB3E8" w:rsidR="009E25BA" w:rsidRDefault="009E25BA" w:rsidP="000E252A">
          <w:pPr>
            <w:rPr>
              <w:szCs w:val="24"/>
              <w:lang w:val="en-US"/>
            </w:rPr>
          </w:pPr>
        </w:p>
        <w:p w14:paraId="084EB60F" w14:textId="4EAB0AB5" w:rsidR="009E25BA" w:rsidRDefault="009E25BA" w:rsidP="000E252A">
          <w:pPr>
            <w:rPr>
              <w:szCs w:val="24"/>
              <w:lang w:val="en-US"/>
            </w:rPr>
          </w:pPr>
        </w:p>
        <w:p w14:paraId="12C69082" w14:textId="66A27B07" w:rsidR="009E25BA" w:rsidRDefault="009E25BA" w:rsidP="000E252A">
          <w:pPr>
            <w:rPr>
              <w:szCs w:val="24"/>
              <w:lang w:val="en-US"/>
            </w:rPr>
          </w:pPr>
        </w:p>
        <w:p w14:paraId="0256B767" w14:textId="53C6A78F" w:rsidR="009E25BA" w:rsidRDefault="009E25BA" w:rsidP="000E252A">
          <w:pPr>
            <w:rPr>
              <w:szCs w:val="24"/>
              <w:lang w:val="en-US"/>
            </w:rPr>
          </w:pPr>
        </w:p>
        <w:p w14:paraId="0716FB30" w14:textId="17AF0993" w:rsidR="009E25BA" w:rsidRDefault="009E25BA" w:rsidP="000E252A">
          <w:pPr>
            <w:rPr>
              <w:szCs w:val="24"/>
              <w:lang w:val="en-US"/>
            </w:rPr>
          </w:pPr>
        </w:p>
        <w:p w14:paraId="310F1B87" w14:textId="2B9FDCB1" w:rsidR="009E25BA" w:rsidRDefault="009E25BA" w:rsidP="000E252A">
          <w:pPr>
            <w:rPr>
              <w:szCs w:val="24"/>
              <w:lang w:val="en-US"/>
            </w:rPr>
          </w:pPr>
        </w:p>
        <w:p w14:paraId="2EE23331" w14:textId="36D29DD1" w:rsidR="009E25BA" w:rsidRDefault="009E25BA" w:rsidP="000E252A">
          <w:pPr>
            <w:rPr>
              <w:szCs w:val="24"/>
              <w:lang w:val="en-US"/>
            </w:rPr>
          </w:pPr>
        </w:p>
        <w:p w14:paraId="48FD2B8C" w14:textId="337C84C8" w:rsidR="009E25BA" w:rsidRDefault="009E25BA" w:rsidP="000E252A">
          <w:pPr>
            <w:rPr>
              <w:szCs w:val="24"/>
              <w:lang w:val="en-US"/>
            </w:rPr>
          </w:pPr>
        </w:p>
        <w:p w14:paraId="4AFECE36" w14:textId="2C39DA7D" w:rsidR="009E25BA" w:rsidRDefault="009E25BA" w:rsidP="000E252A">
          <w:pPr>
            <w:rPr>
              <w:szCs w:val="24"/>
              <w:lang w:val="en-US"/>
            </w:rPr>
          </w:pPr>
        </w:p>
        <w:p w14:paraId="427FC454" w14:textId="3A9B98F7" w:rsidR="009E25BA" w:rsidRDefault="009E25BA" w:rsidP="000E252A">
          <w:pPr>
            <w:rPr>
              <w:szCs w:val="24"/>
              <w:lang w:val="en-US"/>
            </w:rPr>
          </w:pPr>
        </w:p>
        <w:p w14:paraId="7E481C62" w14:textId="2F75E7F2" w:rsidR="009E25BA" w:rsidRDefault="009E25BA" w:rsidP="000E252A">
          <w:pPr>
            <w:rPr>
              <w:szCs w:val="24"/>
              <w:lang w:val="en-US"/>
            </w:rPr>
          </w:pPr>
        </w:p>
        <w:p w14:paraId="594FEAA1" w14:textId="69E919C6" w:rsidR="009E25BA" w:rsidRDefault="009E25BA" w:rsidP="000E252A">
          <w:pPr>
            <w:rPr>
              <w:szCs w:val="24"/>
              <w:lang w:val="en-US"/>
            </w:rPr>
          </w:pPr>
        </w:p>
        <w:p w14:paraId="2E8EA15D" w14:textId="30D13DDC" w:rsidR="009E25BA" w:rsidRDefault="009E25BA" w:rsidP="000E252A">
          <w:pPr>
            <w:rPr>
              <w:szCs w:val="24"/>
              <w:lang w:val="en-US"/>
            </w:rPr>
          </w:pPr>
        </w:p>
        <w:p w14:paraId="663EE8ED" w14:textId="5ECA3B19" w:rsidR="009E25BA" w:rsidRDefault="009E25BA" w:rsidP="000E252A">
          <w:pPr>
            <w:rPr>
              <w:szCs w:val="24"/>
              <w:lang w:val="en-US"/>
            </w:rPr>
          </w:pPr>
        </w:p>
        <w:p w14:paraId="0F4A1064" w14:textId="27638BCB" w:rsidR="00534749" w:rsidRDefault="00534749" w:rsidP="000E252A">
          <w:pPr>
            <w:rPr>
              <w:szCs w:val="24"/>
              <w:lang w:val="en-US"/>
            </w:rPr>
          </w:pPr>
        </w:p>
        <w:p w14:paraId="30F6BED1" w14:textId="05032A20" w:rsidR="00534749" w:rsidRDefault="00534749" w:rsidP="000E252A">
          <w:pPr>
            <w:rPr>
              <w:szCs w:val="24"/>
              <w:lang w:val="en-US"/>
            </w:rPr>
          </w:pPr>
        </w:p>
        <w:p w14:paraId="6573CB10" w14:textId="77777777" w:rsidR="00534749" w:rsidRDefault="00534749" w:rsidP="000E252A">
          <w:pPr>
            <w:rPr>
              <w:szCs w:val="24"/>
              <w:lang w:val="en-US"/>
            </w:rPr>
          </w:pPr>
        </w:p>
        <w:p w14:paraId="6E49244E" w14:textId="0702C91D" w:rsidR="009E25BA" w:rsidRDefault="009E25BA" w:rsidP="000E252A">
          <w:pPr>
            <w:rPr>
              <w:szCs w:val="24"/>
              <w:lang w:val="en-US"/>
            </w:rPr>
          </w:pPr>
        </w:p>
        <w:p w14:paraId="10EA0BEB" w14:textId="7DD7FA8D" w:rsidR="009E25BA" w:rsidRDefault="009E25BA" w:rsidP="000E252A">
          <w:pPr>
            <w:rPr>
              <w:szCs w:val="24"/>
              <w:lang w:val="en-US"/>
            </w:rPr>
          </w:pPr>
        </w:p>
        <w:p w14:paraId="61B3FEAA" w14:textId="513D9AF2" w:rsidR="009E25BA" w:rsidRDefault="009E25BA" w:rsidP="000E252A">
          <w:pPr>
            <w:rPr>
              <w:szCs w:val="24"/>
              <w:lang w:val="en-US"/>
            </w:rPr>
          </w:pPr>
        </w:p>
        <w:p w14:paraId="2BDD8533" w14:textId="3C065A04" w:rsidR="009E25BA" w:rsidRDefault="009E25BA" w:rsidP="009E25BA">
          <w:pPr>
            <w:jc w:val="center"/>
            <w:rPr>
              <w:lang w:val="en-US"/>
            </w:rPr>
          </w:pPr>
          <w:r w:rsidRPr="009E25BA">
            <w:rPr>
              <w:lang w:val="en-US"/>
            </w:rPr>
            <w:t xml:space="preserve">© Copyright by </w:t>
          </w:r>
          <w:r w:rsidR="00C15EBF">
            <w:rPr>
              <w:lang w:val="en-US"/>
            </w:rPr>
            <w:t>SABRINA GARNER</w:t>
          </w:r>
          <w:r>
            <w:rPr>
              <w:lang w:val="en-US"/>
            </w:rPr>
            <w:t xml:space="preserve"> 2020</w:t>
          </w:r>
          <w:r w:rsidRPr="009E25BA">
            <w:rPr>
              <w:lang w:val="en-US"/>
            </w:rPr>
            <w:t xml:space="preserve"> </w:t>
          </w:r>
        </w:p>
        <w:p w14:paraId="436E11ED" w14:textId="72010303" w:rsidR="009E25BA" w:rsidRPr="009E25BA" w:rsidRDefault="009E25BA" w:rsidP="009E25BA">
          <w:pPr>
            <w:jc w:val="center"/>
            <w:rPr>
              <w:szCs w:val="24"/>
              <w:lang w:val="en-US"/>
            </w:rPr>
          </w:pPr>
          <w:r w:rsidRPr="009E25BA">
            <w:rPr>
              <w:lang w:val="en-US"/>
            </w:rPr>
            <w:t>All Rights Reserved.</w:t>
          </w:r>
        </w:p>
        <w:p w14:paraId="29950593" w14:textId="77777777" w:rsidR="00F2343E" w:rsidRDefault="00F2343E" w:rsidP="000E252A">
          <w:pPr>
            <w:rPr>
              <w:szCs w:val="24"/>
              <w:lang w:val="en-US"/>
            </w:rPr>
            <w:sectPr w:rsidR="00F2343E" w:rsidSect="00CF359B">
              <w:footerReference w:type="default" r:id="rId11"/>
              <w:pgSz w:w="12240" w:h="15840"/>
              <w:pgMar w:top="1728" w:right="1728" w:bottom="1728" w:left="2304" w:header="720" w:footer="720" w:gutter="0"/>
              <w:pgNumType w:fmt="lowerRoman" w:start="1"/>
              <w:cols w:space="720"/>
              <w:docGrid w:linePitch="360"/>
            </w:sectPr>
          </w:pPr>
        </w:p>
        <w:p w14:paraId="5B64E94B" w14:textId="1F77235C" w:rsidR="00877E02" w:rsidRPr="00241A81" w:rsidRDefault="00872DA0">
          <w:pPr>
            <w:pStyle w:val="TOCHeading"/>
            <w:rPr>
              <w:rFonts w:cs="Times New Roman"/>
              <w:szCs w:val="24"/>
            </w:rPr>
          </w:pPr>
          <w:r>
            <w:rPr>
              <w:rFonts w:cs="Times New Roman"/>
              <w:szCs w:val="24"/>
            </w:rPr>
            <w:t>Table of Contents</w:t>
          </w:r>
        </w:p>
        <w:p w14:paraId="2C4AC1BA" w14:textId="1FB12E3A" w:rsidR="008A5068" w:rsidRDefault="00877E02">
          <w:pPr>
            <w:pStyle w:val="TOC1"/>
            <w:rPr>
              <w:rFonts w:asciiTheme="minorHAnsi" w:eastAsiaTheme="minorEastAsia" w:hAnsiTheme="minorHAnsi"/>
              <w:noProof/>
              <w:sz w:val="22"/>
              <w:lang w:val="en-US"/>
            </w:rPr>
          </w:pPr>
          <w:r w:rsidRPr="00BF3F46">
            <w:rPr>
              <w:rFonts w:cs="Times New Roman"/>
              <w:szCs w:val="24"/>
            </w:rPr>
            <w:fldChar w:fldCharType="begin"/>
          </w:r>
          <w:r w:rsidRPr="00BF3F46">
            <w:rPr>
              <w:rFonts w:cs="Times New Roman"/>
              <w:szCs w:val="24"/>
            </w:rPr>
            <w:instrText xml:space="preserve"> TOC \o "1-3" \h \z \u </w:instrText>
          </w:r>
          <w:r w:rsidRPr="00BF3F46">
            <w:rPr>
              <w:rFonts w:cs="Times New Roman"/>
              <w:szCs w:val="24"/>
            </w:rPr>
            <w:fldChar w:fldCharType="separate"/>
          </w:r>
          <w:hyperlink w:anchor="_Toc45837529" w:history="1">
            <w:r w:rsidR="008A5068" w:rsidRPr="00BD128E">
              <w:rPr>
                <w:rStyle w:val="Hyperlink"/>
                <w:rFonts w:cs="Times New Roman"/>
                <w:noProof/>
                <w:lang w:val="en-US"/>
              </w:rPr>
              <w:t>Table</w:t>
            </w:r>
            <w:r w:rsidR="008A5068" w:rsidRPr="00BD128E">
              <w:rPr>
                <w:rStyle w:val="Hyperlink"/>
                <w:rFonts w:cs="Times New Roman"/>
                <w:noProof/>
              </w:rPr>
              <w:t xml:space="preserve"> of Figure</w:t>
            </w:r>
            <w:r w:rsidR="008A5068">
              <w:rPr>
                <w:noProof/>
                <w:webHidden/>
              </w:rPr>
              <w:tab/>
            </w:r>
            <w:r w:rsidR="008A5068">
              <w:rPr>
                <w:noProof/>
                <w:webHidden/>
              </w:rPr>
              <w:fldChar w:fldCharType="begin"/>
            </w:r>
            <w:r w:rsidR="008A5068">
              <w:rPr>
                <w:noProof/>
                <w:webHidden/>
              </w:rPr>
              <w:instrText xml:space="preserve"> PAGEREF _Toc45837529 \h </w:instrText>
            </w:r>
            <w:r w:rsidR="008A5068">
              <w:rPr>
                <w:noProof/>
                <w:webHidden/>
              </w:rPr>
            </w:r>
            <w:r w:rsidR="008A5068">
              <w:rPr>
                <w:noProof/>
                <w:webHidden/>
              </w:rPr>
              <w:fldChar w:fldCharType="separate"/>
            </w:r>
            <w:r w:rsidR="0008188F">
              <w:rPr>
                <w:noProof/>
                <w:webHidden/>
              </w:rPr>
              <w:t>v</w:t>
            </w:r>
            <w:r w:rsidR="008A5068">
              <w:rPr>
                <w:noProof/>
                <w:webHidden/>
              </w:rPr>
              <w:fldChar w:fldCharType="end"/>
            </w:r>
          </w:hyperlink>
        </w:p>
        <w:p w14:paraId="4AF6D24A" w14:textId="38349DFB" w:rsidR="008A5068" w:rsidRDefault="0008188F">
          <w:pPr>
            <w:pStyle w:val="TOC1"/>
            <w:rPr>
              <w:rFonts w:asciiTheme="minorHAnsi" w:eastAsiaTheme="minorEastAsia" w:hAnsiTheme="minorHAnsi"/>
              <w:noProof/>
              <w:sz w:val="22"/>
              <w:lang w:val="en-US"/>
            </w:rPr>
          </w:pPr>
          <w:hyperlink w:anchor="_Toc45837530" w:history="1">
            <w:r w:rsidR="008A5068" w:rsidRPr="00BD128E">
              <w:rPr>
                <w:rStyle w:val="Hyperlink"/>
                <w:rFonts w:cs="Times New Roman"/>
                <w:noProof/>
                <w:lang w:val="en-US"/>
              </w:rPr>
              <w:t>Abstract</w:t>
            </w:r>
            <w:r w:rsidR="008A5068">
              <w:rPr>
                <w:noProof/>
                <w:webHidden/>
              </w:rPr>
              <w:tab/>
            </w:r>
            <w:r w:rsidR="008A5068">
              <w:rPr>
                <w:noProof/>
                <w:webHidden/>
              </w:rPr>
              <w:fldChar w:fldCharType="begin"/>
            </w:r>
            <w:r w:rsidR="008A5068">
              <w:rPr>
                <w:noProof/>
                <w:webHidden/>
              </w:rPr>
              <w:instrText xml:space="preserve"> PAGEREF _Toc45837530 \h </w:instrText>
            </w:r>
            <w:r w:rsidR="008A5068">
              <w:rPr>
                <w:noProof/>
                <w:webHidden/>
              </w:rPr>
            </w:r>
            <w:r w:rsidR="008A5068">
              <w:rPr>
                <w:noProof/>
                <w:webHidden/>
              </w:rPr>
              <w:fldChar w:fldCharType="separate"/>
            </w:r>
            <w:r>
              <w:rPr>
                <w:noProof/>
                <w:webHidden/>
              </w:rPr>
              <w:t>vii</w:t>
            </w:r>
            <w:r w:rsidR="008A5068">
              <w:rPr>
                <w:noProof/>
                <w:webHidden/>
              </w:rPr>
              <w:fldChar w:fldCharType="end"/>
            </w:r>
          </w:hyperlink>
        </w:p>
        <w:p w14:paraId="79EE32ED" w14:textId="13B2F578" w:rsidR="008A5068" w:rsidRDefault="0008188F">
          <w:pPr>
            <w:pStyle w:val="TOC1"/>
            <w:rPr>
              <w:rFonts w:asciiTheme="minorHAnsi" w:eastAsiaTheme="minorEastAsia" w:hAnsiTheme="minorHAnsi"/>
              <w:noProof/>
              <w:sz w:val="22"/>
              <w:lang w:val="en-US"/>
            </w:rPr>
          </w:pPr>
          <w:hyperlink w:anchor="_Toc45837531" w:history="1">
            <w:r w:rsidR="008A5068" w:rsidRPr="00BD128E">
              <w:rPr>
                <w:rStyle w:val="Hyperlink"/>
                <w:rFonts w:cs="Times New Roman"/>
                <w:noProof/>
                <w:lang w:val="en-US"/>
              </w:rPr>
              <w:t xml:space="preserve">Chapter 1 – </w:t>
            </w:r>
            <w:r w:rsidR="008A5068" w:rsidRPr="00BD128E">
              <w:rPr>
                <w:rStyle w:val="Hyperlink"/>
                <w:noProof/>
                <w:lang w:val="en-US"/>
              </w:rPr>
              <w:t>Introduction</w:t>
            </w:r>
            <w:r w:rsidR="008A5068">
              <w:rPr>
                <w:noProof/>
                <w:webHidden/>
              </w:rPr>
              <w:tab/>
            </w:r>
            <w:r w:rsidR="008A5068">
              <w:rPr>
                <w:noProof/>
                <w:webHidden/>
              </w:rPr>
              <w:fldChar w:fldCharType="begin"/>
            </w:r>
            <w:r w:rsidR="008A5068">
              <w:rPr>
                <w:noProof/>
                <w:webHidden/>
              </w:rPr>
              <w:instrText xml:space="preserve"> PAGEREF _Toc45837531 \h </w:instrText>
            </w:r>
            <w:r w:rsidR="008A5068">
              <w:rPr>
                <w:noProof/>
                <w:webHidden/>
              </w:rPr>
            </w:r>
            <w:r w:rsidR="008A5068">
              <w:rPr>
                <w:noProof/>
                <w:webHidden/>
              </w:rPr>
              <w:fldChar w:fldCharType="separate"/>
            </w:r>
            <w:r>
              <w:rPr>
                <w:noProof/>
                <w:webHidden/>
              </w:rPr>
              <w:t>1</w:t>
            </w:r>
            <w:r w:rsidR="008A5068">
              <w:rPr>
                <w:noProof/>
                <w:webHidden/>
              </w:rPr>
              <w:fldChar w:fldCharType="end"/>
            </w:r>
          </w:hyperlink>
        </w:p>
        <w:p w14:paraId="4224AA54" w14:textId="67F3AD48" w:rsidR="008A5068" w:rsidRDefault="0008188F">
          <w:pPr>
            <w:pStyle w:val="TOC2"/>
            <w:rPr>
              <w:rFonts w:asciiTheme="minorHAnsi" w:eastAsiaTheme="minorEastAsia" w:hAnsiTheme="minorHAnsi"/>
              <w:noProof/>
              <w:sz w:val="22"/>
              <w:lang w:val="en-US"/>
            </w:rPr>
          </w:pPr>
          <w:hyperlink w:anchor="_Toc45837532" w:history="1">
            <w:r w:rsidR="008A5068" w:rsidRPr="00BD128E">
              <w:rPr>
                <w:rStyle w:val="Hyperlink"/>
                <w:noProof/>
              </w:rPr>
              <w:t>Formation of Dental Caries</w:t>
            </w:r>
            <w:r w:rsidR="008A5068">
              <w:rPr>
                <w:noProof/>
                <w:webHidden/>
              </w:rPr>
              <w:tab/>
            </w:r>
            <w:r w:rsidR="008A5068">
              <w:rPr>
                <w:noProof/>
                <w:webHidden/>
              </w:rPr>
              <w:fldChar w:fldCharType="begin"/>
            </w:r>
            <w:r w:rsidR="008A5068">
              <w:rPr>
                <w:noProof/>
                <w:webHidden/>
              </w:rPr>
              <w:instrText xml:space="preserve"> PAGEREF _Toc45837532 \h </w:instrText>
            </w:r>
            <w:r w:rsidR="008A5068">
              <w:rPr>
                <w:noProof/>
                <w:webHidden/>
              </w:rPr>
            </w:r>
            <w:r w:rsidR="008A5068">
              <w:rPr>
                <w:noProof/>
                <w:webHidden/>
              </w:rPr>
              <w:fldChar w:fldCharType="separate"/>
            </w:r>
            <w:r>
              <w:rPr>
                <w:noProof/>
                <w:webHidden/>
              </w:rPr>
              <w:t>2</w:t>
            </w:r>
            <w:r w:rsidR="008A5068">
              <w:rPr>
                <w:noProof/>
                <w:webHidden/>
              </w:rPr>
              <w:fldChar w:fldCharType="end"/>
            </w:r>
          </w:hyperlink>
        </w:p>
        <w:p w14:paraId="13A738A7" w14:textId="10CA08FD" w:rsidR="008A5068" w:rsidRDefault="0008188F">
          <w:pPr>
            <w:pStyle w:val="TOC2"/>
            <w:rPr>
              <w:rFonts w:asciiTheme="minorHAnsi" w:eastAsiaTheme="minorEastAsia" w:hAnsiTheme="minorHAnsi"/>
              <w:noProof/>
              <w:sz w:val="22"/>
              <w:lang w:val="en-US"/>
            </w:rPr>
          </w:pPr>
          <w:hyperlink w:anchor="_Toc45837533" w:history="1">
            <w:r w:rsidR="008A5068" w:rsidRPr="00BD128E">
              <w:rPr>
                <w:rStyle w:val="Hyperlink"/>
                <w:noProof/>
              </w:rPr>
              <w:t>Dental Restoration Techniques</w:t>
            </w:r>
            <w:r w:rsidR="008A5068">
              <w:rPr>
                <w:noProof/>
                <w:webHidden/>
              </w:rPr>
              <w:tab/>
            </w:r>
            <w:r w:rsidR="008A5068">
              <w:rPr>
                <w:noProof/>
                <w:webHidden/>
              </w:rPr>
              <w:fldChar w:fldCharType="begin"/>
            </w:r>
            <w:r w:rsidR="008A5068">
              <w:rPr>
                <w:noProof/>
                <w:webHidden/>
              </w:rPr>
              <w:instrText xml:space="preserve"> PAGEREF _Toc45837533 \h </w:instrText>
            </w:r>
            <w:r w:rsidR="008A5068">
              <w:rPr>
                <w:noProof/>
                <w:webHidden/>
              </w:rPr>
            </w:r>
            <w:r w:rsidR="008A5068">
              <w:rPr>
                <w:noProof/>
                <w:webHidden/>
              </w:rPr>
              <w:fldChar w:fldCharType="separate"/>
            </w:r>
            <w:r>
              <w:rPr>
                <w:noProof/>
                <w:webHidden/>
              </w:rPr>
              <w:t>4</w:t>
            </w:r>
            <w:r w:rsidR="008A5068">
              <w:rPr>
                <w:noProof/>
                <w:webHidden/>
              </w:rPr>
              <w:fldChar w:fldCharType="end"/>
            </w:r>
          </w:hyperlink>
        </w:p>
        <w:p w14:paraId="113513DF" w14:textId="4E57D882" w:rsidR="008A5068" w:rsidRDefault="0008188F">
          <w:pPr>
            <w:pStyle w:val="TOC2"/>
            <w:rPr>
              <w:rFonts w:asciiTheme="minorHAnsi" w:eastAsiaTheme="minorEastAsia" w:hAnsiTheme="minorHAnsi"/>
              <w:noProof/>
              <w:sz w:val="22"/>
              <w:lang w:val="en-US"/>
            </w:rPr>
          </w:pPr>
          <w:hyperlink w:anchor="_Toc45837534" w:history="1">
            <w:r w:rsidR="008A5068" w:rsidRPr="00BD128E">
              <w:rPr>
                <w:rStyle w:val="Hyperlink"/>
                <w:noProof/>
              </w:rPr>
              <w:t>Antibacterial Adhesives</w:t>
            </w:r>
            <w:r w:rsidR="008A5068">
              <w:rPr>
                <w:noProof/>
                <w:webHidden/>
              </w:rPr>
              <w:tab/>
            </w:r>
            <w:r w:rsidR="008A5068">
              <w:rPr>
                <w:noProof/>
                <w:webHidden/>
              </w:rPr>
              <w:fldChar w:fldCharType="begin"/>
            </w:r>
            <w:r w:rsidR="008A5068">
              <w:rPr>
                <w:noProof/>
                <w:webHidden/>
              </w:rPr>
              <w:instrText xml:space="preserve"> PAGEREF _Toc45837534 \h </w:instrText>
            </w:r>
            <w:r w:rsidR="008A5068">
              <w:rPr>
                <w:noProof/>
                <w:webHidden/>
              </w:rPr>
            </w:r>
            <w:r w:rsidR="008A5068">
              <w:rPr>
                <w:noProof/>
                <w:webHidden/>
              </w:rPr>
              <w:fldChar w:fldCharType="separate"/>
            </w:r>
            <w:r>
              <w:rPr>
                <w:noProof/>
                <w:webHidden/>
              </w:rPr>
              <w:t>10</w:t>
            </w:r>
            <w:r w:rsidR="008A5068">
              <w:rPr>
                <w:noProof/>
                <w:webHidden/>
              </w:rPr>
              <w:fldChar w:fldCharType="end"/>
            </w:r>
          </w:hyperlink>
        </w:p>
        <w:p w14:paraId="3C480424" w14:textId="472D7EBD" w:rsidR="008A5068" w:rsidRDefault="0008188F">
          <w:pPr>
            <w:pStyle w:val="TOC3"/>
            <w:tabs>
              <w:tab w:val="right" w:leader="dot" w:pos="8198"/>
            </w:tabs>
            <w:rPr>
              <w:rFonts w:asciiTheme="minorHAnsi" w:eastAsiaTheme="minorEastAsia" w:hAnsiTheme="minorHAnsi"/>
              <w:noProof/>
              <w:sz w:val="22"/>
              <w:lang w:val="en-US"/>
            </w:rPr>
          </w:pPr>
          <w:hyperlink w:anchor="_Toc45837535" w:history="1">
            <w:r w:rsidR="008A5068" w:rsidRPr="00BD128E">
              <w:rPr>
                <w:rStyle w:val="Hyperlink"/>
                <w:noProof/>
              </w:rPr>
              <w:t>Zinc Oxide Nanoparticles</w:t>
            </w:r>
            <w:r w:rsidR="008A5068">
              <w:rPr>
                <w:noProof/>
                <w:webHidden/>
              </w:rPr>
              <w:tab/>
            </w:r>
            <w:r w:rsidR="008A5068">
              <w:rPr>
                <w:noProof/>
                <w:webHidden/>
              </w:rPr>
              <w:fldChar w:fldCharType="begin"/>
            </w:r>
            <w:r w:rsidR="008A5068">
              <w:rPr>
                <w:noProof/>
                <w:webHidden/>
              </w:rPr>
              <w:instrText xml:space="preserve"> PAGEREF _Toc45837535 \h </w:instrText>
            </w:r>
            <w:r w:rsidR="008A5068">
              <w:rPr>
                <w:noProof/>
                <w:webHidden/>
              </w:rPr>
            </w:r>
            <w:r w:rsidR="008A5068">
              <w:rPr>
                <w:noProof/>
                <w:webHidden/>
              </w:rPr>
              <w:fldChar w:fldCharType="separate"/>
            </w:r>
            <w:r>
              <w:rPr>
                <w:noProof/>
                <w:webHidden/>
              </w:rPr>
              <w:t>11</w:t>
            </w:r>
            <w:r w:rsidR="008A5068">
              <w:rPr>
                <w:noProof/>
                <w:webHidden/>
              </w:rPr>
              <w:fldChar w:fldCharType="end"/>
            </w:r>
          </w:hyperlink>
        </w:p>
        <w:p w14:paraId="31D3A069" w14:textId="0DB76891" w:rsidR="008A5068" w:rsidRDefault="0008188F">
          <w:pPr>
            <w:pStyle w:val="TOC3"/>
            <w:tabs>
              <w:tab w:val="right" w:leader="dot" w:pos="8198"/>
            </w:tabs>
            <w:rPr>
              <w:rFonts w:asciiTheme="minorHAnsi" w:eastAsiaTheme="minorEastAsia" w:hAnsiTheme="minorHAnsi"/>
              <w:noProof/>
              <w:sz w:val="22"/>
              <w:lang w:val="en-US"/>
            </w:rPr>
          </w:pPr>
          <w:hyperlink w:anchor="_Toc45837536" w:history="1">
            <w:r w:rsidR="008A5068" w:rsidRPr="00BD128E">
              <w:rPr>
                <w:rStyle w:val="Hyperlink"/>
                <w:noProof/>
              </w:rPr>
              <w:t>Titanium Dioxide Nanoparticles</w:t>
            </w:r>
            <w:r w:rsidR="008A5068">
              <w:rPr>
                <w:noProof/>
                <w:webHidden/>
              </w:rPr>
              <w:tab/>
            </w:r>
            <w:r w:rsidR="008A5068">
              <w:rPr>
                <w:noProof/>
                <w:webHidden/>
              </w:rPr>
              <w:fldChar w:fldCharType="begin"/>
            </w:r>
            <w:r w:rsidR="008A5068">
              <w:rPr>
                <w:noProof/>
                <w:webHidden/>
              </w:rPr>
              <w:instrText xml:space="preserve"> PAGEREF _Toc45837536 \h </w:instrText>
            </w:r>
            <w:r w:rsidR="008A5068">
              <w:rPr>
                <w:noProof/>
                <w:webHidden/>
              </w:rPr>
            </w:r>
            <w:r w:rsidR="008A5068">
              <w:rPr>
                <w:noProof/>
                <w:webHidden/>
              </w:rPr>
              <w:fldChar w:fldCharType="separate"/>
            </w:r>
            <w:r>
              <w:rPr>
                <w:noProof/>
                <w:webHidden/>
              </w:rPr>
              <w:t>12</w:t>
            </w:r>
            <w:r w:rsidR="008A5068">
              <w:rPr>
                <w:noProof/>
                <w:webHidden/>
              </w:rPr>
              <w:fldChar w:fldCharType="end"/>
            </w:r>
          </w:hyperlink>
        </w:p>
        <w:p w14:paraId="1EBDB2FD" w14:textId="59075873" w:rsidR="008A5068" w:rsidRDefault="0008188F">
          <w:pPr>
            <w:pStyle w:val="TOC3"/>
            <w:tabs>
              <w:tab w:val="right" w:leader="dot" w:pos="8198"/>
            </w:tabs>
            <w:rPr>
              <w:rFonts w:asciiTheme="minorHAnsi" w:eastAsiaTheme="minorEastAsia" w:hAnsiTheme="minorHAnsi"/>
              <w:noProof/>
              <w:sz w:val="22"/>
              <w:lang w:val="en-US"/>
            </w:rPr>
          </w:pPr>
          <w:hyperlink w:anchor="_Toc45837537" w:history="1">
            <w:r w:rsidR="008A5068" w:rsidRPr="00BD128E">
              <w:rPr>
                <w:rStyle w:val="Hyperlink"/>
                <w:noProof/>
              </w:rPr>
              <w:t>Surfactant: Dimethyldodeclyamine oxide</w:t>
            </w:r>
            <w:r w:rsidR="008A5068">
              <w:rPr>
                <w:noProof/>
                <w:webHidden/>
              </w:rPr>
              <w:tab/>
            </w:r>
            <w:r w:rsidR="008A5068">
              <w:rPr>
                <w:noProof/>
                <w:webHidden/>
              </w:rPr>
              <w:fldChar w:fldCharType="begin"/>
            </w:r>
            <w:r w:rsidR="008A5068">
              <w:rPr>
                <w:noProof/>
                <w:webHidden/>
              </w:rPr>
              <w:instrText xml:space="preserve"> PAGEREF _Toc45837537 \h </w:instrText>
            </w:r>
            <w:r w:rsidR="008A5068">
              <w:rPr>
                <w:noProof/>
                <w:webHidden/>
              </w:rPr>
            </w:r>
            <w:r w:rsidR="008A5068">
              <w:rPr>
                <w:noProof/>
                <w:webHidden/>
              </w:rPr>
              <w:fldChar w:fldCharType="separate"/>
            </w:r>
            <w:r>
              <w:rPr>
                <w:noProof/>
                <w:webHidden/>
              </w:rPr>
              <w:t>13</w:t>
            </w:r>
            <w:r w:rsidR="008A5068">
              <w:rPr>
                <w:noProof/>
                <w:webHidden/>
              </w:rPr>
              <w:fldChar w:fldCharType="end"/>
            </w:r>
          </w:hyperlink>
        </w:p>
        <w:p w14:paraId="6E885B64" w14:textId="681A0A7D" w:rsidR="008A5068" w:rsidRDefault="0008188F">
          <w:pPr>
            <w:pStyle w:val="TOC1"/>
            <w:rPr>
              <w:rFonts w:asciiTheme="minorHAnsi" w:eastAsiaTheme="minorEastAsia" w:hAnsiTheme="minorHAnsi"/>
              <w:noProof/>
              <w:sz w:val="22"/>
              <w:lang w:val="en-US"/>
            </w:rPr>
          </w:pPr>
          <w:hyperlink w:anchor="_Toc45837538" w:history="1">
            <w:r w:rsidR="008A5068" w:rsidRPr="00BD128E">
              <w:rPr>
                <w:rStyle w:val="Hyperlink"/>
                <w:rFonts w:cs="Times New Roman"/>
                <w:noProof/>
                <w:lang w:val="en-US"/>
              </w:rPr>
              <w:t>Chapter 2 –Drop Penetration Method to Study Surface Properties on Nanoparticles</w:t>
            </w:r>
            <w:r w:rsidR="008A5068">
              <w:rPr>
                <w:noProof/>
                <w:webHidden/>
              </w:rPr>
              <w:tab/>
            </w:r>
            <w:r w:rsidR="008A5068">
              <w:rPr>
                <w:noProof/>
                <w:webHidden/>
              </w:rPr>
              <w:fldChar w:fldCharType="begin"/>
            </w:r>
            <w:r w:rsidR="008A5068">
              <w:rPr>
                <w:noProof/>
                <w:webHidden/>
              </w:rPr>
              <w:instrText xml:space="preserve"> PAGEREF _Toc45837538 \h </w:instrText>
            </w:r>
            <w:r w:rsidR="008A5068">
              <w:rPr>
                <w:noProof/>
                <w:webHidden/>
              </w:rPr>
            </w:r>
            <w:r w:rsidR="008A5068">
              <w:rPr>
                <w:noProof/>
                <w:webHidden/>
              </w:rPr>
              <w:fldChar w:fldCharType="separate"/>
            </w:r>
            <w:r>
              <w:rPr>
                <w:noProof/>
                <w:webHidden/>
              </w:rPr>
              <w:t>16</w:t>
            </w:r>
            <w:r w:rsidR="008A5068">
              <w:rPr>
                <w:noProof/>
                <w:webHidden/>
              </w:rPr>
              <w:fldChar w:fldCharType="end"/>
            </w:r>
          </w:hyperlink>
        </w:p>
        <w:p w14:paraId="0026F01C" w14:textId="1594D4FB" w:rsidR="008A5068" w:rsidRDefault="0008188F">
          <w:pPr>
            <w:pStyle w:val="TOC2"/>
            <w:rPr>
              <w:rFonts w:asciiTheme="minorHAnsi" w:eastAsiaTheme="minorEastAsia" w:hAnsiTheme="minorHAnsi"/>
              <w:noProof/>
              <w:sz w:val="22"/>
              <w:lang w:val="en-US"/>
            </w:rPr>
          </w:pPr>
          <w:hyperlink w:anchor="_Toc45837539" w:history="1">
            <w:r w:rsidR="008A5068" w:rsidRPr="00BD128E">
              <w:rPr>
                <w:rStyle w:val="Hyperlink"/>
                <w:noProof/>
              </w:rPr>
              <w:t>Introduction</w:t>
            </w:r>
            <w:r w:rsidR="008A5068">
              <w:rPr>
                <w:noProof/>
                <w:webHidden/>
              </w:rPr>
              <w:tab/>
            </w:r>
            <w:r w:rsidR="008A5068">
              <w:rPr>
                <w:noProof/>
                <w:webHidden/>
              </w:rPr>
              <w:fldChar w:fldCharType="begin"/>
            </w:r>
            <w:r w:rsidR="008A5068">
              <w:rPr>
                <w:noProof/>
                <w:webHidden/>
              </w:rPr>
              <w:instrText xml:space="preserve"> PAGEREF _Toc45837539 \h </w:instrText>
            </w:r>
            <w:r w:rsidR="008A5068">
              <w:rPr>
                <w:noProof/>
                <w:webHidden/>
              </w:rPr>
            </w:r>
            <w:r w:rsidR="008A5068">
              <w:rPr>
                <w:noProof/>
                <w:webHidden/>
              </w:rPr>
              <w:fldChar w:fldCharType="separate"/>
            </w:r>
            <w:r>
              <w:rPr>
                <w:noProof/>
                <w:webHidden/>
              </w:rPr>
              <w:t>16</w:t>
            </w:r>
            <w:r w:rsidR="008A5068">
              <w:rPr>
                <w:noProof/>
                <w:webHidden/>
              </w:rPr>
              <w:fldChar w:fldCharType="end"/>
            </w:r>
          </w:hyperlink>
        </w:p>
        <w:p w14:paraId="70D6217C" w14:textId="72A30974" w:rsidR="008A5068" w:rsidRDefault="0008188F">
          <w:pPr>
            <w:pStyle w:val="TOC3"/>
            <w:tabs>
              <w:tab w:val="right" w:leader="dot" w:pos="8198"/>
            </w:tabs>
            <w:rPr>
              <w:rFonts w:asciiTheme="minorHAnsi" w:eastAsiaTheme="minorEastAsia" w:hAnsiTheme="minorHAnsi"/>
              <w:noProof/>
              <w:sz w:val="22"/>
              <w:lang w:val="en-US"/>
            </w:rPr>
          </w:pPr>
          <w:hyperlink w:anchor="_Toc45837540" w:history="1">
            <w:r w:rsidR="008A5068" w:rsidRPr="00BD128E">
              <w:rPr>
                <w:rStyle w:val="Hyperlink"/>
                <w:noProof/>
              </w:rPr>
              <w:t>Theory</w:t>
            </w:r>
            <w:r w:rsidR="008A5068">
              <w:rPr>
                <w:noProof/>
                <w:webHidden/>
              </w:rPr>
              <w:tab/>
            </w:r>
            <w:r w:rsidR="008A5068">
              <w:rPr>
                <w:noProof/>
                <w:webHidden/>
              </w:rPr>
              <w:fldChar w:fldCharType="begin"/>
            </w:r>
            <w:r w:rsidR="008A5068">
              <w:rPr>
                <w:noProof/>
                <w:webHidden/>
              </w:rPr>
              <w:instrText xml:space="preserve"> PAGEREF _Toc45837540 \h </w:instrText>
            </w:r>
            <w:r w:rsidR="008A5068">
              <w:rPr>
                <w:noProof/>
                <w:webHidden/>
              </w:rPr>
            </w:r>
            <w:r w:rsidR="008A5068">
              <w:rPr>
                <w:noProof/>
                <w:webHidden/>
              </w:rPr>
              <w:fldChar w:fldCharType="separate"/>
            </w:r>
            <w:r>
              <w:rPr>
                <w:noProof/>
                <w:webHidden/>
              </w:rPr>
              <w:t>21</w:t>
            </w:r>
            <w:r w:rsidR="008A5068">
              <w:rPr>
                <w:noProof/>
                <w:webHidden/>
              </w:rPr>
              <w:fldChar w:fldCharType="end"/>
            </w:r>
          </w:hyperlink>
        </w:p>
        <w:p w14:paraId="61CF7E8B" w14:textId="0A5FFA72" w:rsidR="008A5068" w:rsidRDefault="0008188F">
          <w:pPr>
            <w:pStyle w:val="TOC2"/>
            <w:rPr>
              <w:rFonts w:asciiTheme="minorHAnsi" w:eastAsiaTheme="minorEastAsia" w:hAnsiTheme="minorHAnsi"/>
              <w:noProof/>
              <w:sz w:val="22"/>
              <w:lang w:val="en-US"/>
            </w:rPr>
          </w:pPr>
          <w:hyperlink w:anchor="_Toc45837541" w:history="1">
            <w:r w:rsidR="008A5068" w:rsidRPr="00BD128E">
              <w:rPr>
                <w:rStyle w:val="Hyperlink"/>
                <w:noProof/>
              </w:rPr>
              <w:t>Materials and Methods</w:t>
            </w:r>
            <w:r w:rsidR="008A5068">
              <w:rPr>
                <w:noProof/>
                <w:webHidden/>
              </w:rPr>
              <w:tab/>
            </w:r>
            <w:r w:rsidR="008A5068">
              <w:rPr>
                <w:noProof/>
                <w:webHidden/>
              </w:rPr>
              <w:fldChar w:fldCharType="begin"/>
            </w:r>
            <w:r w:rsidR="008A5068">
              <w:rPr>
                <w:noProof/>
                <w:webHidden/>
              </w:rPr>
              <w:instrText xml:space="preserve"> PAGEREF _Toc45837541 \h </w:instrText>
            </w:r>
            <w:r w:rsidR="008A5068">
              <w:rPr>
                <w:noProof/>
                <w:webHidden/>
              </w:rPr>
            </w:r>
            <w:r w:rsidR="008A5068">
              <w:rPr>
                <w:noProof/>
                <w:webHidden/>
              </w:rPr>
              <w:fldChar w:fldCharType="separate"/>
            </w:r>
            <w:r>
              <w:rPr>
                <w:noProof/>
                <w:webHidden/>
              </w:rPr>
              <w:t>22</w:t>
            </w:r>
            <w:r w:rsidR="008A5068">
              <w:rPr>
                <w:noProof/>
                <w:webHidden/>
              </w:rPr>
              <w:fldChar w:fldCharType="end"/>
            </w:r>
          </w:hyperlink>
        </w:p>
        <w:p w14:paraId="70368351" w14:textId="69305C64" w:rsidR="008A5068" w:rsidRDefault="0008188F">
          <w:pPr>
            <w:pStyle w:val="TOC3"/>
            <w:tabs>
              <w:tab w:val="right" w:leader="dot" w:pos="8198"/>
            </w:tabs>
            <w:rPr>
              <w:rFonts w:asciiTheme="minorHAnsi" w:eastAsiaTheme="minorEastAsia" w:hAnsiTheme="minorHAnsi"/>
              <w:noProof/>
              <w:sz w:val="22"/>
              <w:lang w:val="en-US"/>
            </w:rPr>
          </w:pPr>
          <w:hyperlink w:anchor="_Toc45837542" w:history="1">
            <w:r w:rsidR="008A5068" w:rsidRPr="00BD128E">
              <w:rPr>
                <w:rStyle w:val="Hyperlink"/>
                <w:noProof/>
              </w:rPr>
              <w:t>Nanoparticle Powders</w:t>
            </w:r>
            <w:r w:rsidR="008A5068">
              <w:rPr>
                <w:noProof/>
                <w:webHidden/>
              </w:rPr>
              <w:tab/>
            </w:r>
            <w:r w:rsidR="008A5068">
              <w:rPr>
                <w:noProof/>
                <w:webHidden/>
              </w:rPr>
              <w:fldChar w:fldCharType="begin"/>
            </w:r>
            <w:r w:rsidR="008A5068">
              <w:rPr>
                <w:noProof/>
                <w:webHidden/>
              </w:rPr>
              <w:instrText xml:space="preserve"> PAGEREF _Toc45837542 \h </w:instrText>
            </w:r>
            <w:r w:rsidR="008A5068">
              <w:rPr>
                <w:noProof/>
                <w:webHidden/>
              </w:rPr>
            </w:r>
            <w:r w:rsidR="008A5068">
              <w:rPr>
                <w:noProof/>
                <w:webHidden/>
              </w:rPr>
              <w:fldChar w:fldCharType="separate"/>
            </w:r>
            <w:r>
              <w:rPr>
                <w:noProof/>
                <w:webHidden/>
              </w:rPr>
              <w:t>22</w:t>
            </w:r>
            <w:r w:rsidR="008A5068">
              <w:rPr>
                <w:noProof/>
                <w:webHidden/>
              </w:rPr>
              <w:fldChar w:fldCharType="end"/>
            </w:r>
          </w:hyperlink>
        </w:p>
        <w:p w14:paraId="7658BF0C" w14:textId="0A4D3E72" w:rsidR="008A5068" w:rsidRDefault="0008188F">
          <w:pPr>
            <w:pStyle w:val="TOC3"/>
            <w:tabs>
              <w:tab w:val="right" w:leader="dot" w:pos="8198"/>
            </w:tabs>
            <w:rPr>
              <w:rFonts w:asciiTheme="minorHAnsi" w:eastAsiaTheme="minorEastAsia" w:hAnsiTheme="minorHAnsi"/>
              <w:noProof/>
              <w:sz w:val="22"/>
              <w:lang w:val="en-US"/>
            </w:rPr>
          </w:pPr>
          <w:hyperlink w:anchor="_Toc45837543" w:history="1">
            <w:r w:rsidR="008A5068" w:rsidRPr="00BD128E">
              <w:rPr>
                <w:rStyle w:val="Hyperlink"/>
                <w:noProof/>
              </w:rPr>
              <w:t>Fabrication of specimens</w:t>
            </w:r>
            <w:r w:rsidR="008A5068">
              <w:rPr>
                <w:noProof/>
                <w:webHidden/>
              </w:rPr>
              <w:tab/>
            </w:r>
            <w:r w:rsidR="008A5068">
              <w:rPr>
                <w:noProof/>
                <w:webHidden/>
              </w:rPr>
              <w:fldChar w:fldCharType="begin"/>
            </w:r>
            <w:r w:rsidR="008A5068">
              <w:rPr>
                <w:noProof/>
                <w:webHidden/>
              </w:rPr>
              <w:instrText xml:space="preserve"> PAGEREF _Toc45837543 \h </w:instrText>
            </w:r>
            <w:r w:rsidR="008A5068">
              <w:rPr>
                <w:noProof/>
                <w:webHidden/>
              </w:rPr>
            </w:r>
            <w:r w:rsidR="008A5068">
              <w:rPr>
                <w:noProof/>
                <w:webHidden/>
              </w:rPr>
              <w:fldChar w:fldCharType="separate"/>
            </w:r>
            <w:r>
              <w:rPr>
                <w:noProof/>
                <w:webHidden/>
              </w:rPr>
              <w:t>23</w:t>
            </w:r>
            <w:r w:rsidR="008A5068">
              <w:rPr>
                <w:noProof/>
                <w:webHidden/>
              </w:rPr>
              <w:fldChar w:fldCharType="end"/>
            </w:r>
          </w:hyperlink>
        </w:p>
        <w:p w14:paraId="45A61CAE" w14:textId="3EDA60FC" w:rsidR="008A5068" w:rsidRDefault="0008188F">
          <w:pPr>
            <w:pStyle w:val="TOC3"/>
            <w:tabs>
              <w:tab w:val="right" w:leader="dot" w:pos="8198"/>
            </w:tabs>
            <w:rPr>
              <w:rFonts w:asciiTheme="minorHAnsi" w:eastAsiaTheme="minorEastAsia" w:hAnsiTheme="minorHAnsi"/>
              <w:noProof/>
              <w:sz w:val="22"/>
              <w:lang w:val="en-US"/>
            </w:rPr>
          </w:pPr>
          <w:hyperlink w:anchor="_Toc45837544" w:history="1">
            <w:r w:rsidR="008A5068" w:rsidRPr="00BD128E">
              <w:rPr>
                <w:rStyle w:val="Hyperlink"/>
                <w:noProof/>
              </w:rPr>
              <w:t>Solvents</w:t>
            </w:r>
            <w:r w:rsidR="008A5068">
              <w:rPr>
                <w:noProof/>
                <w:webHidden/>
              </w:rPr>
              <w:tab/>
            </w:r>
            <w:r w:rsidR="008A5068">
              <w:rPr>
                <w:noProof/>
                <w:webHidden/>
              </w:rPr>
              <w:fldChar w:fldCharType="begin"/>
            </w:r>
            <w:r w:rsidR="008A5068">
              <w:rPr>
                <w:noProof/>
                <w:webHidden/>
              </w:rPr>
              <w:instrText xml:space="preserve"> PAGEREF _Toc45837544 \h </w:instrText>
            </w:r>
            <w:r w:rsidR="008A5068">
              <w:rPr>
                <w:noProof/>
                <w:webHidden/>
              </w:rPr>
            </w:r>
            <w:r w:rsidR="008A5068">
              <w:rPr>
                <w:noProof/>
                <w:webHidden/>
              </w:rPr>
              <w:fldChar w:fldCharType="separate"/>
            </w:r>
            <w:r>
              <w:rPr>
                <w:noProof/>
                <w:webHidden/>
              </w:rPr>
              <w:t>24</w:t>
            </w:r>
            <w:r w:rsidR="008A5068">
              <w:rPr>
                <w:noProof/>
                <w:webHidden/>
              </w:rPr>
              <w:fldChar w:fldCharType="end"/>
            </w:r>
          </w:hyperlink>
        </w:p>
        <w:p w14:paraId="10A719A7" w14:textId="323ECF58" w:rsidR="008A5068" w:rsidRDefault="0008188F">
          <w:pPr>
            <w:pStyle w:val="TOC3"/>
            <w:tabs>
              <w:tab w:val="right" w:leader="dot" w:pos="8198"/>
            </w:tabs>
            <w:rPr>
              <w:rFonts w:asciiTheme="minorHAnsi" w:eastAsiaTheme="minorEastAsia" w:hAnsiTheme="minorHAnsi"/>
              <w:noProof/>
              <w:sz w:val="22"/>
              <w:lang w:val="en-US"/>
            </w:rPr>
          </w:pPr>
          <w:hyperlink w:anchor="_Toc45837545" w:history="1">
            <w:r w:rsidR="008A5068" w:rsidRPr="00BD128E">
              <w:rPr>
                <w:rStyle w:val="Hyperlink"/>
                <w:noProof/>
              </w:rPr>
              <w:t>Contact angle measurements</w:t>
            </w:r>
            <w:r w:rsidR="008A5068">
              <w:rPr>
                <w:noProof/>
                <w:webHidden/>
              </w:rPr>
              <w:tab/>
            </w:r>
            <w:r w:rsidR="008A5068">
              <w:rPr>
                <w:noProof/>
                <w:webHidden/>
              </w:rPr>
              <w:fldChar w:fldCharType="begin"/>
            </w:r>
            <w:r w:rsidR="008A5068">
              <w:rPr>
                <w:noProof/>
                <w:webHidden/>
              </w:rPr>
              <w:instrText xml:space="preserve"> PAGEREF _Toc45837545 \h </w:instrText>
            </w:r>
            <w:r w:rsidR="008A5068">
              <w:rPr>
                <w:noProof/>
                <w:webHidden/>
              </w:rPr>
            </w:r>
            <w:r w:rsidR="008A5068">
              <w:rPr>
                <w:noProof/>
                <w:webHidden/>
              </w:rPr>
              <w:fldChar w:fldCharType="separate"/>
            </w:r>
            <w:r>
              <w:rPr>
                <w:noProof/>
                <w:webHidden/>
              </w:rPr>
              <w:t>25</w:t>
            </w:r>
            <w:r w:rsidR="008A5068">
              <w:rPr>
                <w:noProof/>
                <w:webHidden/>
              </w:rPr>
              <w:fldChar w:fldCharType="end"/>
            </w:r>
          </w:hyperlink>
        </w:p>
        <w:p w14:paraId="758FD85B" w14:textId="139C2890" w:rsidR="008A5068" w:rsidRDefault="0008188F">
          <w:pPr>
            <w:pStyle w:val="TOC2"/>
            <w:rPr>
              <w:rFonts w:asciiTheme="minorHAnsi" w:eastAsiaTheme="minorEastAsia" w:hAnsiTheme="minorHAnsi"/>
              <w:noProof/>
              <w:sz w:val="22"/>
              <w:lang w:val="en-US"/>
            </w:rPr>
          </w:pPr>
          <w:hyperlink w:anchor="_Toc45837546" w:history="1">
            <w:r w:rsidR="008A5068" w:rsidRPr="00BD128E">
              <w:rPr>
                <w:rStyle w:val="Hyperlink"/>
                <w:noProof/>
              </w:rPr>
              <w:t>Results and Discussion</w:t>
            </w:r>
            <w:r w:rsidR="008A5068">
              <w:rPr>
                <w:noProof/>
                <w:webHidden/>
              </w:rPr>
              <w:tab/>
            </w:r>
            <w:r w:rsidR="008A5068">
              <w:rPr>
                <w:noProof/>
                <w:webHidden/>
              </w:rPr>
              <w:fldChar w:fldCharType="begin"/>
            </w:r>
            <w:r w:rsidR="008A5068">
              <w:rPr>
                <w:noProof/>
                <w:webHidden/>
              </w:rPr>
              <w:instrText xml:space="preserve"> PAGEREF _Toc45837546 \h </w:instrText>
            </w:r>
            <w:r w:rsidR="008A5068">
              <w:rPr>
                <w:noProof/>
                <w:webHidden/>
              </w:rPr>
            </w:r>
            <w:r w:rsidR="008A5068">
              <w:rPr>
                <w:noProof/>
                <w:webHidden/>
              </w:rPr>
              <w:fldChar w:fldCharType="separate"/>
            </w:r>
            <w:r>
              <w:rPr>
                <w:noProof/>
                <w:webHidden/>
              </w:rPr>
              <w:t>28</w:t>
            </w:r>
            <w:r w:rsidR="008A5068">
              <w:rPr>
                <w:noProof/>
                <w:webHidden/>
              </w:rPr>
              <w:fldChar w:fldCharType="end"/>
            </w:r>
          </w:hyperlink>
        </w:p>
        <w:p w14:paraId="2A6C2035" w14:textId="18685AB9" w:rsidR="008A5068" w:rsidRDefault="0008188F">
          <w:pPr>
            <w:pStyle w:val="TOC1"/>
            <w:rPr>
              <w:rFonts w:asciiTheme="minorHAnsi" w:eastAsiaTheme="minorEastAsia" w:hAnsiTheme="minorHAnsi"/>
              <w:noProof/>
              <w:sz w:val="22"/>
              <w:lang w:val="en-US"/>
            </w:rPr>
          </w:pPr>
          <w:hyperlink w:anchor="_Toc45837547" w:history="1">
            <w:r w:rsidR="008A5068" w:rsidRPr="00BD128E">
              <w:rPr>
                <w:rStyle w:val="Hyperlink"/>
                <w:noProof/>
                <w:lang w:val="en-US"/>
              </w:rPr>
              <w:t xml:space="preserve">Chapter 3 – Potential of </w:t>
            </w:r>
            <w:r w:rsidR="008A5068" w:rsidRPr="00BD128E">
              <w:rPr>
                <w:rStyle w:val="Hyperlink"/>
                <w:rFonts w:cs="Times New Roman"/>
                <w:noProof/>
                <w:lang w:val="en-US"/>
              </w:rPr>
              <w:t>Antibacterial Adhesives for Dental Applications</w:t>
            </w:r>
            <w:r w:rsidR="008A5068">
              <w:rPr>
                <w:noProof/>
                <w:webHidden/>
              </w:rPr>
              <w:tab/>
            </w:r>
            <w:r w:rsidR="008A5068">
              <w:rPr>
                <w:noProof/>
                <w:webHidden/>
              </w:rPr>
              <w:fldChar w:fldCharType="begin"/>
            </w:r>
            <w:r w:rsidR="008A5068">
              <w:rPr>
                <w:noProof/>
                <w:webHidden/>
              </w:rPr>
              <w:instrText xml:space="preserve"> PAGEREF _Toc45837547 \h </w:instrText>
            </w:r>
            <w:r w:rsidR="008A5068">
              <w:rPr>
                <w:noProof/>
                <w:webHidden/>
              </w:rPr>
            </w:r>
            <w:r w:rsidR="008A5068">
              <w:rPr>
                <w:noProof/>
                <w:webHidden/>
              </w:rPr>
              <w:fldChar w:fldCharType="separate"/>
            </w:r>
            <w:r>
              <w:rPr>
                <w:noProof/>
                <w:webHidden/>
              </w:rPr>
              <w:t>38</w:t>
            </w:r>
            <w:r w:rsidR="008A5068">
              <w:rPr>
                <w:noProof/>
                <w:webHidden/>
              </w:rPr>
              <w:fldChar w:fldCharType="end"/>
            </w:r>
          </w:hyperlink>
        </w:p>
        <w:p w14:paraId="111C628E" w14:textId="571BC4C2" w:rsidR="008A5068" w:rsidRDefault="0008188F">
          <w:pPr>
            <w:pStyle w:val="TOC2"/>
            <w:rPr>
              <w:rFonts w:asciiTheme="minorHAnsi" w:eastAsiaTheme="minorEastAsia" w:hAnsiTheme="minorHAnsi"/>
              <w:noProof/>
              <w:sz w:val="22"/>
              <w:lang w:val="en-US"/>
            </w:rPr>
          </w:pPr>
          <w:hyperlink w:anchor="_Toc45837548" w:history="1">
            <w:r w:rsidR="008A5068" w:rsidRPr="00BD128E">
              <w:rPr>
                <w:rStyle w:val="Hyperlink"/>
                <w:noProof/>
              </w:rPr>
              <w:t>Introduction</w:t>
            </w:r>
            <w:r w:rsidR="008A5068">
              <w:rPr>
                <w:noProof/>
                <w:webHidden/>
              </w:rPr>
              <w:tab/>
            </w:r>
            <w:r w:rsidR="008A5068">
              <w:rPr>
                <w:noProof/>
                <w:webHidden/>
              </w:rPr>
              <w:fldChar w:fldCharType="begin"/>
            </w:r>
            <w:r w:rsidR="008A5068">
              <w:rPr>
                <w:noProof/>
                <w:webHidden/>
              </w:rPr>
              <w:instrText xml:space="preserve"> PAGEREF _Toc45837548 \h </w:instrText>
            </w:r>
            <w:r w:rsidR="008A5068">
              <w:rPr>
                <w:noProof/>
                <w:webHidden/>
              </w:rPr>
            </w:r>
            <w:r w:rsidR="008A5068">
              <w:rPr>
                <w:noProof/>
                <w:webHidden/>
              </w:rPr>
              <w:fldChar w:fldCharType="separate"/>
            </w:r>
            <w:r>
              <w:rPr>
                <w:noProof/>
                <w:webHidden/>
              </w:rPr>
              <w:t>38</w:t>
            </w:r>
            <w:r w:rsidR="008A5068">
              <w:rPr>
                <w:noProof/>
                <w:webHidden/>
              </w:rPr>
              <w:fldChar w:fldCharType="end"/>
            </w:r>
          </w:hyperlink>
        </w:p>
        <w:p w14:paraId="08FD9823" w14:textId="53161283" w:rsidR="008A5068" w:rsidRDefault="0008188F">
          <w:pPr>
            <w:pStyle w:val="TOC3"/>
            <w:tabs>
              <w:tab w:val="right" w:leader="dot" w:pos="8198"/>
            </w:tabs>
            <w:rPr>
              <w:rFonts w:asciiTheme="minorHAnsi" w:eastAsiaTheme="minorEastAsia" w:hAnsiTheme="minorHAnsi"/>
              <w:noProof/>
              <w:sz w:val="22"/>
              <w:lang w:val="en-US"/>
            </w:rPr>
          </w:pPr>
          <w:hyperlink w:anchor="_Toc45837549" w:history="1">
            <w:r w:rsidR="008A5068" w:rsidRPr="00BD128E">
              <w:rPr>
                <w:rStyle w:val="Hyperlink"/>
                <w:noProof/>
              </w:rPr>
              <w:t>Bacterial Influence</w:t>
            </w:r>
            <w:r w:rsidR="008A5068">
              <w:rPr>
                <w:noProof/>
                <w:webHidden/>
              </w:rPr>
              <w:tab/>
            </w:r>
            <w:r w:rsidR="008A5068">
              <w:rPr>
                <w:noProof/>
                <w:webHidden/>
              </w:rPr>
              <w:fldChar w:fldCharType="begin"/>
            </w:r>
            <w:r w:rsidR="008A5068">
              <w:rPr>
                <w:noProof/>
                <w:webHidden/>
              </w:rPr>
              <w:instrText xml:space="preserve"> PAGEREF _Toc45837549 \h </w:instrText>
            </w:r>
            <w:r w:rsidR="008A5068">
              <w:rPr>
                <w:noProof/>
                <w:webHidden/>
              </w:rPr>
            </w:r>
            <w:r w:rsidR="008A5068">
              <w:rPr>
                <w:noProof/>
                <w:webHidden/>
              </w:rPr>
              <w:fldChar w:fldCharType="separate"/>
            </w:r>
            <w:r>
              <w:rPr>
                <w:noProof/>
                <w:webHidden/>
              </w:rPr>
              <w:t>39</w:t>
            </w:r>
            <w:r w:rsidR="008A5068">
              <w:rPr>
                <w:noProof/>
                <w:webHidden/>
              </w:rPr>
              <w:fldChar w:fldCharType="end"/>
            </w:r>
          </w:hyperlink>
        </w:p>
        <w:p w14:paraId="03C23330" w14:textId="3CDE693D" w:rsidR="008A5068" w:rsidRDefault="0008188F">
          <w:pPr>
            <w:pStyle w:val="TOC3"/>
            <w:tabs>
              <w:tab w:val="right" w:leader="dot" w:pos="8198"/>
            </w:tabs>
            <w:rPr>
              <w:rFonts w:asciiTheme="minorHAnsi" w:eastAsiaTheme="minorEastAsia" w:hAnsiTheme="minorHAnsi"/>
              <w:noProof/>
              <w:sz w:val="22"/>
              <w:lang w:val="en-US"/>
            </w:rPr>
          </w:pPr>
          <w:hyperlink w:anchor="_Toc45837550" w:history="1">
            <w:r w:rsidR="008A5068" w:rsidRPr="00BD128E">
              <w:rPr>
                <w:rStyle w:val="Hyperlink"/>
                <w:noProof/>
              </w:rPr>
              <w:t>Secondary Caries</w:t>
            </w:r>
            <w:r w:rsidR="008A5068">
              <w:rPr>
                <w:noProof/>
                <w:webHidden/>
              </w:rPr>
              <w:tab/>
            </w:r>
            <w:r w:rsidR="008A5068">
              <w:rPr>
                <w:noProof/>
                <w:webHidden/>
              </w:rPr>
              <w:fldChar w:fldCharType="begin"/>
            </w:r>
            <w:r w:rsidR="008A5068">
              <w:rPr>
                <w:noProof/>
                <w:webHidden/>
              </w:rPr>
              <w:instrText xml:space="preserve"> PAGEREF _Toc45837550 \h </w:instrText>
            </w:r>
            <w:r w:rsidR="008A5068">
              <w:rPr>
                <w:noProof/>
                <w:webHidden/>
              </w:rPr>
            </w:r>
            <w:r w:rsidR="008A5068">
              <w:rPr>
                <w:noProof/>
                <w:webHidden/>
              </w:rPr>
              <w:fldChar w:fldCharType="separate"/>
            </w:r>
            <w:r>
              <w:rPr>
                <w:noProof/>
                <w:webHidden/>
              </w:rPr>
              <w:t>42</w:t>
            </w:r>
            <w:r w:rsidR="008A5068">
              <w:rPr>
                <w:noProof/>
                <w:webHidden/>
              </w:rPr>
              <w:fldChar w:fldCharType="end"/>
            </w:r>
          </w:hyperlink>
        </w:p>
        <w:p w14:paraId="4C325BF4" w14:textId="09B89620" w:rsidR="008A5068" w:rsidRDefault="0008188F">
          <w:pPr>
            <w:pStyle w:val="TOC2"/>
            <w:rPr>
              <w:rFonts w:asciiTheme="minorHAnsi" w:eastAsiaTheme="minorEastAsia" w:hAnsiTheme="minorHAnsi"/>
              <w:noProof/>
              <w:sz w:val="22"/>
              <w:lang w:val="en-US"/>
            </w:rPr>
          </w:pPr>
          <w:hyperlink w:anchor="_Toc45837551" w:history="1">
            <w:r w:rsidR="008A5068" w:rsidRPr="00BD128E">
              <w:rPr>
                <w:rStyle w:val="Hyperlink"/>
                <w:noProof/>
              </w:rPr>
              <w:t>Materials</w:t>
            </w:r>
            <w:r w:rsidR="008A5068">
              <w:rPr>
                <w:noProof/>
                <w:webHidden/>
              </w:rPr>
              <w:tab/>
            </w:r>
            <w:r w:rsidR="008A5068">
              <w:rPr>
                <w:noProof/>
                <w:webHidden/>
              </w:rPr>
              <w:fldChar w:fldCharType="begin"/>
            </w:r>
            <w:r w:rsidR="008A5068">
              <w:rPr>
                <w:noProof/>
                <w:webHidden/>
              </w:rPr>
              <w:instrText xml:space="preserve"> PAGEREF _Toc45837551 \h </w:instrText>
            </w:r>
            <w:r w:rsidR="008A5068">
              <w:rPr>
                <w:noProof/>
                <w:webHidden/>
              </w:rPr>
            </w:r>
            <w:r w:rsidR="008A5068">
              <w:rPr>
                <w:noProof/>
                <w:webHidden/>
              </w:rPr>
              <w:fldChar w:fldCharType="separate"/>
            </w:r>
            <w:r>
              <w:rPr>
                <w:noProof/>
                <w:webHidden/>
              </w:rPr>
              <w:t>43</w:t>
            </w:r>
            <w:r w:rsidR="008A5068">
              <w:rPr>
                <w:noProof/>
                <w:webHidden/>
              </w:rPr>
              <w:fldChar w:fldCharType="end"/>
            </w:r>
          </w:hyperlink>
        </w:p>
        <w:p w14:paraId="42FE7D3A" w14:textId="5CDD5583" w:rsidR="008A5068" w:rsidRDefault="0008188F">
          <w:pPr>
            <w:pStyle w:val="TOC3"/>
            <w:tabs>
              <w:tab w:val="right" w:leader="dot" w:pos="8198"/>
            </w:tabs>
            <w:rPr>
              <w:rFonts w:asciiTheme="minorHAnsi" w:eastAsiaTheme="minorEastAsia" w:hAnsiTheme="minorHAnsi"/>
              <w:noProof/>
              <w:sz w:val="22"/>
              <w:lang w:val="en-US"/>
            </w:rPr>
          </w:pPr>
          <w:hyperlink w:anchor="_Toc45837552" w:history="1">
            <w:r w:rsidR="008A5068" w:rsidRPr="00BD128E">
              <w:rPr>
                <w:rStyle w:val="Hyperlink"/>
                <w:noProof/>
              </w:rPr>
              <w:t>Antibacterial Blend (Composite)</w:t>
            </w:r>
            <w:r w:rsidR="008A5068">
              <w:rPr>
                <w:noProof/>
                <w:webHidden/>
              </w:rPr>
              <w:tab/>
            </w:r>
            <w:r w:rsidR="008A5068">
              <w:rPr>
                <w:noProof/>
                <w:webHidden/>
              </w:rPr>
              <w:fldChar w:fldCharType="begin"/>
            </w:r>
            <w:r w:rsidR="008A5068">
              <w:rPr>
                <w:noProof/>
                <w:webHidden/>
              </w:rPr>
              <w:instrText xml:space="preserve"> PAGEREF _Toc45837552 \h </w:instrText>
            </w:r>
            <w:r w:rsidR="008A5068">
              <w:rPr>
                <w:noProof/>
                <w:webHidden/>
              </w:rPr>
            </w:r>
            <w:r w:rsidR="008A5068">
              <w:rPr>
                <w:noProof/>
                <w:webHidden/>
              </w:rPr>
              <w:fldChar w:fldCharType="separate"/>
            </w:r>
            <w:r>
              <w:rPr>
                <w:noProof/>
                <w:webHidden/>
              </w:rPr>
              <w:t>43</w:t>
            </w:r>
            <w:r w:rsidR="008A5068">
              <w:rPr>
                <w:noProof/>
                <w:webHidden/>
              </w:rPr>
              <w:fldChar w:fldCharType="end"/>
            </w:r>
          </w:hyperlink>
        </w:p>
        <w:p w14:paraId="3816EEE4" w14:textId="05BD2DBD" w:rsidR="008A5068" w:rsidRDefault="0008188F">
          <w:pPr>
            <w:pStyle w:val="TOC2"/>
            <w:rPr>
              <w:rFonts w:asciiTheme="minorHAnsi" w:eastAsiaTheme="minorEastAsia" w:hAnsiTheme="minorHAnsi"/>
              <w:noProof/>
              <w:sz w:val="22"/>
              <w:lang w:val="en-US"/>
            </w:rPr>
          </w:pPr>
          <w:hyperlink w:anchor="_Toc45837553" w:history="1">
            <w:r w:rsidR="008A5068" w:rsidRPr="00BD128E">
              <w:rPr>
                <w:rStyle w:val="Hyperlink"/>
                <w:noProof/>
              </w:rPr>
              <w:t>Methods – Nanoparticle Fabrication</w:t>
            </w:r>
            <w:r w:rsidR="008A5068">
              <w:rPr>
                <w:noProof/>
                <w:webHidden/>
              </w:rPr>
              <w:tab/>
            </w:r>
            <w:r w:rsidR="008A5068">
              <w:rPr>
                <w:noProof/>
                <w:webHidden/>
              </w:rPr>
              <w:fldChar w:fldCharType="begin"/>
            </w:r>
            <w:r w:rsidR="008A5068">
              <w:rPr>
                <w:noProof/>
                <w:webHidden/>
              </w:rPr>
              <w:instrText xml:space="preserve"> PAGEREF _Toc45837553 \h </w:instrText>
            </w:r>
            <w:r w:rsidR="008A5068">
              <w:rPr>
                <w:noProof/>
                <w:webHidden/>
              </w:rPr>
            </w:r>
            <w:r w:rsidR="008A5068">
              <w:rPr>
                <w:noProof/>
                <w:webHidden/>
              </w:rPr>
              <w:fldChar w:fldCharType="separate"/>
            </w:r>
            <w:r>
              <w:rPr>
                <w:noProof/>
                <w:webHidden/>
              </w:rPr>
              <w:t>43</w:t>
            </w:r>
            <w:r w:rsidR="008A5068">
              <w:rPr>
                <w:noProof/>
                <w:webHidden/>
              </w:rPr>
              <w:fldChar w:fldCharType="end"/>
            </w:r>
          </w:hyperlink>
        </w:p>
        <w:p w14:paraId="62D76BFB" w14:textId="4F39CC67" w:rsidR="008A5068" w:rsidRDefault="0008188F">
          <w:pPr>
            <w:pStyle w:val="TOC2"/>
            <w:rPr>
              <w:rFonts w:asciiTheme="minorHAnsi" w:eastAsiaTheme="minorEastAsia" w:hAnsiTheme="minorHAnsi"/>
              <w:noProof/>
              <w:sz w:val="22"/>
              <w:lang w:val="en-US"/>
            </w:rPr>
          </w:pPr>
          <w:hyperlink w:anchor="_Toc45837554" w:history="1">
            <w:r w:rsidR="008A5068" w:rsidRPr="00BD128E">
              <w:rPr>
                <w:rStyle w:val="Hyperlink"/>
                <w:noProof/>
              </w:rPr>
              <w:t>Methods – Contact Angle</w:t>
            </w:r>
            <w:r w:rsidR="008A5068">
              <w:rPr>
                <w:noProof/>
                <w:webHidden/>
              </w:rPr>
              <w:tab/>
            </w:r>
            <w:r w:rsidR="008A5068">
              <w:rPr>
                <w:noProof/>
                <w:webHidden/>
              </w:rPr>
              <w:fldChar w:fldCharType="begin"/>
            </w:r>
            <w:r w:rsidR="008A5068">
              <w:rPr>
                <w:noProof/>
                <w:webHidden/>
              </w:rPr>
              <w:instrText xml:space="preserve"> PAGEREF _Toc45837554 \h </w:instrText>
            </w:r>
            <w:r w:rsidR="008A5068">
              <w:rPr>
                <w:noProof/>
                <w:webHidden/>
              </w:rPr>
            </w:r>
            <w:r w:rsidR="008A5068">
              <w:rPr>
                <w:noProof/>
                <w:webHidden/>
              </w:rPr>
              <w:fldChar w:fldCharType="separate"/>
            </w:r>
            <w:r>
              <w:rPr>
                <w:noProof/>
                <w:webHidden/>
              </w:rPr>
              <w:t>44</w:t>
            </w:r>
            <w:r w:rsidR="008A5068">
              <w:rPr>
                <w:noProof/>
                <w:webHidden/>
              </w:rPr>
              <w:fldChar w:fldCharType="end"/>
            </w:r>
          </w:hyperlink>
        </w:p>
        <w:p w14:paraId="7D565D23" w14:textId="3C445A3C" w:rsidR="008A5068" w:rsidRDefault="0008188F">
          <w:pPr>
            <w:pStyle w:val="TOC3"/>
            <w:tabs>
              <w:tab w:val="right" w:leader="dot" w:pos="8198"/>
            </w:tabs>
            <w:rPr>
              <w:rFonts w:asciiTheme="minorHAnsi" w:eastAsiaTheme="minorEastAsia" w:hAnsiTheme="minorHAnsi"/>
              <w:noProof/>
              <w:sz w:val="22"/>
              <w:lang w:val="en-US"/>
            </w:rPr>
          </w:pPr>
          <w:hyperlink w:anchor="_Toc45837555" w:history="1">
            <w:r w:rsidR="008A5068" w:rsidRPr="00BD128E">
              <w:rPr>
                <w:rStyle w:val="Hyperlink"/>
                <w:noProof/>
              </w:rPr>
              <w:t>Glass Cover Slips</w:t>
            </w:r>
            <w:r w:rsidR="008A5068">
              <w:rPr>
                <w:noProof/>
                <w:webHidden/>
              </w:rPr>
              <w:tab/>
            </w:r>
            <w:r w:rsidR="008A5068">
              <w:rPr>
                <w:noProof/>
                <w:webHidden/>
              </w:rPr>
              <w:fldChar w:fldCharType="begin"/>
            </w:r>
            <w:r w:rsidR="008A5068">
              <w:rPr>
                <w:noProof/>
                <w:webHidden/>
              </w:rPr>
              <w:instrText xml:space="preserve"> PAGEREF _Toc45837555 \h </w:instrText>
            </w:r>
            <w:r w:rsidR="008A5068">
              <w:rPr>
                <w:noProof/>
                <w:webHidden/>
              </w:rPr>
            </w:r>
            <w:r w:rsidR="008A5068">
              <w:rPr>
                <w:noProof/>
                <w:webHidden/>
              </w:rPr>
              <w:fldChar w:fldCharType="separate"/>
            </w:r>
            <w:r>
              <w:rPr>
                <w:noProof/>
                <w:webHidden/>
              </w:rPr>
              <w:t>44</w:t>
            </w:r>
            <w:r w:rsidR="008A5068">
              <w:rPr>
                <w:noProof/>
                <w:webHidden/>
              </w:rPr>
              <w:fldChar w:fldCharType="end"/>
            </w:r>
          </w:hyperlink>
        </w:p>
        <w:p w14:paraId="75400990" w14:textId="1C439919" w:rsidR="008A5068" w:rsidRDefault="0008188F">
          <w:pPr>
            <w:pStyle w:val="TOC3"/>
            <w:tabs>
              <w:tab w:val="right" w:leader="dot" w:pos="8198"/>
            </w:tabs>
            <w:rPr>
              <w:rFonts w:asciiTheme="minorHAnsi" w:eastAsiaTheme="minorEastAsia" w:hAnsiTheme="minorHAnsi"/>
              <w:noProof/>
              <w:sz w:val="22"/>
              <w:lang w:val="en-US"/>
            </w:rPr>
          </w:pPr>
          <w:hyperlink w:anchor="_Toc45837556" w:history="1">
            <w:r w:rsidR="008A5068" w:rsidRPr="00BD128E">
              <w:rPr>
                <w:rStyle w:val="Hyperlink"/>
                <w:noProof/>
              </w:rPr>
              <w:t>Contact Angle Measurement</w:t>
            </w:r>
            <w:r w:rsidR="008A5068">
              <w:rPr>
                <w:noProof/>
                <w:webHidden/>
              </w:rPr>
              <w:tab/>
            </w:r>
            <w:r w:rsidR="008A5068">
              <w:rPr>
                <w:noProof/>
                <w:webHidden/>
              </w:rPr>
              <w:fldChar w:fldCharType="begin"/>
            </w:r>
            <w:r w:rsidR="008A5068">
              <w:rPr>
                <w:noProof/>
                <w:webHidden/>
              </w:rPr>
              <w:instrText xml:space="preserve"> PAGEREF _Toc45837556 \h </w:instrText>
            </w:r>
            <w:r w:rsidR="008A5068">
              <w:rPr>
                <w:noProof/>
                <w:webHidden/>
              </w:rPr>
            </w:r>
            <w:r w:rsidR="008A5068">
              <w:rPr>
                <w:noProof/>
                <w:webHidden/>
              </w:rPr>
              <w:fldChar w:fldCharType="separate"/>
            </w:r>
            <w:r>
              <w:rPr>
                <w:noProof/>
                <w:webHidden/>
              </w:rPr>
              <w:t>46</w:t>
            </w:r>
            <w:r w:rsidR="008A5068">
              <w:rPr>
                <w:noProof/>
                <w:webHidden/>
              </w:rPr>
              <w:fldChar w:fldCharType="end"/>
            </w:r>
          </w:hyperlink>
        </w:p>
        <w:p w14:paraId="34BBD146" w14:textId="248AE288" w:rsidR="008A5068" w:rsidRDefault="0008188F">
          <w:pPr>
            <w:pStyle w:val="TOC2"/>
            <w:rPr>
              <w:rFonts w:asciiTheme="minorHAnsi" w:eastAsiaTheme="minorEastAsia" w:hAnsiTheme="minorHAnsi"/>
              <w:noProof/>
              <w:sz w:val="22"/>
              <w:lang w:val="en-US"/>
            </w:rPr>
          </w:pPr>
          <w:hyperlink w:anchor="_Toc45837557" w:history="1">
            <w:r w:rsidR="008A5068" w:rsidRPr="00BD128E">
              <w:rPr>
                <w:rStyle w:val="Hyperlink"/>
                <w:noProof/>
              </w:rPr>
              <w:t>Methods – Bioluminescence Testing</w:t>
            </w:r>
            <w:r w:rsidR="008A5068">
              <w:rPr>
                <w:noProof/>
                <w:webHidden/>
              </w:rPr>
              <w:tab/>
            </w:r>
            <w:r w:rsidR="008A5068">
              <w:rPr>
                <w:noProof/>
                <w:webHidden/>
              </w:rPr>
              <w:fldChar w:fldCharType="begin"/>
            </w:r>
            <w:r w:rsidR="008A5068">
              <w:rPr>
                <w:noProof/>
                <w:webHidden/>
              </w:rPr>
              <w:instrText xml:space="preserve"> PAGEREF _Toc45837557 \h </w:instrText>
            </w:r>
            <w:r w:rsidR="008A5068">
              <w:rPr>
                <w:noProof/>
                <w:webHidden/>
              </w:rPr>
            </w:r>
            <w:r w:rsidR="008A5068">
              <w:rPr>
                <w:noProof/>
                <w:webHidden/>
              </w:rPr>
              <w:fldChar w:fldCharType="separate"/>
            </w:r>
            <w:r>
              <w:rPr>
                <w:noProof/>
                <w:webHidden/>
              </w:rPr>
              <w:t>49</w:t>
            </w:r>
            <w:r w:rsidR="008A5068">
              <w:rPr>
                <w:noProof/>
                <w:webHidden/>
              </w:rPr>
              <w:fldChar w:fldCharType="end"/>
            </w:r>
          </w:hyperlink>
        </w:p>
        <w:p w14:paraId="24583CEE" w14:textId="3B043840" w:rsidR="008A5068" w:rsidRDefault="0008188F">
          <w:pPr>
            <w:pStyle w:val="TOC3"/>
            <w:tabs>
              <w:tab w:val="right" w:leader="dot" w:pos="8198"/>
            </w:tabs>
            <w:rPr>
              <w:rFonts w:asciiTheme="minorHAnsi" w:eastAsiaTheme="minorEastAsia" w:hAnsiTheme="minorHAnsi"/>
              <w:noProof/>
              <w:sz w:val="22"/>
              <w:lang w:val="en-US"/>
            </w:rPr>
          </w:pPr>
          <w:hyperlink w:anchor="_Toc45837558" w:history="1">
            <w:r w:rsidR="008A5068" w:rsidRPr="00BD128E">
              <w:rPr>
                <w:rStyle w:val="Hyperlink"/>
                <w:noProof/>
              </w:rPr>
              <w:t>Adhesive Pellets</w:t>
            </w:r>
            <w:r w:rsidR="008A5068">
              <w:rPr>
                <w:noProof/>
                <w:webHidden/>
              </w:rPr>
              <w:tab/>
            </w:r>
            <w:r w:rsidR="008A5068">
              <w:rPr>
                <w:noProof/>
                <w:webHidden/>
              </w:rPr>
              <w:fldChar w:fldCharType="begin"/>
            </w:r>
            <w:r w:rsidR="008A5068">
              <w:rPr>
                <w:noProof/>
                <w:webHidden/>
              </w:rPr>
              <w:instrText xml:space="preserve"> PAGEREF _Toc45837558 \h </w:instrText>
            </w:r>
            <w:r w:rsidR="008A5068">
              <w:rPr>
                <w:noProof/>
                <w:webHidden/>
              </w:rPr>
            </w:r>
            <w:r w:rsidR="008A5068">
              <w:rPr>
                <w:noProof/>
                <w:webHidden/>
              </w:rPr>
              <w:fldChar w:fldCharType="separate"/>
            </w:r>
            <w:r>
              <w:rPr>
                <w:noProof/>
                <w:webHidden/>
              </w:rPr>
              <w:t>49</w:t>
            </w:r>
            <w:r w:rsidR="008A5068">
              <w:rPr>
                <w:noProof/>
                <w:webHidden/>
              </w:rPr>
              <w:fldChar w:fldCharType="end"/>
            </w:r>
          </w:hyperlink>
        </w:p>
        <w:p w14:paraId="68262969" w14:textId="03ADBD22" w:rsidR="008A5068" w:rsidRDefault="0008188F">
          <w:pPr>
            <w:pStyle w:val="TOC3"/>
            <w:tabs>
              <w:tab w:val="right" w:leader="dot" w:pos="8198"/>
            </w:tabs>
            <w:rPr>
              <w:rFonts w:asciiTheme="minorHAnsi" w:eastAsiaTheme="minorEastAsia" w:hAnsiTheme="minorHAnsi"/>
              <w:noProof/>
              <w:sz w:val="22"/>
              <w:lang w:val="en-US"/>
            </w:rPr>
          </w:pPr>
          <w:hyperlink w:anchor="_Toc45837559" w:history="1">
            <w:r w:rsidR="008A5068" w:rsidRPr="00BD128E">
              <w:rPr>
                <w:rStyle w:val="Hyperlink"/>
                <w:noProof/>
              </w:rPr>
              <w:t>Bacterial strain and in vitro growth of biofilms</w:t>
            </w:r>
            <w:r w:rsidR="008A5068">
              <w:rPr>
                <w:noProof/>
                <w:webHidden/>
              </w:rPr>
              <w:tab/>
            </w:r>
            <w:r w:rsidR="008A5068">
              <w:rPr>
                <w:noProof/>
                <w:webHidden/>
              </w:rPr>
              <w:fldChar w:fldCharType="begin"/>
            </w:r>
            <w:r w:rsidR="008A5068">
              <w:rPr>
                <w:noProof/>
                <w:webHidden/>
              </w:rPr>
              <w:instrText xml:space="preserve"> PAGEREF _Toc45837559 \h </w:instrText>
            </w:r>
            <w:r w:rsidR="008A5068">
              <w:rPr>
                <w:noProof/>
                <w:webHidden/>
              </w:rPr>
            </w:r>
            <w:r w:rsidR="008A5068">
              <w:rPr>
                <w:noProof/>
                <w:webHidden/>
              </w:rPr>
              <w:fldChar w:fldCharType="separate"/>
            </w:r>
            <w:r>
              <w:rPr>
                <w:noProof/>
                <w:webHidden/>
              </w:rPr>
              <w:t>52</w:t>
            </w:r>
            <w:r w:rsidR="008A5068">
              <w:rPr>
                <w:noProof/>
                <w:webHidden/>
              </w:rPr>
              <w:fldChar w:fldCharType="end"/>
            </w:r>
          </w:hyperlink>
        </w:p>
        <w:p w14:paraId="1B0F8EC4" w14:textId="4052F3B4" w:rsidR="008A5068" w:rsidRDefault="0008188F">
          <w:pPr>
            <w:pStyle w:val="TOC3"/>
            <w:tabs>
              <w:tab w:val="right" w:leader="dot" w:pos="8198"/>
            </w:tabs>
            <w:rPr>
              <w:rFonts w:asciiTheme="minorHAnsi" w:eastAsiaTheme="minorEastAsia" w:hAnsiTheme="minorHAnsi"/>
              <w:noProof/>
              <w:sz w:val="22"/>
              <w:lang w:val="en-US"/>
            </w:rPr>
          </w:pPr>
          <w:hyperlink w:anchor="_Toc45837560" w:history="1">
            <w:r w:rsidR="008A5068" w:rsidRPr="00BD128E">
              <w:rPr>
                <w:rStyle w:val="Hyperlink"/>
                <w:noProof/>
              </w:rPr>
              <w:t>Bioluminescence Assay</w:t>
            </w:r>
            <w:r w:rsidR="008A5068">
              <w:rPr>
                <w:noProof/>
                <w:webHidden/>
              </w:rPr>
              <w:tab/>
            </w:r>
            <w:r w:rsidR="008A5068">
              <w:rPr>
                <w:noProof/>
                <w:webHidden/>
              </w:rPr>
              <w:fldChar w:fldCharType="begin"/>
            </w:r>
            <w:r w:rsidR="008A5068">
              <w:rPr>
                <w:noProof/>
                <w:webHidden/>
              </w:rPr>
              <w:instrText xml:space="preserve"> PAGEREF _Toc45837560 \h </w:instrText>
            </w:r>
            <w:r w:rsidR="008A5068">
              <w:rPr>
                <w:noProof/>
                <w:webHidden/>
              </w:rPr>
            </w:r>
            <w:r w:rsidR="008A5068">
              <w:rPr>
                <w:noProof/>
                <w:webHidden/>
              </w:rPr>
              <w:fldChar w:fldCharType="separate"/>
            </w:r>
            <w:r>
              <w:rPr>
                <w:noProof/>
                <w:webHidden/>
              </w:rPr>
              <w:t>53</w:t>
            </w:r>
            <w:r w:rsidR="008A5068">
              <w:rPr>
                <w:noProof/>
                <w:webHidden/>
              </w:rPr>
              <w:fldChar w:fldCharType="end"/>
            </w:r>
          </w:hyperlink>
        </w:p>
        <w:p w14:paraId="3EE4C514" w14:textId="6E7B0EB0" w:rsidR="008A5068" w:rsidRDefault="0008188F">
          <w:pPr>
            <w:pStyle w:val="TOC2"/>
            <w:rPr>
              <w:rFonts w:asciiTheme="minorHAnsi" w:eastAsiaTheme="minorEastAsia" w:hAnsiTheme="minorHAnsi"/>
              <w:noProof/>
              <w:sz w:val="22"/>
              <w:lang w:val="en-US"/>
            </w:rPr>
          </w:pPr>
          <w:hyperlink w:anchor="_Toc45837561" w:history="1">
            <w:r w:rsidR="008A5068" w:rsidRPr="00BD128E">
              <w:rPr>
                <w:rStyle w:val="Hyperlink"/>
                <w:noProof/>
              </w:rPr>
              <w:t>Methods – Verification of Antibacterial Properties</w:t>
            </w:r>
            <w:r w:rsidR="008A5068">
              <w:rPr>
                <w:noProof/>
                <w:webHidden/>
              </w:rPr>
              <w:tab/>
            </w:r>
            <w:r w:rsidR="008A5068">
              <w:rPr>
                <w:noProof/>
                <w:webHidden/>
              </w:rPr>
              <w:fldChar w:fldCharType="begin"/>
            </w:r>
            <w:r w:rsidR="008A5068">
              <w:rPr>
                <w:noProof/>
                <w:webHidden/>
              </w:rPr>
              <w:instrText xml:space="preserve"> PAGEREF _Toc45837561 \h </w:instrText>
            </w:r>
            <w:r w:rsidR="008A5068">
              <w:rPr>
                <w:noProof/>
                <w:webHidden/>
              </w:rPr>
            </w:r>
            <w:r w:rsidR="008A5068">
              <w:rPr>
                <w:noProof/>
                <w:webHidden/>
              </w:rPr>
              <w:fldChar w:fldCharType="separate"/>
            </w:r>
            <w:r>
              <w:rPr>
                <w:noProof/>
                <w:webHidden/>
              </w:rPr>
              <w:t>53</w:t>
            </w:r>
            <w:r w:rsidR="008A5068">
              <w:rPr>
                <w:noProof/>
                <w:webHidden/>
              </w:rPr>
              <w:fldChar w:fldCharType="end"/>
            </w:r>
          </w:hyperlink>
        </w:p>
        <w:p w14:paraId="69695BDE" w14:textId="58B6EA4B" w:rsidR="008A5068" w:rsidRDefault="0008188F">
          <w:pPr>
            <w:pStyle w:val="TOC2"/>
            <w:rPr>
              <w:rFonts w:asciiTheme="minorHAnsi" w:eastAsiaTheme="minorEastAsia" w:hAnsiTheme="minorHAnsi"/>
              <w:noProof/>
              <w:sz w:val="22"/>
              <w:lang w:val="en-US"/>
            </w:rPr>
          </w:pPr>
          <w:hyperlink w:anchor="_Toc45837562" w:history="1">
            <w:r w:rsidR="008A5068" w:rsidRPr="00BD128E">
              <w:rPr>
                <w:rStyle w:val="Hyperlink"/>
                <w:noProof/>
              </w:rPr>
              <w:t>Results and Discussion – Contact Angle</w:t>
            </w:r>
            <w:r w:rsidR="008A5068">
              <w:rPr>
                <w:noProof/>
                <w:webHidden/>
              </w:rPr>
              <w:tab/>
            </w:r>
            <w:r w:rsidR="008A5068">
              <w:rPr>
                <w:noProof/>
                <w:webHidden/>
              </w:rPr>
              <w:fldChar w:fldCharType="begin"/>
            </w:r>
            <w:r w:rsidR="008A5068">
              <w:rPr>
                <w:noProof/>
                <w:webHidden/>
              </w:rPr>
              <w:instrText xml:space="preserve"> PAGEREF _Toc45837562 \h </w:instrText>
            </w:r>
            <w:r w:rsidR="008A5068">
              <w:rPr>
                <w:noProof/>
                <w:webHidden/>
              </w:rPr>
            </w:r>
            <w:r w:rsidR="008A5068">
              <w:rPr>
                <w:noProof/>
                <w:webHidden/>
              </w:rPr>
              <w:fldChar w:fldCharType="separate"/>
            </w:r>
            <w:r>
              <w:rPr>
                <w:noProof/>
                <w:webHidden/>
              </w:rPr>
              <w:t>55</w:t>
            </w:r>
            <w:r w:rsidR="008A5068">
              <w:rPr>
                <w:noProof/>
                <w:webHidden/>
              </w:rPr>
              <w:fldChar w:fldCharType="end"/>
            </w:r>
          </w:hyperlink>
        </w:p>
        <w:p w14:paraId="09F6380E" w14:textId="4E9D298A" w:rsidR="008A5068" w:rsidRDefault="0008188F">
          <w:pPr>
            <w:pStyle w:val="TOC2"/>
            <w:rPr>
              <w:rFonts w:asciiTheme="minorHAnsi" w:eastAsiaTheme="minorEastAsia" w:hAnsiTheme="minorHAnsi"/>
              <w:noProof/>
              <w:sz w:val="22"/>
              <w:lang w:val="en-US"/>
            </w:rPr>
          </w:pPr>
          <w:hyperlink w:anchor="_Toc45837563" w:history="1">
            <w:r w:rsidR="008A5068" w:rsidRPr="00BD128E">
              <w:rPr>
                <w:rStyle w:val="Hyperlink"/>
                <w:noProof/>
              </w:rPr>
              <w:t>Results and Discussion – Bioluminescence Assay</w:t>
            </w:r>
            <w:r w:rsidR="008A5068">
              <w:rPr>
                <w:noProof/>
                <w:webHidden/>
              </w:rPr>
              <w:tab/>
            </w:r>
            <w:r w:rsidR="008A5068">
              <w:rPr>
                <w:noProof/>
                <w:webHidden/>
              </w:rPr>
              <w:fldChar w:fldCharType="begin"/>
            </w:r>
            <w:r w:rsidR="008A5068">
              <w:rPr>
                <w:noProof/>
                <w:webHidden/>
              </w:rPr>
              <w:instrText xml:space="preserve"> PAGEREF _Toc45837563 \h </w:instrText>
            </w:r>
            <w:r w:rsidR="008A5068">
              <w:rPr>
                <w:noProof/>
                <w:webHidden/>
              </w:rPr>
            </w:r>
            <w:r w:rsidR="008A5068">
              <w:rPr>
                <w:noProof/>
                <w:webHidden/>
              </w:rPr>
              <w:fldChar w:fldCharType="separate"/>
            </w:r>
            <w:r>
              <w:rPr>
                <w:noProof/>
                <w:webHidden/>
              </w:rPr>
              <w:t>59</w:t>
            </w:r>
            <w:r w:rsidR="008A5068">
              <w:rPr>
                <w:noProof/>
                <w:webHidden/>
              </w:rPr>
              <w:fldChar w:fldCharType="end"/>
            </w:r>
          </w:hyperlink>
        </w:p>
        <w:p w14:paraId="45D133D9" w14:textId="460EF568" w:rsidR="008A5068" w:rsidRDefault="0008188F">
          <w:pPr>
            <w:pStyle w:val="TOC2"/>
            <w:rPr>
              <w:rFonts w:asciiTheme="minorHAnsi" w:eastAsiaTheme="minorEastAsia" w:hAnsiTheme="minorHAnsi"/>
              <w:noProof/>
              <w:sz w:val="22"/>
              <w:lang w:val="en-US"/>
            </w:rPr>
          </w:pPr>
          <w:hyperlink w:anchor="_Toc45837564" w:history="1">
            <w:r w:rsidR="008A5068" w:rsidRPr="00BD128E">
              <w:rPr>
                <w:rStyle w:val="Hyperlink"/>
                <w:noProof/>
              </w:rPr>
              <w:t>Results and Discussion – Verification of Antibacterial Properties</w:t>
            </w:r>
            <w:r w:rsidR="008A5068">
              <w:rPr>
                <w:noProof/>
                <w:webHidden/>
              </w:rPr>
              <w:tab/>
            </w:r>
            <w:r w:rsidR="008A5068">
              <w:rPr>
                <w:noProof/>
                <w:webHidden/>
              </w:rPr>
              <w:fldChar w:fldCharType="begin"/>
            </w:r>
            <w:r w:rsidR="008A5068">
              <w:rPr>
                <w:noProof/>
                <w:webHidden/>
              </w:rPr>
              <w:instrText xml:space="preserve"> PAGEREF _Toc45837564 \h </w:instrText>
            </w:r>
            <w:r w:rsidR="008A5068">
              <w:rPr>
                <w:noProof/>
                <w:webHidden/>
              </w:rPr>
            </w:r>
            <w:r w:rsidR="008A5068">
              <w:rPr>
                <w:noProof/>
                <w:webHidden/>
              </w:rPr>
              <w:fldChar w:fldCharType="separate"/>
            </w:r>
            <w:r>
              <w:rPr>
                <w:noProof/>
                <w:webHidden/>
              </w:rPr>
              <w:t>62</w:t>
            </w:r>
            <w:r w:rsidR="008A5068">
              <w:rPr>
                <w:noProof/>
                <w:webHidden/>
              </w:rPr>
              <w:fldChar w:fldCharType="end"/>
            </w:r>
          </w:hyperlink>
        </w:p>
        <w:p w14:paraId="05BEDF9B" w14:textId="06753FB6" w:rsidR="008A5068" w:rsidRDefault="0008188F">
          <w:pPr>
            <w:pStyle w:val="TOC1"/>
            <w:rPr>
              <w:rFonts w:asciiTheme="minorHAnsi" w:eastAsiaTheme="minorEastAsia" w:hAnsiTheme="minorHAnsi"/>
              <w:noProof/>
              <w:sz w:val="22"/>
              <w:lang w:val="en-US"/>
            </w:rPr>
          </w:pPr>
          <w:hyperlink w:anchor="_Toc45837565" w:history="1">
            <w:r w:rsidR="008A5068" w:rsidRPr="00BD128E">
              <w:rPr>
                <w:rStyle w:val="Hyperlink"/>
                <w:noProof/>
                <w:lang w:val="en-US"/>
              </w:rPr>
              <w:t>Chapter 4 – Conclusion</w:t>
            </w:r>
            <w:r w:rsidR="008A5068">
              <w:rPr>
                <w:noProof/>
                <w:webHidden/>
              </w:rPr>
              <w:tab/>
            </w:r>
            <w:r w:rsidR="008A5068">
              <w:rPr>
                <w:noProof/>
                <w:webHidden/>
              </w:rPr>
              <w:fldChar w:fldCharType="begin"/>
            </w:r>
            <w:r w:rsidR="008A5068">
              <w:rPr>
                <w:noProof/>
                <w:webHidden/>
              </w:rPr>
              <w:instrText xml:space="preserve"> PAGEREF _Toc45837565 \h </w:instrText>
            </w:r>
            <w:r w:rsidR="008A5068">
              <w:rPr>
                <w:noProof/>
                <w:webHidden/>
              </w:rPr>
            </w:r>
            <w:r w:rsidR="008A5068">
              <w:rPr>
                <w:noProof/>
                <w:webHidden/>
              </w:rPr>
              <w:fldChar w:fldCharType="separate"/>
            </w:r>
            <w:r>
              <w:rPr>
                <w:noProof/>
                <w:webHidden/>
              </w:rPr>
              <w:t>65</w:t>
            </w:r>
            <w:r w:rsidR="008A5068">
              <w:rPr>
                <w:noProof/>
                <w:webHidden/>
              </w:rPr>
              <w:fldChar w:fldCharType="end"/>
            </w:r>
          </w:hyperlink>
        </w:p>
        <w:p w14:paraId="0694F3A3" w14:textId="09DA48C6" w:rsidR="008A5068" w:rsidRDefault="0008188F">
          <w:pPr>
            <w:pStyle w:val="TOC1"/>
            <w:rPr>
              <w:rFonts w:asciiTheme="minorHAnsi" w:eastAsiaTheme="minorEastAsia" w:hAnsiTheme="minorHAnsi"/>
              <w:noProof/>
              <w:sz w:val="22"/>
              <w:lang w:val="en-US"/>
            </w:rPr>
          </w:pPr>
          <w:hyperlink w:anchor="_Toc45837566" w:history="1">
            <w:r w:rsidR="008A5068" w:rsidRPr="00BD128E">
              <w:rPr>
                <w:rStyle w:val="Hyperlink"/>
                <w:noProof/>
                <w:lang w:val="en-US"/>
              </w:rPr>
              <w:t>Chapter 5 – Future Work Suggestions</w:t>
            </w:r>
            <w:r w:rsidR="008A5068">
              <w:rPr>
                <w:noProof/>
                <w:webHidden/>
              </w:rPr>
              <w:tab/>
            </w:r>
            <w:r w:rsidR="008A5068">
              <w:rPr>
                <w:noProof/>
                <w:webHidden/>
              </w:rPr>
              <w:fldChar w:fldCharType="begin"/>
            </w:r>
            <w:r w:rsidR="008A5068">
              <w:rPr>
                <w:noProof/>
                <w:webHidden/>
              </w:rPr>
              <w:instrText xml:space="preserve"> PAGEREF _Toc45837566 \h </w:instrText>
            </w:r>
            <w:r w:rsidR="008A5068">
              <w:rPr>
                <w:noProof/>
                <w:webHidden/>
              </w:rPr>
            </w:r>
            <w:r w:rsidR="008A5068">
              <w:rPr>
                <w:noProof/>
                <w:webHidden/>
              </w:rPr>
              <w:fldChar w:fldCharType="separate"/>
            </w:r>
            <w:r>
              <w:rPr>
                <w:noProof/>
                <w:webHidden/>
              </w:rPr>
              <w:t>67</w:t>
            </w:r>
            <w:r w:rsidR="008A5068">
              <w:rPr>
                <w:noProof/>
                <w:webHidden/>
              </w:rPr>
              <w:fldChar w:fldCharType="end"/>
            </w:r>
          </w:hyperlink>
        </w:p>
        <w:p w14:paraId="1B535BC8" w14:textId="605BE47C" w:rsidR="008A5068" w:rsidRDefault="0008188F">
          <w:pPr>
            <w:pStyle w:val="TOC1"/>
            <w:rPr>
              <w:rFonts w:asciiTheme="minorHAnsi" w:eastAsiaTheme="minorEastAsia" w:hAnsiTheme="minorHAnsi"/>
              <w:noProof/>
              <w:sz w:val="22"/>
              <w:lang w:val="en-US"/>
            </w:rPr>
          </w:pPr>
          <w:hyperlink w:anchor="_Toc45837567" w:history="1">
            <w:r w:rsidR="008A5068" w:rsidRPr="00BD128E">
              <w:rPr>
                <w:rStyle w:val="Hyperlink"/>
                <w:rFonts w:cs="Times New Roman"/>
                <w:noProof/>
                <w:lang w:val="en-US"/>
              </w:rPr>
              <w:t>References</w:t>
            </w:r>
            <w:r w:rsidR="008A5068">
              <w:rPr>
                <w:noProof/>
                <w:webHidden/>
              </w:rPr>
              <w:tab/>
            </w:r>
            <w:r w:rsidR="008A5068">
              <w:rPr>
                <w:noProof/>
                <w:webHidden/>
              </w:rPr>
              <w:fldChar w:fldCharType="begin"/>
            </w:r>
            <w:r w:rsidR="008A5068">
              <w:rPr>
                <w:noProof/>
                <w:webHidden/>
              </w:rPr>
              <w:instrText xml:space="preserve"> PAGEREF _Toc45837567 \h </w:instrText>
            </w:r>
            <w:r w:rsidR="008A5068">
              <w:rPr>
                <w:noProof/>
                <w:webHidden/>
              </w:rPr>
            </w:r>
            <w:r w:rsidR="008A5068">
              <w:rPr>
                <w:noProof/>
                <w:webHidden/>
              </w:rPr>
              <w:fldChar w:fldCharType="separate"/>
            </w:r>
            <w:r>
              <w:rPr>
                <w:noProof/>
                <w:webHidden/>
              </w:rPr>
              <w:t>68</w:t>
            </w:r>
            <w:r w:rsidR="008A5068">
              <w:rPr>
                <w:noProof/>
                <w:webHidden/>
              </w:rPr>
              <w:fldChar w:fldCharType="end"/>
            </w:r>
          </w:hyperlink>
        </w:p>
        <w:p w14:paraId="67F4B789" w14:textId="3DA0F688" w:rsidR="008A5068" w:rsidRDefault="0008188F">
          <w:pPr>
            <w:pStyle w:val="TOC1"/>
            <w:rPr>
              <w:rFonts w:asciiTheme="minorHAnsi" w:eastAsiaTheme="minorEastAsia" w:hAnsiTheme="minorHAnsi"/>
              <w:noProof/>
              <w:sz w:val="22"/>
              <w:lang w:val="en-US"/>
            </w:rPr>
          </w:pPr>
          <w:hyperlink w:anchor="_Toc45837568" w:history="1">
            <w:r w:rsidR="008A5068" w:rsidRPr="00BD128E">
              <w:rPr>
                <w:rStyle w:val="Hyperlink"/>
                <w:noProof/>
                <w:lang w:val="en-US"/>
              </w:rPr>
              <w:t>Appendix</w:t>
            </w:r>
            <w:r w:rsidR="008A5068">
              <w:rPr>
                <w:noProof/>
                <w:webHidden/>
              </w:rPr>
              <w:tab/>
            </w:r>
            <w:r w:rsidR="008A5068">
              <w:rPr>
                <w:noProof/>
                <w:webHidden/>
              </w:rPr>
              <w:fldChar w:fldCharType="begin"/>
            </w:r>
            <w:r w:rsidR="008A5068">
              <w:rPr>
                <w:noProof/>
                <w:webHidden/>
              </w:rPr>
              <w:instrText xml:space="preserve"> PAGEREF _Toc45837568 \h </w:instrText>
            </w:r>
            <w:r w:rsidR="008A5068">
              <w:rPr>
                <w:noProof/>
                <w:webHidden/>
              </w:rPr>
            </w:r>
            <w:r w:rsidR="008A5068">
              <w:rPr>
                <w:noProof/>
                <w:webHidden/>
              </w:rPr>
              <w:fldChar w:fldCharType="separate"/>
            </w:r>
            <w:r>
              <w:rPr>
                <w:noProof/>
                <w:webHidden/>
              </w:rPr>
              <w:t>76</w:t>
            </w:r>
            <w:r w:rsidR="008A5068">
              <w:rPr>
                <w:noProof/>
                <w:webHidden/>
              </w:rPr>
              <w:fldChar w:fldCharType="end"/>
            </w:r>
          </w:hyperlink>
        </w:p>
        <w:p w14:paraId="3231DF3B" w14:textId="264BEA2F" w:rsidR="008A5068" w:rsidRDefault="0008188F">
          <w:pPr>
            <w:pStyle w:val="TOC2"/>
            <w:rPr>
              <w:rFonts w:asciiTheme="minorHAnsi" w:eastAsiaTheme="minorEastAsia" w:hAnsiTheme="minorHAnsi"/>
              <w:noProof/>
              <w:sz w:val="22"/>
              <w:lang w:val="en-US"/>
            </w:rPr>
          </w:pPr>
          <w:hyperlink w:anchor="_Toc45837569" w:history="1">
            <w:r w:rsidR="008A5068" w:rsidRPr="00BD128E">
              <w:rPr>
                <w:rStyle w:val="Hyperlink"/>
                <w:noProof/>
              </w:rPr>
              <w:t>Appendix 1 – Contact angle experiments on nanoparticle pellets</w:t>
            </w:r>
            <w:r w:rsidR="008A5068">
              <w:rPr>
                <w:noProof/>
                <w:webHidden/>
              </w:rPr>
              <w:tab/>
            </w:r>
            <w:r w:rsidR="008A5068">
              <w:rPr>
                <w:noProof/>
                <w:webHidden/>
              </w:rPr>
              <w:fldChar w:fldCharType="begin"/>
            </w:r>
            <w:r w:rsidR="008A5068">
              <w:rPr>
                <w:noProof/>
                <w:webHidden/>
              </w:rPr>
              <w:instrText xml:space="preserve"> PAGEREF _Toc45837569 \h </w:instrText>
            </w:r>
            <w:r w:rsidR="008A5068">
              <w:rPr>
                <w:noProof/>
                <w:webHidden/>
              </w:rPr>
            </w:r>
            <w:r w:rsidR="008A5068">
              <w:rPr>
                <w:noProof/>
                <w:webHidden/>
              </w:rPr>
              <w:fldChar w:fldCharType="separate"/>
            </w:r>
            <w:r>
              <w:rPr>
                <w:noProof/>
                <w:webHidden/>
              </w:rPr>
              <w:t>76</w:t>
            </w:r>
            <w:r w:rsidR="008A5068">
              <w:rPr>
                <w:noProof/>
                <w:webHidden/>
              </w:rPr>
              <w:fldChar w:fldCharType="end"/>
            </w:r>
          </w:hyperlink>
        </w:p>
        <w:p w14:paraId="3E4DB9D1" w14:textId="157F54A3" w:rsidR="008A5068" w:rsidRDefault="0008188F">
          <w:pPr>
            <w:pStyle w:val="TOC2"/>
            <w:rPr>
              <w:rFonts w:asciiTheme="minorHAnsi" w:eastAsiaTheme="minorEastAsia" w:hAnsiTheme="minorHAnsi"/>
              <w:noProof/>
              <w:sz w:val="22"/>
              <w:lang w:val="en-US"/>
            </w:rPr>
          </w:pPr>
          <w:hyperlink w:anchor="_Toc45837570" w:history="1">
            <w:r w:rsidR="008A5068" w:rsidRPr="00BD128E">
              <w:rPr>
                <w:rStyle w:val="Hyperlink"/>
                <w:noProof/>
              </w:rPr>
              <w:t>Appendix 2 – Contact angle experiments on adhesives</w:t>
            </w:r>
            <w:r w:rsidR="008A5068">
              <w:rPr>
                <w:noProof/>
                <w:webHidden/>
              </w:rPr>
              <w:tab/>
            </w:r>
            <w:r w:rsidR="008A5068">
              <w:rPr>
                <w:noProof/>
                <w:webHidden/>
              </w:rPr>
              <w:fldChar w:fldCharType="begin"/>
            </w:r>
            <w:r w:rsidR="008A5068">
              <w:rPr>
                <w:noProof/>
                <w:webHidden/>
              </w:rPr>
              <w:instrText xml:space="preserve"> PAGEREF _Toc45837570 \h </w:instrText>
            </w:r>
            <w:r w:rsidR="008A5068">
              <w:rPr>
                <w:noProof/>
                <w:webHidden/>
              </w:rPr>
            </w:r>
            <w:r w:rsidR="008A5068">
              <w:rPr>
                <w:noProof/>
                <w:webHidden/>
              </w:rPr>
              <w:fldChar w:fldCharType="separate"/>
            </w:r>
            <w:r>
              <w:rPr>
                <w:noProof/>
                <w:webHidden/>
              </w:rPr>
              <w:t>84</w:t>
            </w:r>
            <w:r w:rsidR="008A5068">
              <w:rPr>
                <w:noProof/>
                <w:webHidden/>
              </w:rPr>
              <w:fldChar w:fldCharType="end"/>
            </w:r>
          </w:hyperlink>
        </w:p>
        <w:p w14:paraId="46DE6988" w14:textId="078675CE" w:rsidR="008A5068" w:rsidRDefault="0008188F">
          <w:pPr>
            <w:pStyle w:val="TOC2"/>
            <w:rPr>
              <w:rFonts w:asciiTheme="minorHAnsi" w:eastAsiaTheme="minorEastAsia" w:hAnsiTheme="minorHAnsi"/>
              <w:noProof/>
              <w:sz w:val="22"/>
              <w:lang w:val="en-US"/>
            </w:rPr>
          </w:pPr>
          <w:hyperlink w:anchor="_Toc45837571" w:history="1">
            <w:r w:rsidR="008A5068" w:rsidRPr="00BD128E">
              <w:rPr>
                <w:rStyle w:val="Hyperlink"/>
                <w:noProof/>
              </w:rPr>
              <w:t>Appendix 3 – Bioluminescence Assay Experiments</w:t>
            </w:r>
            <w:r w:rsidR="008A5068">
              <w:rPr>
                <w:noProof/>
                <w:webHidden/>
              </w:rPr>
              <w:tab/>
            </w:r>
            <w:r w:rsidR="008A5068">
              <w:rPr>
                <w:noProof/>
                <w:webHidden/>
              </w:rPr>
              <w:fldChar w:fldCharType="begin"/>
            </w:r>
            <w:r w:rsidR="008A5068">
              <w:rPr>
                <w:noProof/>
                <w:webHidden/>
              </w:rPr>
              <w:instrText xml:space="preserve"> PAGEREF _Toc45837571 \h </w:instrText>
            </w:r>
            <w:r w:rsidR="008A5068">
              <w:rPr>
                <w:noProof/>
                <w:webHidden/>
              </w:rPr>
            </w:r>
            <w:r w:rsidR="008A5068">
              <w:rPr>
                <w:noProof/>
                <w:webHidden/>
              </w:rPr>
              <w:fldChar w:fldCharType="separate"/>
            </w:r>
            <w:r>
              <w:rPr>
                <w:noProof/>
                <w:webHidden/>
              </w:rPr>
              <w:t>85</w:t>
            </w:r>
            <w:r w:rsidR="008A5068">
              <w:rPr>
                <w:noProof/>
                <w:webHidden/>
              </w:rPr>
              <w:fldChar w:fldCharType="end"/>
            </w:r>
          </w:hyperlink>
        </w:p>
        <w:p w14:paraId="292F52D2" w14:textId="5D8361BE" w:rsidR="00821CF6" w:rsidRPr="00BF3F46" w:rsidRDefault="00877E02">
          <w:pPr>
            <w:rPr>
              <w:rFonts w:cs="Times New Roman"/>
              <w:noProof/>
              <w:szCs w:val="24"/>
            </w:rPr>
          </w:pPr>
          <w:r w:rsidRPr="00BF3F46">
            <w:rPr>
              <w:rFonts w:cs="Times New Roman"/>
              <w:b/>
              <w:bCs/>
              <w:noProof/>
              <w:szCs w:val="24"/>
            </w:rPr>
            <w:fldChar w:fldCharType="end"/>
          </w:r>
        </w:p>
      </w:sdtContent>
    </w:sdt>
    <w:p w14:paraId="17891995" w14:textId="54408991" w:rsidR="00877E02" w:rsidRPr="00241A81" w:rsidRDefault="00821CF6" w:rsidP="00821CF6">
      <w:pPr>
        <w:pStyle w:val="Heading1"/>
        <w:rPr>
          <w:rFonts w:cs="Times New Roman"/>
          <w:szCs w:val="24"/>
        </w:rPr>
      </w:pPr>
      <w:bookmarkStart w:id="0" w:name="_Toc45837529"/>
      <w:r w:rsidRPr="00700F2A">
        <w:rPr>
          <w:rFonts w:cs="Times New Roman"/>
          <w:szCs w:val="24"/>
          <w:lang w:val="en-US"/>
        </w:rPr>
        <w:t>Table</w:t>
      </w:r>
      <w:r w:rsidRPr="00241A81">
        <w:rPr>
          <w:rFonts w:cs="Times New Roman"/>
          <w:szCs w:val="24"/>
        </w:rPr>
        <w:t xml:space="preserve"> of Figure</w:t>
      </w:r>
      <w:bookmarkEnd w:id="0"/>
    </w:p>
    <w:p w14:paraId="7F06F11A" w14:textId="19FA771C" w:rsidR="008A5068" w:rsidRDefault="00821CF6">
      <w:pPr>
        <w:pStyle w:val="TableofFigures"/>
        <w:tabs>
          <w:tab w:val="right" w:leader="dot" w:pos="8198"/>
        </w:tabs>
        <w:rPr>
          <w:rFonts w:asciiTheme="minorHAnsi" w:eastAsiaTheme="minorEastAsia" w:hAnsiTheme="minorHAnsi"/>
          <w:noProof/>
          <w:sz w:val="22"/>
          <w:lang w:val="en-US"/>
        </w:rPr>
      </w:pPr>
      <w:r w:rsidRPr="00BF3F46">
        <w:rPr>
          <w:rFonts w:cs="Times New Roman"/>
          <w:szCs w:val="24"/>
          <w:lang w:val="en-US"/>
        </w:rPr>
        <w:fldChar w:fldCharType="begin"/>
      </w:r>
      <w:r w:rsidRPr="00BF3F46">
        <w:rPr>
          <w:rFonts w:cs="Times New Roman"/>
          <w:szCs w:val="24"/>
          <w:lang w:val="en-US"/>
        </w:rPr>
        <w:instrText xml:space="preserve"> TOC \h \z \c "Figure" </w:instrText>
      </w:r>
      <w:r w:rsidRPr="00BF3F46">
        <w:rPr>
          <w:rFonts w:cs="Times New Roman"/>
          <w:szCs w:val="24"/>
          <w:lang w:val="en-US"/>
        </w:rPr>
        <w:fldChar w:fldCharType="separate"/>
      </w:r>
      <w:hyperlink w:anchor="_Toc45837572" w:history="1">
        <w:r w:rsidR="008A5068" w:rsidRPr="00501903">
          <w:rPr>
            <w:rStyle w:val="Hyperlink"/>
            <w:noProof/>
            <w:lang w:val="en-US"/>
          </w:rPr>
          <w:t>Figure 1</w:t>
        </w:r>
        <w:r w:rsidR="008A5068" w:rsidRPr="00501903">
          <w:rPr>
            <w:rStyle w:val="Hyperlink"/>
            <w:rFonts w:cs="Times New Roman"/>
            <w:noProof/>
            <w:lang w:val="en-US"/>
          </w:rPr>
          <w:t xml:space="preserve"> – Diagram of tooth with dental caries</w:t>
        </w:r>
        <w:r w:rsidR="008A5068">
          <w:rPr>
            <w:noProof/>
            <w:webHidden/>
          </w:rPr>
          <w:tab/>
        </w:r>
        <w:r w:rsidR="008A5068">
          <w:rPr>
            <w:noProof/>
            <w:webHidden/>
          </w:rPr>
          <w:fldChar w:fldCharType="begin"/>
        </w:r>
        <w:r w:rsidR="008A5068">
          <w:rPr>
            <w:noProof/>
            <w:webHidden/>
          </w:rPr>
          <w:instrText xml:space="preserve"> PAGEREF _Toc45837572 \h </w:instrText>
        </w:r>
        <w:r w:rsidR="008A5068">
          <w:rPr>
            <w:noProof/>
            <w:webHidden/>
          </w:rPr>
        </w:r>
        <w:r w:rsidR="008A5068">
          <w:rPr>
            <w:noProof/>
            <w:webHidden/>
          </w:rPr>
          <w:fldChar w:fldCharType="separate"/>
        </w:r>
        <w:r w:rsidR="0008188F">
          <w:rPr>
            <w:noProof/>
            <w:webHidden/>
          </w:rPr>
          <w:t>6</w:t>
        </w:r>
        <w:r w:rsidR="008A5068">
          <w:rPr>
            <w:noProof/>
            <w:webHidden/>
          </w:rPr>
          <w:fldChar w:fldCharType="end"/>
        </w:r>
      </w:hyperlink>
    </w:p>
    <w:p w14:paraId="485C6A8E" w14:textId="0B226DF9" w:rsidR="008A5068" w:rsidRDefault="0008188F">
      <w:pPr>
        <w:pStyle w:val="TableofFigures"/>
        <w:tabs>
          <w:tab w:val="right" w:leader="dot" w:pos="8198"/>
        </w:tabs>
        <w:rPr>
          <w:rFonts w:asciiTheme="minorHAnsi" w:eastAsiaTheme="minorEastAsia" w:hAnsiTheme="minorHAnsi"/>
          <w:noProof/>
          <w:sz w:val="22"/>
          <w:lang w:val="en-US"/>
        </w:rPr>
      </w:pPr>
      <w:hyperlink w:anchor="_Toc45837573" w:history="1">
        <w:r w:rsidR="008A5068" w:rsidRPr="00501903">
          <w:rPr>
            <w:rStyle w:val="Hyperlink"/>
            <w:noProof/>
            <w:lang w:val="en-US"/>
          </w:rPr>
          <w:t>Figure 2</w:t>
        </w:r>
        <w:r w:rsidR="008A5068" w:rsidRPr="00501903">
          <w:rPr>
            <w:rStyle w:val="Hyperlink"/>
            <w:rFonts w:cs="Times New Roman"/>
            <w:noProof/>
            <w:lang w:val="en-US"/>
          </w:rPr>
          <w:t xml:space="preserve"> – Diagram of crown</w:t>
        </w:r>
        <w:r w:rsidR="008A5068">
          <w:rPr>
            <w:noProof/>
            <w:webHidden/>
          </w:rPr>
          <w:tab/>
        </w:r>
        <w:r w:rsidR="008A5068">
          <w:rPr>
            <w:noProof/>
            <w:webHidden/>
          </w:rPr>
          <w:fldChar w:fldCharType="begin"/>
        </w:r>
        <w:r w:rsidR="008A5068">
          <w:rPr>
            <w:noProof/>
            <w:webHidden/>
          </w:rPr>
          <w:instrText xml:space="preserve"> PAGEREF _Toc45837573 \h </w:instrText>
        </w:r>
        <w:r w:rsidR="008A5068">
          <w:rPr>
            <w:noProof/>
            <w:webHidden/>
          </w:rPr>
        </w:r>
        <w:r w:rsidR="008A5068">
          <w:rPr>
            <w:noProof/>
            <w:webHidden/>
          </w:rPr>
          <w:fldChar w:fldCharType="separate"/>
        </w:r>
        <w:r>
          <w:rPr>
            <w:noProof/>
            <w:webHidden/>
          </w:rPr>
          <w:t>7</w:t>
        </w:r>
        <w:r w:rsidR="008A5068">
          <w:rPr>
            <w:noProof/>
            <w:webHidden/>
          </w:rPr>
          <w:fldChar w:fldCharType="end"/>
        </w:r>
      </w:hyperlink>
    </w:p>
    <w:p w14:paraId="1C70AA05" w14:textId="62574520" w:rsidR="008A5068" w:rsidRDefault="0008188F">
      <w:pPr>
        <w:pStyle w:val="TableofFigures"/>
        <w:tabs>
          <w:tab w:val="right" w:leader="dot" w:pos="8198"/>
        </w:tabs>
        <w:rPr>
          <w:rFonts w:asciiTheme="minorHAnsi" w:eastAsiaTheme="minorEastAsia" w:hAnsiTheme="minorHAnsi"/>
          <w:noProof/>
          <w:sz w:val="22"/>
          <w:lang w:val="en-US"/>
        </w:rPr>
      </w:pPr>
      <w:hyperlink w:anchor="_Toc45837574" w:history="1">
        <w:r w:rsidR="008A5068" w:rsidRPr="00501903">
          <w:rPr>
            <w:rStyle w:val="Hyperlink"/>
            <w:noProof/>
            <w:lang w:val="en-US"/>
          </w:rPr>
          <w:t>Figure 3</w:t>
        </w:r>
        <w:r w:rsidR="008A5068" w:rsidRPr="00501903">
          <w:rPr>
            <w:rStyle w:val="Hyperlink"/>
            <w:rFonts w:cs="Times New Roman"/>
            <w:noProof/>
            <w:lang w:val="en-US"/>
          </w:rPr>
          <w:t xml:space="preserve"> – Diagram of root canal</w:t>
        </w:r>
        <w:r w:rsidR="008A5068">
          <w:rPr>
            <w:noProof/>
            <w:webHidden/>
          </w:rPr>
          <w:tab/>
        </w:r>
        <w:r w:rsidR="008A5068">
          <w:rPr>
            <w:noProof/>
            <w:webHidden/>
          </w:rPr>
          <w:fldChar w:fldCharType="begin"/>
        </w:r>
        <w:r w:rsidR="008A5068">
          <w:rPr>
            <w:noProof/>
            <w:webHidden/>
          </w:rPr>
          <w:instrText xml:space="preserve"> PAGEREF _Toc45837574 \h </w:instrText>
        </w:r>
        <w:r w:rsidR="008A5068">
          <w:rPr>
            <w:noProof/>
            <w:webHidden/>
          </w:rPr>
        </w:r>
        <w:r w:rsidR="008A5068">
          <w:rPr>
            <w:noProof/>
            <w:webHidden/>
          </w:rPr>
          <w:fldChar w:fldCharType="separate"/>
        </w:r>
        <w:r>
          <w:rPr>
            <w:noProof/>
            <w:webHidden/>
          </w:rPr>
          <w:t>8</w:t>
        </w:r>
        <w:r w:rsidR="008A5068">
          <w:rPr>
            <w:noProof/>
            <w:webHidden/>
          </w:rPr>
          <w:fldChar w:fldCharType="end"/>
        </w:r>
      </w:hyperlink>
    </w:p>
    <w:p w14:paraId="293752E4" w14:textId="330230C9" w:rsidR="008A5068" w:rsidRDefault="0008188F">
      <w:pPr>
        <w:pStyle w:val="TableofFigures"/>
        <w:tabs>
          <w:tab w:val="right" w:leader="dot" w:pos="8198"/>
        </w:tabs>
        <w:rPr>
          <w:rFonts w:asciiTheme="minorHAnsi" w:eastAsiaTheme="minorEastAsia" w:hAnsiTheme="minorHAnsi"/>
          <w:noProof/>
          <w:sz w:val="22"/>
          <w:lang w:val="en-US"/>
        </w:rPr>
      </w:pPr>
      <w:hyperlink w:anchor="_Toc45837575" w:history="1">
        <w:r w:rsidR="008A5068" w:rsidRPr="00501903">
          <w:rPr>
            <w:rStyle w:val="Hyperlink"/>
            <w:noProof/>
            <w:lang w:val="en-US"/>
          </w:rPr>
          <w:t>Figure 4</w:t>
        </w:r>
        <w:r w:rsidR="008A5068" w:rsidRPr="00501903">
          <w:rPr>
            <w:rStyle w:val="Hyperlink"/>
            <w:rFonts w:cs="Times New Roman"/>
            <w:noProof/>
            <w:lang w:val="en-US"/>
          </w:rPr>
          <w:t xml:space="preserve"> – Diagram of bridge restoration</w:t>
        </w:r>
        <w:r w:rsidR="008A5068">
          <w:rPr>
            <w:noProof/>
            <w:webHidden/>
          </w:rPr>
          <w:tab/>
        </w:r>
        <w:r w:rsidR="008A5068">
          <w:rPr>
            <w:noProof/>
            <w:webHidden/>
          </w:rPr>
          <w:fldChar w:fldCharType="begin"/>
        </w:r>
        <w:r w:rsidR="008A5068">
          <w:rPr>
            <w:noProof/>
            <w:webHidden/>
          </w:rPr>
          <w:instrText xml:space="preserve"> PAGEREF _Toc45837575 \h </w:instrText>
        </w:r>
        <w:r w:rsidR="008A5068">
          <w:rPr>
            <w:noProof/>
            <w:webHidden/>
          </w:rPr>
        </w:r>
        <w:r w:rsidR="008A5068">
          <w:rPr>
            <w:noProof/>
            <w:webHidden/>
          </w:rPr>
          <w:fldChar w:fldCharType="separate"/>
        </w:r>
        <w:r>
          <w:rPr>
            <w:noProof/>
            <w:webHidden/>
          </w:rPr>
          <w:t>9</w:t>
        </w:r>
        <w:r w:rsidR="008A5068">
          <w:rPr>
            <w:noProof/>
            <w:webHidden/>
          </w:rPr>
          <w:fldChar w:fldCharType="end"/>
        </w:r>
      </w:hyperlink>
    </w:p>
    <w:p w14:paraId="4A73BCD5" w14:textId="530405A3" w:rsidR="008A5068" w:rsidRDefault="0008188F">
      <w:pPr>
        <w:pStyle w:val="TableofFigures"/>
        <w:tabs>
          <w:tab w:val="right" w:leader="dot" w:pos="8198"/>
        </w:tabs>
        <w:rPr>
          <w:rFonts w:asciiTheme="minorHAnsi" w:eastAsiaTheme="minorEastAsia" w:hAnsiTheme="minorHAnsi"/>
          <w:noProof/>
          <w:sz w:val="22"/>
          <w:lang w:val="en-US"/>
        </w:rPr>
      </w:pPr>
      <w:hyperlink w:anchor="_Toc45837576" w:history="1">
        <w:r w:rsidR="008A5068" w:rsidRPr="00501903">
          <w:rPr>
            <w:rStyle w:val="Hyperlink"/>
            <w:noProof/>
            <w:lang w:val="en-US"/>
          </w:rPr>
          <w:t>Figure 5 – Dimethyldodecylamine oxide</w:t>
        </w:r>
        <w:r w:rsidR="008A5068">
          <w:rPr>
            <w:noProof/>
            <w:webHidden/>
          </w:rPr>
          <w:tab/>
        </w:r>
        <w:r w:rsidR="008A5068">
          <w:rPr>
            <w:noProof/>
            <w:webHidden/>
          </w:rPr>
          <w:fldChar w:fldCharType="begin"/>
        </w:r>
        <w:r w:rsidR="008A5068">
          <w:rPr>
            <w:noProof/>
            <w:webHidden/>
          </w:rPr>
          <w:instrText xml:space="preserve"> PAGEREF _Toc45837576 \h </w:instrText>
        </w:r>
        <w:r w:rsidR="008A5068">
          <w:rPr>
            <w:noProof/>
            <w:webHidden/>
          </w:rPr>
        </w:r>
        <w:r w:rsidR="008A5068">
          <w:rPr>
            <w:noProof/>
            <w:webHidden/>
          </w:rPr>
          <w:fldChar w:fldCharType="separate"/>
        </w:r>
        <w:r>
          <w:rPr>
            <w:noProof/>
            <w:webHidden/>
          </w:rPr>
          <w:t>14</w:t>
        </w:r>
        <w:r w:rsidR="008A5068">
          <w:rPr>
            <w:noProof/>
            <w:webHidden/>
          </w:rPr>
          <w:fldChar w:fldCharType="end"/>
        </w:r>
      </w:hyperlink>
    </w:p>
    <w:p w14:paraId="55202692" w14:textId="64AB7856" w:rsidR="008A5068" w:rsidRDefault="0008188F">
      <w:pPr>
        <w:pStyle w:val="TableofFigures"/>
        <w:tabs>
          <w:tab w:val="right" w:leader="dot" w:pos="8198"/>
        </w:tabs>
        <w:rPr>
          <w:rFonts w:asciiTheme="minorHAnsi" w:eastAsiaTheme="minorEastAsia" w:hAnsiTheme="minorHAnsi"/>
          <w:noProof/>
          <w:sz w:val="22"/>
          <w:lang w:val="en-US"/>
        </w:rPr>
      </w:pPr>
      <w:hyperlink w:anchor="_Toc45837577" w:history="1">
        <w:r w:rsidR="008A5068" w:rsidRPr="00501903">
          <w:rPr>
            <w:rStyle w:val="Hyperlink"/>
            <w:noProof/>
            <w:lang w:val="en-US"/>
          </w:rPr>
          <w:t>Figure 6 – Contact angle determination methods</w:t>
        </w:r>
        <w:r w:rsidR="008A5068">
          <w:rPr>
            <w:noProof/>
            <w:webHidden/>
          </w:rPr>
          <w:tab/>
        </w:r>
        <w:r w:rsidR="008A5068">
          <w:rPr>
            <w:noProof/>
            <w:webHidden/>
          </w:rPr>
          <w:fldChar w:fldCharType="begin"/>
        </w:r>
        <w:r w:rsidR="008A5068">
          <w:rPr>
            <w:noProof/>
            <w:webHidden/>
          </w:rPr>
          <w:instrText xml:space="preserve"> PAGEREF _Toc45837577 \h </w:instrText>
        </w:r>
        <w:r w:rsidR="008A5068">
          <w:rPr>
            <w:noProof/>
            <w:webHidden/>
          </w:rPr>
        </w:r>
        <w:r w:rsidR="008A5068">
          <w:rPr>
            <w:noProof/>
            <w:webHidden/>
          </w:rPr>
          <w:fldChar w:fldCharType="separate"/>
        </w:r>
        <w:r>
          <w:rPr>
            <w:noProof/>
            <w:webHidden/>
          </w:rPr>
          <w:t>18</w:t>
        </w:r>
        <w:r w:rsidR="008A5068">
          <w:rPr>
            <w:noProof/>
            <w:webHidden/>
          </w:rPr>
          <w:fldChar w:fldCharType="end"/>
        </w:r>
      </w:hyperlink>
    </w:p>
    <w:p w14:paraId="4D749E28" w14:textId="74066661" w:rsidR="008A5068" w:rsidRDefault="0008188F">
      <w:pPr>
        <w:pStyle w:val="TableofFigures"/>
        <w:tabs>
          <w:tab w:val="right" w:leader="dot" w:pos="8198"/>
        </w:tabs>
        <w:rPr>
          <w:rFonts w:asciiTheme="minorHAnsi" w:eastAsiaTheme="minorEastAsia" w:hAnsiTheme="minorHAnsi"/>
          <w:noProof/>
          <w:sz w:val="22"/>
          <w:lang w:val="en-US"/>
        </w:rPr>
      </w:pPr>
      <w:hyperlink w:anchor="_Toc45837578" w:history="1">
        <w:r w:rsidR="008A5068" w:rsidRPr="00501903">
          <w:rPr>
            <w:rStyle w:val="Hyperlink"/>
            <w:noProof/>
            <w:lang w:val="en-US"/>
          </w:rPr>
          <w:t>Figure 7 – Sessile droplet</w:t>
        </w:r>
        <w:r w:rsidR="008A5068">
          <w:rPr>
            <w:noProof/>
            <w:webHidden/>
          </w:rPr>
          <w:tab/>
        </w:r>
        <w:r w:rsidR="008A5068">
          <w:rPr>
            <w:noProof/>
            <w:webHidden/>
          </w:rPr>
          <w:fldChar w:fldCharType="begin"/>
        </w:r>
        <w:r w:rsidR="008A5068">
          <w:rPr>
            <w:noProof/>
            <w:webHidden/>
          </w:rPr>
          <w:instrText xml:space="preserve"> PAGEREF _Toc45837578 \h </w:instrText>
        </w:r>
        <w:r w:rsidR="008A5068">
          <w:rPr>
            <w:noProof/>
            <w:webHidden/>
          </w:rPr>
        </w:r>
        <w:r w:rsidR="008A5068">
          <w:rPr>
            <w:noProof/>
            <w:webHidden/>
          </w:rPr>
          <w:fldChar w:fldCharType="separate"/>
        </w:r>
        <w:r>
          <w:rPr>
            <w:noProof/>
            <w:webHidden/>
          </w:rPr>
          <w:t>22</w:t>
        </w:r>
        <w:r w:rsidR="008A5068">
          <w:rPr>
            <w:noProof/>
            <w:webHidden/>
          </w:rPr>
          <w:fldChar w:fldCharType="end"/>
        </w:r>
      </w:hyperlink>
    </w:p>
    <w:p w14:paraId="0DE44CAF" w14:textId="740B3B5A" w:rsidR="008A5068" w:rsidRDefault="0008188F">
      <w:pPr>
        <w:pStyle w:val="TableofFigures"/>
        <w:tabs>
          <w:tab w:val="right" w:leader="dot" w:pos="8198"/>
        </w:tabs>
        <w:rPr>
          <w:rFonts w:asciiTheme="minorHAnsi" w:eastAsiaTheme="minorEastAsia" w:hAnsiTheme="minorHAnsi"/>
          <w:noProof/>
          <w:sz w:val="22"/>
          <w:lang w:val="en-US"/>
        </w:rPr>
      </w:pPr>
      <w:hyperlink w:anchor="_Toc45837579" w:history="1">
        <w:r w:rsidR="008A5068" w:rsidRPr="00501903">
          <w:rPr>
            <w:rStyle w:val="Hyperlink"/>
            <w:rFonts w:cs="Times New Roman"/>
            <w:noProof/>
            <w:lang w:val="en-US"/>
          </w:rPr>
          <w:t>Figure 8 – Nanogard disc after powder press</w:t>
        </w:r>
        <w:r w:rsidR="008A5068">
          <w:rPr>
            <w:noProof/>
            <w:webHidden/>
          </w:rPr>
          <w:tab/>
        </w:r>
        <w:r w:rsidR="008A5068">
          <w:rPr>
            <w:noProof/>
            <w:webHidden/>
          </w:rPr>
          <w:fldChar w:fldCharType="begin"/>
        </w:r>
        <w:r w:rsidR="008A5068">
          <w:rPr>
            <w:noProof/>
            <w:webHidden/>
          </w:rPr>
          <w:instrText xml:space="preserve"> PAGEREF _Toc45837579 \h </w:instrText>
        </w:r>
        <w:r w:rsidR="008A5068">
          <w:rPr>
            <w:noProof/>
            <w:webHidden/>
          </w:rPr>
        </w:r>
        <w:r w:rsidR="008A5068">
          <w:rPr>
            <w:noProof/>
            <w:webHidden/>
          </w:rPr>
          <w:fldChar w:fldCharType="separate"/>
        </w:r>
        <w:r>
          <w:rPr>
            <w:noProof/>
            <w:webHidden/>
          </w:rPr>
          <w:t>24</w:t>
        </w:r>
        <w:r w:rsidR="008A5068">
          <w:rPr>
            <w:noProof/>
            <w:webHidden/>
          </w:rPr>
          <w:fldChar w:fldCharType="end"/>
        </w:r>
      </w:hyperlink>
    </w:p>
    <w:p w14:paraId="0A5E9B7C" w14:textId="4B07715F" w:rsidR="008A5068" w:rsidRDefault="0008188F">
      <w:pPr>
        <w:pStyle w:val="TableofFigures"/>
        <w:tabs>
          <w:tab w:val="right" w:leader="dot" w:pos="8198"/>
        </w:tabs>
        <w:rPr>
          <w:rFonts w:asciiTheme="minorHAnsi" w:eastAsiaTheme="minorEastAsia" w:hAnsiTheme="minorHAnsi"/>
          <w:noProof/>
          <w:sz w:val="22"/>
          <w:lang w:val="en-US"/>
        </w:rPr>
      </w:pPr>
      <w:hyperlink r:id="rId12" w:anchor="_Toc45837580" w:history="1">
        <w:r w:rsidR="008A5068" w:rsidRPr="00501903">
          <w:rPr>
            <w:rStyle w:val="Hyperlink"/>
            <w:noProof/>
            <w:lang w:val="en-US"/>
          </w:rPr>
          <w:t>Figure 9 (A-</w:t>
        </w:r>
        <w:r w:rsidR="008A5068">
          <w:rPr>
            <w:rStyle w:val="Hyperlink"/>
            <w:noProof/>
            <w:lang w:val="en-US"/>
          </w:rPr>
          <w:t>F</w:t>
        </w:r>
        <w:r w:rsidR="008A5068" w:rsidRPr="00501903">
          <w:rPr>
            <w:rStyle w:val="Hyperlink"/>
            <w:noProof/>
            <w:lang w:val="en-US"/>
          </w:rPr>
          <w:t xml:space="preserve">) – Formamide on </w:t>
        </w:r>
        <w:r w:rsidR="008A5068" w:rsidRPr="00501903">
          <w:rPr>
            <w:rStyle w:val="Hyperlink"/>
            <w:rFonts w:cs="Times New Roman"/>
            <w:noProof/>
            <w:lang w:val="en-US"/>
          </w:rPr>
          <w:t>Nanogard</w:t>
        </w:r>
        <w:r w:rsidR="008A5068" w:rsidRPr="00501903">
          <w:rPr>
            <w:rStyle w:val="Hyperlink"/>
            <w:rFonts w:cs="Times New Roman"/>
            <w:noProof/>
            <w:vertAlign w:val="superscript"/>
            <w:lang w:val="en-US"/>
          </w:rPr>
          <w:t>TM</w:t>
        </w:r>
        <w:r w:rsidR="008A5068">
          <w:rPr>
            <w:noProof/>
            <w:webHidden/>
          </w:rPr>
          <w:tab/>
        </w:r>
        <w:r w:rsidR="008A5068">
          <w:rPr>
            <w:noProof/>
            <w:webHidden/>
          </w:rPr>
          <w:fldChar w:fldCharType="begin"/>
        </w:r>
        <w:r w:rsidR="008A5068">
          <w:rPr>
            <w:noProof/>
            <w:webHidden/>
          </w:rPr>
          <w:instrText xml:space="preserve"> PAGEREF _Toc45837580 \h </w:instrText>
        </w:r>
        <w:r w:rsidR="008A5068">
          <w:rPr>
            <w:noProof/>
            <w:webHidden/>
          </w:rPr>
        </w:r>
        <w:r w:rsidR="008A5068">
          <w:rPr>
            <w:noProof/>
            <w:webHidden/>
          </w:rPr>
          <w:fldChar w:fldCharType="separate"/>
        </w:r>
        <w:r>
          <w:rPr>
            <w:noProof/>
            <w:webHidden/>
          </w:rPr>
          <w:t>27</w:t>
        </w:r>
        <w:r w:rsidR="008A5068">
          <w:rPr>
            <w:noProof/>
            <w:webHidden/>
          </w:rPr>
          <w:fldChar w:fldCharType="end"/>
        </w:r>
      </w:hyperlink>
    </w:p>
    <w:p w14:paraId="6A7FA994" w14:textId="31CFEA78" w:rsidR="008A5068" w:rsidRDefault="0008188F">
      <w:pPr>
        <w:pStyle w:val="TableofFigures"/>
        <w:tabs>
          <w:tab w:val="right" w:leader="dot" w:pos="8198"/>
        </w:tabs>
        <w:rPr>
          <w:rFonts w:asciiTheme="minorHAnsi" w:eastAsiaTheme="minorEastAsia" w:hAnsiTheme="minorHAnsi"/>
          <w:noProof/>
          <w:sz w:val="22"/>
          <w:lang w:val="en-US"/>
        </w:rPr>
      </w:pPr>
      <w:hyperlink w:anchor="_Toc45837581" w:history="1">
        <w:r w:rsidR="008A5068" w:rsidRPr="00501903">
          <w:rPr>
            <w:rStyle w:val="Hyperlink"/>
            <w:noProof/>
            <w:lang w:val="en-US"/>
          </w:rPr>
          <w:t>Figure 10</w:t>
        </w:r>
        <w:r w:rsidR="008A5068">
          <w:rPr>
            <w:rStyle w:val="Hyperlink"/>
            <w:noProof/>
            <w:lang w:val="en-US"/>
          </w:rPr>
          <w:t xml:space="preserve"> (</w:t>
        </w:r>
        <w:r w:rsidR="008A5068" w:rsidRPr="00501903">
          <w:rPr>
            <w:rStyle w:val="Hyperlink"/>
            <w:noProof/>
            <w:lang w:val="en-US"/>
          </w:rPr>
          <w:t>A</w:t>
        </w:r>
        <w:r w:rsidR="008A5068">
          <w:rPr>
            <w:rStyle w:val="Hyperlink"/>
            <w:noProof/>
            <w:lang w:val="en-US"/>
          </w:rPr>
          <w:t>&amp;B)</w:t>
        </w:r>
        <w:r w:rsidR="008A5068" w:rsidRPr="00501903">
          <w:rPr>
            <w:rStyle w:val="Hyperlink"/>
            <w:noProof/>
            <w:lang w:val="en-US"/>
          </w:rPr>
          <w:t xml:space="preserve"> – Average contact angle measured vs average contact angle literature</w:t>
        </w:r>
        <w:r w:rsidR="008A5068">
          <w:rPr>
            <w:noProof/>
            <w:webHidden/>
          </w:rPr>
          <w:tab/>
        </w:r>
        <w:r w:rsidR="008A5068">
          <w:rPr>
            <w:noProof/>
            <w:webHidden/>
          </w:rPr>
          <w:fldChar w:fldCharType="begin"/>
        </w:r>
        <w:r w:rsidR="008A5068">
          <w:rPr>
            <w:noProof/>
            <w:webHidden/>
          </w:rPr>
          <w:instrText xml:space="preserve"> PAGEREF _Toc45837581 \h </w:instrText>
        </w:r>
        <w:r w:rsidR="008A5068">
          <w:rPr>
            <w:noProof/>
            <w:webHidden/>
          </w:rPr>
        </w:r>
        <w:r w:rsidR="008A5068">
          <w:rPr>
            <w:noProof/>
            <w:webHidden/>
          </w:rPr>
          <w:fldChar w:fldCharType="separate"/>
        </w:r>
        <w:r>
          <w:rPr>
            <w:noProof/>
            <w:webHidden/>
          </w:rPr>
          <w:t>30</w:t>
        </w:r>
        <w:r w:rsidR="008A5068">
          <w:rPr>
            <w:noProof/>
            <w:webHidden/>
          </w:rPr>
          <w:fldChar w:fldCharType="end"/>
        </w:r>
      </w:hyperlink>
    </w:p>
    <w:p w14:paraId="3E99822F" w14:textId="38EA2647" w:rsidR="008A5068" w:rsidRDefault="0008188F">
      <w:pPr>
        <w:pStyle w:val="TableofFigures"/>
        <w:tabs>
          <w:tab w:val="right" w:leader="dot" w:pos="8198"/>
        </w:tabs>
        <w:rPr>
          <w:rFonts w:asciiTheme="minorHAnsi" w:eastAsiaTheme="minorEastAsia" w:hAnsiTheme="minorHAnsi"/>
          <w:noProof/>
          <w:sz w:val="22"/>
          <w:lang w:val="en-US"/>
        </w:rPr>
      </w:pPr>
      <w:hyperlink w:anchor="_Toc45837582" w:history="1">
        <w:r w:rsidR="008A5068" w:rsidRPr="00501903">
          <w:rPr>
            <w:rStyle w:val="Hyperlink"/>
            <w:noProof/>
            <w:lang w:val="en-US"/>
          </w:rPr>
          <w:t>Figure 11 – Contact angle measurement method vs. experimental contact angle</w:t>
        </w:r>
        <w:r w:rsidR="008A5068">
          <w:rPr>
            <w:noProof/>
            <w:webHidden/>
          </w:rPr>
          <w:tab/>
        </w:r>
        <w:r w:rsidR="008A5068">
          <w:rPr>
            <w:noProof/>
            <w:webHidden/>
          </w:rPr>
          <w:fldChar w:fldCharType="begin"/>
        </w:r>
        <w:r w:rsidR="008A5068">
          <w:rPr>
            <w:noProof/>
            <w:webHidden/>
          </w:rPr>
          <w:instrText xml:space="preserve"> PAGEREF _Toc45837582 \h </w:instrText>
        </w:r>
        <w:r w:rsidR="008A5068">
          <w:rPr>
            <w:noProof/>
            <w:webHidden/>
          </w:rPr>
        </w:r>
        <w:r w:rsidR="008A5068">
          <w:rPr>
            <w:noProof/>
            <w:webHidden/>
          </w:rPr>
          <w:fldChar w:fldCharType="separate"/>
        </w:r>
        <w:r>
          <w:rPr>
            <w:noProof/>
            <w:webHidden/>
          </w:rPr>
          <w:t>37</w:t>
        </w:r>
        <w:r w:rsidR="008A5068">
          <w:rPr>
            <w:noProof/>
            <w:webHidden/>
          </w:rPr>
          <w:fldChar w:fldCharType="end"/>
        </w:r>
      </w:hyperlink>
    </w:p>
    <w:p w14:paraId="222422BD" w14:textId="533EC445" w:rsidR="008A5068" w:rsidRDefault="0008188F">
      <w:pPr>
        <w:pStyle w:val="TableofFigures"/>
        <w:tabs>
          <w:tab w:val="right" w:leader="dot" w:pos="8198"/>
        </w:tabs>
        <w:rPr>
          <w:rFonts w:asciiTheme="minorHAnsi" w:eastAsiaTheme="minorEastAsia" w:hAnsiTheme="minorHAnsi"/>
          <w:noProof/>
          <w:sz w:val="22"/>
          <w:lang w:val="en-US"/>
        </w:rPr>
      </w:pPr>
      <w:hyperlink w:anchor="_Toc45837583" w:history="1">
        <w:r w:rsidR="008A5068" w:rsidRPr="00501903">
          <w:rPr>
            <w:rStyle w:val="Hyperlink"/>
            <w:noProof/>
            <w:lang w:val="en-US"/>
          </w:rPr>
          <w:t>Figure 12 –</w:t>
        </w:r>
        <w:r w:rsidR="008A5068" w:rsidRPr="00501903">
          <w:rPr>
            <w:rStyle w:val="Hyperlink"/>
            <w:rFonts w:cs="Times New Roman"/>
            <w:noProof/>
            <w:lang w:val="en-US"/>
          </w:rPr>
          <w:t xml:space="preserve"> Formation of biofilm on tooth surface</w:t>
        </w:r>
        <w:r w:rsidR="008A5068">
          <w:rPr>
            <w:noProof/>
            <w:webHidden/>
          </w:rPr>
          <w:tab/>
        </w:r>
        <w:r w:rsidR="008A5068">
          <w:rPr>
            <w:noProof/>
            <w:webHidden/>
          </w:rPr>
          <w:fldChar w:fldCharType="begin"/>
        </w:r>
        <w:r w:rsidR="008A5068">
          <w:rPr>
            <w:noProof/>
            <w:webHidden/>
          </w:rPr>
          <w:instrText xml:space="preserve"> PAGEREF _Toc45837583 \h </w:instrText>
        </w:r>
        <w:r w:rsidR="008A5068">
          <w:rPr>
            <w:noProof/>
            <w:webHidden/>
          </w:rPr>
        </w:r>
        <w:r w:rsidR="008A5068">
          <w:rPr>
            <w:noProof/>
            <w:webHidden/>
          </w:rPr>
          <w:fldChar w:fldCharType="separate"/>
        </w:r>
        <w:r>
          <w:rPr>
            <w:noProof/>
            <w:webHidden/>
          </w:rPr>
          <w:t>41</w:t>
        </w:r>
        <w:r w:rsidR="008A5068">
          <w:rPr>
            <w:noProof/>
            <w:webHidden/>
          </w:rPr>
          <w:fldChar w:fldCharType="end"/>
        </w:r>
      </w:hyperlink>
    </w:p>
    <w:p w14:paraId="5F556215" w14:textId="539DDF9B" w:rsidR="008A5068" w:rsidRDefault="0008188F">
      <w:pPr>
        <w:pStyle w:val="TableofFigures"/>
        <w:tabs>
          <w:tab w:val="right" w:leader="dot" w:pos="8198"/>
        </w:tabs>
        <w:rPr>
          <w:rFonts w:asciiTheme="minorHAnsi" w:eastAsiaTheme="minorEastAsia" w:hAnsiTheme="minorHAnsi"/>
          <w:noProof/>
          <w:sz w:val="22"/>
          <w:lang w:val="en-US"/>
        </w:rPr>
      </w:pPr>
      <w:hyperlink w:anchor="_Toc45837584" w:history="1">
        <w:r w:rsidR="008A5068" w:rsidRPr="00501903">
          <w:rPr>
            <w:rStyle w:val="Hyperlink"/>
            <w:rFonts w:cs="Times New Roman"/>
            <w:noProof/>
            <w:lang w:val="en-US"/>
          </w:rPr>
          <w:t>Figure 13 – Experimental chamber with syringe and camera on the contact angle goniometer</w:t>
        </w:r>
        <w:r w:rsidR="008A5068">
          <w:rPr>
            <w:noProof/>
            <w:webHidden/>
          </w:rPr>
          <w:tab/>
        </w:r>
        <w:r w:rsidR="008A5068">
          <w:rPr>
            <w:noProof/>
            <w:webHidden/>
          </w:rPr>
          <w:fldChar w:fldCharType="begin"/>
        </w:r>
        <w:r w:rsidR="008A5068">
          <w:rPr>
            <w:noProof/>
            <w:webHidden/>
          </w:rPr>
          <w:instrText xml:space="preserve"> PAGEREF _Toc45837584 \h </w:instrText>
        </w:r>
        <w:r w:rsidR="008A5068">
          <w:rPr>
            <w:noProof/>
            <w:webHidden/>
          </w:rPr>
        </w:r>
        <w:r w:rsidR="008A5068">
          <w:rPr>
            <w:noProof/>
            <w:webHidden/>
          </w:rPr>
          <w:fldChar w:fldCharType="separate"/>
        </w:r>
        <w:r>
          <w:rPr>
            <w:noProof/>
            <w:webHidden/>
          </w:rPr>
          <w:t>46</w:t>
        </w:r>
        <w:r w:rsidR="008A5068">
          <w:rPr>
            <w:noProof/>
            <w:webHidden/>
          </w:rPr>
          <w:fldChar w:fldCharType="end"/>
        </w:r>
      </w:hyperlink>
    </w:p>
    <w:p w14:paraId="69A0AD06" w14:textId="6A01845A" w:rsidR="008A5068" w:rsidRDefault="0008188F">
      <w:pPr>
        <w:pStyle w:val="TableofFigures"/>
        <w:tabs>
          <w:tab w:val="right" w:leader="dot" w:pos="8198"/>
        </w:tabs>
        <w:rPr>
          <w:rFonts w:asciiTheme="minorHAnsi" w:eastAsiaTheme="minorEastAsia" w:hAnsiTheme="minorHAnsi"/>
          <w:noProof/>
          <w:sz w:val="22"/>
          <w:lang w:val="en-US"/>
        </w:rPr>
      </w:pPr>
      <w:hyperlink w:anchor="_Toc45837585" w:history="1">
        <w:r w:rsidR="008A5068" w:rsidRPr="00501903">
          <w:rPr>
            <w:rStyle w:val="Hyperlink"/>
            <w:noProof/>
            <w:lang w:val="en-US"/>
          </w:rPr>
          <w:t>Figure 14 – Droplet with baseline</w:t>
        </w:r>
        <w:r w:rsidR="008A5068">
          <w:rPr>
            <w:noProof/>
            <w:webHidden/>
          </w:rPr>
          <w:tab/>
        </w:r>
        <w:r w:rsidR="008A5068">
          <w:rPr>
            <w:noProof/>
            <w:webHidden/>
          </w:rPr>
          <w:fldChar w:fldCharType="begin"/>
        </w:r>
        <w:r w:rsidR="008A5068">
          <w:rPr>
            <w:noProof/>
            <w:webHidden/>
          </w:rPr>
          <w:instrText xml:space="preserve"> PAGEREF _Toc45837585 \h </w:instrText>
        </w:r>
        <w:r w:rsidR="008A5068">
          <w:rPr>
            <w:noProof/>
            <w:webHidden/>
          </w:rPr>
        </w:r>
        <w:r w:rsidR="008A5068">
          <w:rPr>
            <w:noProof/>
            <w:webHidden/>
          </w:rPr>
          <w:fldChar w:fldCharType="separate"/>
        </w:r>
        <w:r>
          <w:rPr>
            <w:noProof/>
            <w:webHidden/>
          </w:rPr>
          <w:t>48</w:t>
        </w:r>
        <w:r w:rsidR="008A5068">
          <w:rPr>
            <w:noProof/>
            <w:webHidden/>
          </w:rPr>
          <w:fldChar w:fldCharType="end"/>
        </w:r>
      </w:hyperlink>
    </w:p>
    <w:p w14:paraId="541AA083" w14:textId="33C4A84D" w:rsidR="008A5068" w:rsidRDefault="0008188F">
      <w:pPr>
        <w:pStyle w:val="TableofFigures"/>
        <w:tabs>
          <w:tab w:val="right" w:leader="dot" w:pos="8198"/>
        </w:tabs>
        <w:rPr>
          <w:rFonts w:asciiTheme="minorHAnsi" w:eastAsiaTheme="minorEastAsia" w:hAnsiTheme="minorHAnsi"/>
          <w:noProof/>
          <w:sz w:val="22"/>
          <w:lang w:val="en-US"/>
        </w:rPr>
      </w:pPr>
      <w:hyperlink w:anchor="_Toc45837586" w:history="1">
        <w:r w:rsidR="008A5068" w:rsidRPr="00501903">
          <w:rPr>
            <w:rStyle w:val="Hyperlink"/>
            <w:rFonts w:cs="Times New Roman"/>
            <w:noProof/>
            <w:lang w:val="en-US"/>
          </w:rPr>
          <w:t>Figure 15 – Silver mold for adhesive pellets</w:t>
        </w:r>
        <w:r w:rsidR="008A5068">
          <w:rPr>
            <w:noProof/>
            <w:webHidden/>
          </w:rPr>
          <w:tab/>
        </w:r>
        <w:r w:rsidR="008A5068">
          <w:rPr>
            <w:noProof/>
            <w:webHidden/>
          </w:rPr>
          <w:fldChar w:fldCharType="begin"/>
        </w:r>
        <w:r w:rsidR="008A5068">
          <w:rPr>
            <w:noProof/>
            <w:webHidden/>
          </w:rPr>
          <w:instrText xml:space="preserve"> PAGEREF _Toc45837586 \h </w:instrText>
        </w:r>
        <w:r w:rsidR="008A5068">
          <w:rPr>
            <w:noProof/>
            <w:webHidden/>
          </w:rPr>
        </w:r>
        <w:r w:rsidR="008A5068">
          <w:rPr>
            <w:noProof/>
            <w:webHidden/>
          </w:rPr>
          <w:fldChar w:fldCharType="separate"/>
        </w:r>
        <w:r>
          <w:rPr>
            <w:noProof/>
            <w:webHidden/>
          </w:rPr>
          <w:t>50</w:t>
        </w:r>
        <w:r w:rsidR="008A5068">
          <w:rPr>
            <w:noProof/>
            <w:webHidden/>
          </w:rPr>
          <w:fldChar w:fldCharType="end"/>
        </w:r>
      </w:hyperlink>
    </w:p>
    <w:p w14:paraId="1C8C998F" w14:textId="3FAE1649" w:rsidR="008A5068" w:rsidRDefault="0008188F">
      <w:pPr>
        <w:pStyle w:val="TableofFigures"/>
        <w:tabs>
          <w:tab w:val="right" w:leader="dot" w:pos="8198"/>
        </w:tabs>
        <w:rPr>
          <w:rFonts w:asciiTheme="minorHAnsi" w:eastAsiaTheme="minorEastAsia" w:hAnsiTheme="minorHAnsi"/>
          <w:noProof/>
          <w:sz w:val="22"/>
          <w:lang w:val="en-US"/>
        </w:rPr>
      </w:pPr>
      <w:hyperlink w:anchor="_Toc45837587" w:history="1">
        <w:r w:rsidR="008A5068" w:rsidRPr="00501903">
          <w:rPr>
            <w:rStyle w:val="Hyperlink"/>
            <w:rFonts w:cs="Times New Roman"/>
            <w:noProof/>
            <w:lang w:val="en-US"/>
          </w:rPr>
          <w:t>Figure 16 – Optibond Pellets with uncoated Nanogard</w:t>
        </w:r>
        <w:r w:rsidR="008A5068">
          <w:rPr>
            <w:noProof/>
            <w:webHidden/>
          </w:rPr>
          <w:tab/>
        </w:r>
        <w:r w:rsidR="008A5068">
          <w:rPr>
            <w:noProof/>
            <w:webHidden/>
          </w:rPr>
          <w:fldChar w:fldCharType="begin"/>
        </w:r>
        <w:r w:rsidR="008A5068">
          <w:rPr>
            <w:noProof/>
            <w:webHidden/>
          </w:rPr>
          <w:instrText xml:space="preserve"> PAGEREF _Toc45837587 \h </w:instrText>
        </w:r>
        <w:r w:rsidR="008A5068">
          <w:rPr>
            <w:noProof/>
            <w:webHidden/>
          </w:rPr>
        </w:r>
        <w:r w:rsidR="008A5068">
          <w:rPr>
            <w:noProof/>
            <w:webHidden/>
          </w:rPr>
          <w:fldChar w:fldCharType="separate"/>
        </w:r>
        <w:r>
          <w:rPr>
            <w:noProof/>
            <w:webHidden/>
          </w:rPr>
          <w:t>51</w:t>
        </w:r>
        <w:r w:rsidR="008A5068">
          <w:rPr>
            <w:noProof/>
            <w:webHidden/>
          </w:rPr>
          <w:fldChar w:fldCharType="end"/>
        </w:r>
      </w:hyperlink>
    </w:p>
    <w:p w14:paraId="58EBBFDD" w14:textId="6AED3FFD" w:rsidR="008A5068" w:rsidRDefault="0008188F">
      <w:pPr>
        <w:pStyle w:val="TableofFigures"/>
        <w:tabs>
          <w:tab w:val="right" w:leader="dot" w:pos="8198"/>
        </w:tabs>
        <w:rPr>
          <w:rFonts w:asciiTheme="minorHAnsi" w:eastAsiaTheme="minorEastAsia" w:hAnsiTheme="minorHAnsi"/>
          <w:noProof/>
          <w:sz w:val="22"/>
          <w:lang w:val="en-US"/>
        </w:rPr>
      </w:pPr>
      <w:hyperlink w:anchor="_Toc45837588" w:history="1">
        <w:r w:rsidR="008A5068" w:rsidRPr="00501903">
          <w:rPr>
            <w:rStyle w:val="Hyperlink"/>
            <w:rFonts w:cs="Times New Roman"/>
            <w:noProof/>
            <w:lang w:val="en-US"/>
          </w:rPr>
          <w:t>Figure 17 – Contact angle from computer software</w:t>
        </w:r>
        <w:r w:rsidR="008A5068">
          <w:rPr>
            <w:noProof/>
            <w:webHidden/>
          </w:rPr>
          <w:tab/>
        </w:r>
        <w:r w:rsidR="008A5068">
          <w:rPr>
            <w:noProof/>
            <w:webHidden/>
          </w:rPr>
          <w:fldChar w:fldCharType="begin"/>
        </w:r>
        <w:r w:rsidR="008A5068">
          <w:rPr>
            <w:noProof/>
            <w:webHidden/>
          </w:rPr>
          <w:instrText xml:space="preserve"> PAGEREF _Toc45837588 \h </w:instrText>
        </w:r>
        <w:r w:rsidR="008A5068">
          <w:rPr>
            <w:noProof/>
            <w:webHidden/>
          </w:rPr>
        </w:r>
        <w:r w:rsidR="008A5068">
          <w:rPr>
            <w:noProof/>
            <w:webHidden/>
          </w:rPr>
          <w:fldChar w:fldCharType="separate"/>
        </w:r>
        <w:r>
          <w:rPr>
            <w:noProof/>
            <w:webHidden/>
          </w:rPr>
          <w:t>56</w:t>
        </w:r>
        <w:r w:rsidR="008A5068">
          <w:rPr>
            <w:noProof/>
            <w:webHidden/>
          </w:rPr>
          <w:fldChar w:fldCharType="end"/>
        </w:r>
      </w:hyperlink>
    </w:p>
    <w:p w14:paraId="672C74F9" w14:textId="24B18A57" w:rsidR="008A5068" w:rsidRDefault="0008188F">
      <w:pPr>
        <w:pStyle w:val="TableofFigures"/>
        <w:tabs>
          <w:tab w:val="right" w:leader="dot" w:pos="8198"/>
        </w:tabs>
        <w:rPr>
          <w:rFonts w:asciiTheme="minorHAnsi" w:eastAsiaTheme="minorEastAsia" w:hAnsiTheme="minorHAnsi"/>
          <w:noProof/>
          <w:sz w:val="22"/>
          <w:lang w:val="en-US"/>
        </w:rPr>
      </w:pPr>
      <w:hyperlink w:anchor="_Toc45837589" w:history="1">
        <w:r w:rsidR="008A5068" w:rsidRPr="00501903">
          <w:rPr>
            <w:rStyle w:val="Hyperlink"/>
            <w:noProof/>
            <w:lang w:val="en-US"/>
          </w:rPr>
          <w:t>Figure 18 – Contact angle vs frames</w:t>
        </w:r>
        <w:r w:rsidR="008A5068">
          <w:rPr>
            <w:noProof/>
            <w:webHidden/>
          </w:rPr>
          <w:tab/>
        </w:r>
        <w:r w:rsidR="008A5068">
          <w:rPr>
            <w:noProof/>
            <w:webHidden/>
          </w:rPr>
          <w:fldChar w:fldCharType="begin"/>
        </w:r>
        <w:r w:rsidR="008A5068">
          <w:rPr>
            <w:noProof/>
            <w:webHidden/>
          </w:rPr>
          <w:instrText xml:space="preserve"> PAGEREF _Toc45837589 \h </w:instrText>
        </w:r>
        <w:r w:rsidR="008A5068">
          <w:rPr>
            <w:noProof/>
            <w:webHidden/>
          </w:rPr>
        </w:r>
        <w:r w:rsidR="008A5068">
          <w:rPr>
            <w:noProof/>
            <w:webHidden/>
          </w:rPr>
          <w:fldChar w:fldCharType="separate"/>
        </w:r>
        <w:r>
          <w:rPr>
            <w:noProof/>
            <w:webHidden/>
          </w:rPr>
          <w:t>58</w:t>
        </w:r>
        <w:r w:rsidR="008A5068">
          <w:rPr>
            <w:noProof/>
            <w:webHidden/>
          </w:rPr>
          <w:fldChar w:fldCharType="end"/>
        </w:r>
      </w:hyperlink>
    </w:p>
    <w:p w14:paraId="2F905FAE" w14:textId="2142B1D3" w:rsidR="008A5068" w:rsidRDefault="0008188F">
      <w:pPr>
        <w:pStyle w:val="TableofFigures"/>
        <w:tabs>
          <w:tab w:val="right" w:leader="dot" w:pos="8198"/>
        </w:tabs>
        <w:rPr>
          <w:rFonts w:asciiTheme="minorHAnsi" w:eastAsiaTheme="minorEastAsia" w:hAnsiTheme="minorHAnsi"/>
          <w:noProof/>
          <w:sz w:val="22"/>
          <w:lang w:val="en-US"/>
        </w:rPr>
      </w:pPr>
      <w:hyperlink w:anchor="_Toc45837590" w:history="1">
        <w:r w:rsidR="008A5068" w:rsidRPr="00501903">
          <w:rPr>
            <w:rStyle w:val="Hyperlink"/>
            <w:noProof/>
            <w:lang w:val="en-US"/>
          </w:rPr>
          <w:t>Figure 19 – Bacteria count vs. time</w:t>
        </w:r>
        <w:r w:rsidR="008A5068">
          <w:rPr>
            <w:noProof/>
            <w:webHidden/>
          </w:rPr>
          <w:tab/>
        </w:r>
        <w:r w:rsidR="008A5068">
          <w:rPr>
            <w:noProof/>
            <w:webHidden/>
          </w:rPr>
          <w:fldChar w:fldCharType="begin"/>
        </w:r>
        <w:r w:rsidR="008A5068">
          <w:rPr>
            <w:noProof/>
            <w:webHidden/>
          </w:rPr>
          <w:instrText xml:space="preserve"> PAGEREF _Toc45837590 \h </w:instrText>
        </w:r>
        <w:r w:rsidR="008A5068">
          <w:rPr>
            <w:noProof/>
            <w:webHidden/>
          </w:rPr>
        </w:r>
        <w:r w:rsidR="008A5068">
          <w:rPr>
            <w:noProof/>
            <w:webHidden/>
          </w:rPr>
          <w:fldChar w:fldCharType="separate"/>
        </w:r>
        <w:r>
          <w:rPr>
            <w:noProof/>
            <w:webHidden/>
          </w:rPr>
          <w:t>60</w:t>
        </w:r>
        <w:r w:rsidR="008A5068">
          <w:rPr>
            <w:noProof/>
            <w:webHidden/>
          </w:rPr>
          <w:fldChar w:fldCharType="end"/>
        </w:r>
      </w:hyperlink>
    </w:p>
    <w:p w14:paraId="50B36D47" w14:textId="797B0E79" w:rsidR="008A5068" w:rsidRDefault="0008188F">
      <w:pPr>
        <w:pStyle w:val="TableofFigures"/>
        <w:tabs>
          <w:tab w:val="right" w:leader="dot" w:pos="8198"/>
        </w:tabs>
        <w:rPr>
          <w:rFonts w:asciiTheme="minorHAnsi" w:eastAsiaTheme="minorEastAsia" w:hAnsiTheme="minorHAnsi"/>
          <w:noProof/>
          <w:sz w:val="22"/>
          <w:lang w:val="en-US"/>
        </w:rPr>
      </w:pPr>
      <w:hyperlink w:anchor="_Toc45837591" w:history="1">
        <w:r w:rsidR="008A5068" w:rsidRPr="00501903">
          <w:rPr>
            <w:rStyle w:val="Hyperlink"/>
            <w:noProof/>
            <w:lang w:val="en-US"/>
          </w:rPr>
          <w:t>Figure 20 – MBC plates</w:t>
        </w:r>
        <w:r w:rsidR="008A5068">
          <w:rPr>
            <w:noProof/>
            <w:webHidden/>
          </w:rPr>
          <w:tab/>
        </w:r>
        <w:r w:rsidR="008A5068">
          <w:rPr>
            <w:noProof/>
            <w:webHidden/>
          </w:rPr>
          <w:fldChar w:fldCharType="begin"/>
        </w:r>
        <w:r w:rsidR="008A5068">
          <w:rPr>
            <w:noProof/>
            <w:webHidden/>
          </w:rPr>
          <w:instrText xml:space="preserve"> PAGEREF _Toc45837591 \h </w:instrText>
        </w:r>
        <w:r w:rsidR="008A5068">
          <w:rPr>
            <w:noProof/>
            <w:webHidden/>
          </w:rPr>
        </w:r>
        <w:r w:rsidR="008A5068">
          <w:rPr>
            <w:noProof/>
            <w:webHidden/>
          </w:rPr>
          <w:fldChar w:fldCharType="separate"/>
        </w:r>
        <w:r>
          <w:rPr>
            <w:noProof/>
            <w:webHidden/>
          </w:rPr>
          <w:t>64</w:t>
        </w:r>
        <w:r w:rsidR="008A5068">
          <w:rPr>
            <w:noProof/>
            <w:webHidden/>
          </w:rPr>
          <w:fldChar w:fldCharType="end"/>
        </w:r>
      </w:hyperlink>
    </w:p>
    <w:p w14:paraId="07C89FCE" w14:textId="0E74192F" w:rsidR="004E63A5" w:rsidRPr="00BF3F46" w:rsidRDefault="00821CF6" w:rsidP="00BD5675">
      <w:pPr>
        <w:spacing w:line="240" w:lineRule="auto"/>
        <w:rPr>
          <w:rFonts w:eastAsiaTheme="majorEastAsia" w:cs="Times New Roman"/>
          <w:b/>
          <w:bCs/>
          <w:color w:val="365F91" w:themeColor="accent1" w:themeShade="BF"/>
          <w:szCs w:val="24"/>
          <w:lang w:val="en-US"/>
        </w:rPr>
      </w:pPr>
      <w:r w:rsidRPr="00BF3F46">
        <w:rPr>
          <w:rFonts w:cs="Times New Roman"/>
          <w:szCs w:val="24"/>
          <w:lang w:val="en-US"/>
        </w:rPr>
        <w:fldChar w:fldCharType="end"/>
      </w:r>
      <w:r w:rsidR="004E63A5" w:rsidRPr="00BF3F46">
        <w:rPr>
          <w:rFonts w:cs="Times New Roman"/>
          <w:szCs w:val="24"/>
          <w:lang w:val="en-US"/>
        </w:rPr>
        <w:br w:type="page"/>
      </w:r>
    </w:p>
    <w:p w14:paraId="36A7620D" w14:textId="77777777" w:rsidR="005B24D3" w:rsidRPr="00241A81" w:rsidRDefault="006B6026" w:rsidP="005A3858">
      <w:pPr>
        <w:pStyle w:val="Heading1"/>
        <w:spacing w:line="480" w:lineRule="auto"/>
        <w:rPr>
          <w:rFonts w:cs="Times New Roman"/>
          <w:szCs w:val="24"/>
          <w:lang w:val="en-US"/>
        </w:rPr>
      </w:pPr>
      <w:bookmarkStart w:id="1" w:name="_Toc45837530"/>
      <w:r w:rsidRPr="00241A81">
        <w:rPr>
          <w:rFonts w:cs="Times New Roman"/>
          <w:szCs w:val="24"/>
          <w:lang w:val="en-US"/>
        </w:rPr>
        <w:t>Abstract</w:t>
      </w:r>
      <w:bookmarkEnd w:id="1"/>
    </w:p>
    <w:p w14:paraId="0F48E2CE" w14:textId="1FD7CADE" w:rsidR="00053856" w:rsidRDefault="00DD11BE" w:rsidP="00DE6219">
      <w:pPr>
        <w:spacing w:line="480" w:lineRule="auto"/>
        <w:ind w:firstLine="706"/>
        <w:jc w:val="both"/>
        <w:rPr>
          <w:rFonts w:cs="Times New Roman"/>
          <w:szCs w:val="24"/>
          <w:lang w:val="en-US"/>
        </w:rPr>
      </w:pPr>
      <w:r>
        <w:rPr>
          <w:rFonts w:cs="Times New Roman"/>
          <w:szCs w:val="24"/>
          <w:lang w:val="en-US"/>
        </w:rPr>
        <w:t xml:space="preserve">Despite all efforts carious lesions continues to be a significant problem in dentistry. Secondary caries is a biofilm-originated disease that typically occurs at the tooth-adhesive resin interface. According to previous studies, secondary caries is the most common cause of failure of polymer-based bonded restorations. </w:t>
      </w:r>
      <w:r w:rsidR="00DE6219" w:rsidRPr="00241A81">
        <w:rPr>
          <w:rFonts w:cs="Times New Roman"/>
          <w:szCs w:val="24"/>
          <w:lang w:val="en-US"/>
        </w:rPr>
        <w:t xml:space="preserve">To </w:t>
      </w:r>
      <w:r w:rsidR="002E7DD5">
        <w:rPr>
          <w:rFonts w:cs="Times New Roman"/>
          <w:szCs w:val="24"/>
          <w:lang w:val="en-US"/>
        </w:rPr>
        <w:t>help reduce the</w:t>
      </w:r>
      <w:r w:rsidR="00DE6219" w:rsidRPr="00241A81">
        <w:rPr>
          <w:rFonts w:cs="Times New Roman"/>
          <w:szCs w:val="24"/>
          <w:lang w:val="en-US"/>
        </w:rPr>
        <w:t xml:space="preserve"> formation of secondary caries, the biofilm forming between the tooth</w:t>
      </w:r>
      <w:r>
        <w:rPr>
          <w:rFonts w:cs="Times New Roman"/>
          <w:szCs w:val="24"/>
          <w:lang w:val="en-US"/>
        </w:rPr>
        <w:t xml:space="preserve"> structure (enamel and dentin)</w:t>
      </w:r>
      <w:r w:rsidR="00DE6219" w:rsidRPr="00241A81">
        <w:rPr>
          <w:rFonts w:cs="Times New Roman"/>
          <w:szCs w:val="24"/>
          <w:lang w:val="en-US"/>
        </w:rPr>
        <w:t xml:space="preserve"> and </w:t>
      </w:r>
      <w:r>
        <w:rPr>
          <w:rFonts w:cs="Times New Roman"/>
          <w:szCs w:val="24"/>
          <w:lang w:val="en-US"/>
        </w:rPr>
        <w:t>the adhesive resin</w:t>
      </w:r>
      <w:r w:rsidRPr="00241A81">
        <w:rPr>
          <w:rFonts w:cs="Times New Roman"/>
          <w:szCs w:val="24"/>
          <w:lang w:val="en-US"/>
        </w:rPr>
        <w:t xml:space="preserve"> </w:t>
      </w:r>
      <w:r w:rsidR="00DE6219" w:rsidRPr="00241A81">
        <w:rPr>
          <w:rFonts w:cs="Times New Roman"/>
          <w:szCs w:val="24"/>
          <w:lang w:val="en-US"/>
        </w:rPr>
        <w:t xml:space="preserve">needs to be </w:t>
      </w:r>
      <w:r w:rsidR="000956C6">
        <w:rPr>
          <w:rFonts w:cs="Times New Roman"/>
          <w:szCs w:val="24"/>
          <w:lang w:val="en-US"/>
        </w:rPr>
        <w:t>prevented</w:t>
      </w:r>
      <w:r w:rsidR="00DE6219" w:rsidRPr="00241A81">
        <w:rPr>
          <w:rFonts w:cs="Times New Roman"/>
          <w:szCs w:val="24"/>
          <w:lang w:val="en-US"/>
        </w:rPr>
        <w:t xml:space="preserve">. Some studies have shown the ability of </w:t>
      </w:r>
      <w:r w:rsidR="00B01517" w:rsidRPr="00241A81">
        <w:rPr>
          <w:rFonts w:cs="Times New Roman"/>
          <w:szCs w:val="24"/>
          <w:lang w:val="en-US"/>
        </w:rPr>
        <w:t>metal oxides</w:t>
      </w:r>
      <w:r w:rsidR="00DE6219" w:rsidRPr="00241A81">
        <w:rPr>
          <w:rFonts w:cs="Times New Roman"/>
          <w:szCs w:val="24"/>
          <w:lang w:val="en-US"/>
        </w:rPr>
        <w:t xml:space="preserve"> to have antimicrobial properties.</w:t>
      </w:r>
      <w:r w:rsidR="000956C6">
        <w:rPr>
          <w:rFonts w:cs="Times New Roman"/>
          <w:szCs w:val="24"/>
          <w:lang w:val="en-US"/>
        </w:rPr>
        <w:t xml:space="preserve"> A</w:t>
      </w:r>
      <w:r w:rsidR="000956C6" w:rsidRPr="00241A81">
        <w:rPr>
          <w:rFonts w:cs="Times New Roman"/>
          <w:szCs w:val="24"/>
          <w:lang w:val="en-US"/>
        </w:rPr>
        <w:t>mine oxides</w:t>
      </w:r>
      <w:r w:rsidR="000956C6">
        <w:rPr>
          <w:rFonts w:cs="Times New Roman"/>
          <w:szCs w:val="24"/>
          <w:lang w:val="en-US"/>
        </w:rPr>
        <w:t xml:space="preserve"> have also s</w:t>
      </w:r>
      <w:r w:rsidR="00DE6219" w:rsidRPr="00241A81">
        <w:rPr>
          <w:rFonts w:cs="Times New Roman"/>
          <w:szCs w:val="24"/>
          <w:lang w:val="en-US"/>
        </w:rPr>
        <w:t xml:space="preserve">hown antibacterial characteristics. </w:t>
      </w:r>
      <w:r>
        <w:rPr>
          <w:rFonts w:cs="Times New Roman"/>
          <w:szCs w:val="24"/>
          <w:lang w:val="en-US"/>
        </w:rPr>
        <w:t>Based on this context, t</w:t>
      </w:r>
      <w:r w:rsidRPr="00241A81">
        <w:rPr>
          <w:rFonts w:cs="Times New Roman"/>
          <w:szCs w:val="24"/>
          <w:lang w:val="en-US"/>
        </w:rPr>
        <w:t xml:space="preserve">he </w:t>
      </w:r>
      <w:r w:rsidR="00DE6219" w:rsidRPr="00241A81">
        <w:rPr>
          <w:rFonts w:cs="Times New Roman"/>
          <w:szCs w:val="24"/>
          <w:lang w:val="en-US"/>
        </w:rPr>
        <w:t>effectiveness of zinc oxide</w:t>
      </w:r>
      <w:r>
        <w:rPr>
          <w:rFonts w:cs="Times New Roman"/>
          <w:szCs w:val="24"/>
          <w:lang w:val="en-US"/>
        </w:rPr>
        <w:t xml:space="preserve"> nanoparticles</w:t>
      </w:r>
      <w:r w:rsidR="00DE6219" w:rsidRPr="00241A81">
        <w:rPr>
          <w:rFonts w:cs="Times New Roman"/>
          <w:szCs w:val="24"/>
          <w:lang w:val="en-US"/>
        </w:rPr>
        <w:t xml:space="preserve"> and amine oxides in</w:t>
      </w:r>
      <w:r>
        <w:rPr>
          <w:rFonts w:cs="Times New Roman"/>
          <w:szCs w:val="24"/>
          <w:lang w:val="en-US"/>
        </w:rPr>
        <w:t xml:space="preserve"> dental</w:t>
      </w:r>
      <w:r w:rsidR="00DE6219" w:rsidRPr="00241A81">
        <w:rPr>
          <w:rFonts w:cs="Times New Roman"/>
          <w:szCs w:val="24"/>
          <w:lang w:val="en-US"/>
        </w:rPr>
        <w:t xml:space="preserve"> adhesive</w:t>
      </w:r>
      <w:r>
        <w:rPr>
          <w:rFonts w:cs="Times New Roman"/>
          <w:szCs w:val="24"/>
          <w:lang w:val="en-US"/>
        </w:rPr>
        <w:t xml:space="preserve"> resin</w:t>
      </w:r>
      <w:r w:rsidR="00DE6219" w:rsidRPr="00241A81">
        <w:rPr>
          <w:rFonts w:cs="Times New Roman"/>
          <w:szCs w:val="24"/>
          <w:lang w:val="en-US"/>
        </w:rPr>
        <w:t xml:space="preserve">s </w:t>
      </w:r>
      <w:r>
        <w:rPr>
          <w:rFonts w:cs="Times New Roman"/>
          <w:szCs w:val="24"/>
          <w:lang w:val="en-US"/>
        </w:rPr>
        <w:t xml:space="preserve">as non-leaching long-term antibacterial agents </w:t>
      </w:r>
      <w:r w:rsidR="00DE6219" w:rsidRPr="00241A81">
        <w:rPr>
          <w:rFonts w:cs="Times New Roman"/>
          <w:szCs w:val="24"/>
          <w:lang w:val="en-US"/>
        </w:rPr>
        <w:t xml:space="preserve">to prevent biofilm formation </w:t>
      </w:r>
      <w:r w:rsidR="000956C6">
        <w:rPr>
          <w:rFonts w:cs="Times New Roman"/>
          <w:szCs w:val="24"/>
          <w:lang w:val="en-US"/>
        </w:rPr>
        <w:t>is examined in this study</w:t>
      </w:r>
      <w:r w:rsidR="00DE6219" w:rsidRPr="00241A81">
        <w:rPr>
          <w:rFonts w:cs="Times New Roman"/>
          <w:szCs w:val="24"/>
          <w:lang w:val="en-US"/>
        </w:rPr>
        <w:t xml:space="preserve">. </w:t>
      </w:r>
    </w:p>
    <w:p w14:paraId="07F42A6E" w14:textId="50BC8345" w:rsidR="0091769B" w:rsidRDefault="000956C6" w:rsidP="0091769B">
      <w:pPr>
        <w:spacing w:line="480" w:lineRule="auto"/>
        <w:ind w:firstLine="706"/>
        <w:jc w:val="both"/>
        <w:rPr>
          <w:rFonts w:cs="Times New Roman"/>
          <w:szCs w:val="24"/>
          <w:lang w:val="en-US"/>
        </w:rPr>
      </w:pPr>
      <w:r>
        <w:rPr>
          <w:rFonts w:cs="Times New Roman"/>
          <w:szCs w:val="24"/>
          <w:lang w:val="en-US"/>
        </w:rPr>
        <w:t>When</w:t>
      </w:r>
      <w:r w:rsidR="00DD11BE">
        <w:rPr>
          <w:rFonts w:cs="Times New Roman"/>
          <w:szCs w:val="24"/>
          <w:lang w:val="en-US"/>
        </w:rPr>
        <w:t xml:space="preserve"> altering the composition of commercially available dental adhesive resins either by</w:t>
      </w:r>
      <w:r>
        <w:rPr>
          <w:rFonts w:cs="Times New Roman"/>
          <w:szCs w:val="24"/>
          <w:lang w:val="en-US"/>
        </w:rPr>
        <w:t xml:space="preserve"> incorporating</w:t>
      </w:r>
      <w:r w:rsidR="00DD11BE">
        <w:rPr>
          <w:rFonts w:cs="Times New Roman"/>
          <w:szCs w:val="24"/>
          <w:lang w:val="en-US"/>
        </w:rPr>
        <w:t xml:space="preserve"> antibacterial agents (e.g., chlorhexidine, antibiotics, fluoride)</w:t>
      </w:r>
      <w:r>
        <w:rPr>
          <w:rFonts w:cs="Times New Roman"/>
          <w:szCs w:val="24"/>
          <w:lang w:val="en-US"/>
        </w:rPr>
        <w:t xml:space="preserve"> </w:t>
      </w:r>
      <w:r w:rsidR="00DD11BE">
        <w:rPr>
          <w:rFonts w:cs="Times New Roman"/>
          <w:szCs w:val="24"/>
          <w:lang w:val="en-US"/>
        </w:rPr>
        <w:t xml:space="preserve">or </w:t>
      </w:r>
      <w:r>
        <w:rPr>
          <w:rFonts w:cs="Times New Roman"/>
          <w:szCs w:val="24"/>
          <w:lang w:val="en-US"/>
        </w:rPr>
        <w:t>nanoparticles, it is important to</w:t>
      </w:r>
      <w:r w:rsidR="00DD11BE">
        <w:rPr>
          <w:rFonts w:cs="Times New Roman"/>
          <w:szCs w:val="24"/>
          <w:lang w:val="en-US"/>
        </w:rPr>
        <w:t xml:space="preserve"> extensively characterize the mechanical, chemical</w:t>
      </w:r>
      <w:r w:rsidR="00AB0AB7">
        <w:rPr>
          <w:rFonts w:cs="Times New Roman"/>
          <w:szCs w:val="24"/>
          <w:lang w:val="en-US"/>
        </w:rPr>
        <w:t>,</w:t>
      </w:r>
      <w:r w:rsidR="00DD11BE">
        <w:rPr>
          <w:rFonts w:cs="Times New Roman"/>
          <w:szCs w:val="24"/>
          <w:lang w:val="en-US"/>
        </w:rPr>
        <w:t xml:space="preserve"> and biological properties of experimental materials to determine their potential clinical utilization. In addition, it is important to fully characterize the nanoparticles of choice to tailor the interfacial chemistry between nanoparticles and the </w:t>
      </w:r>
      <w:r w:rsidR="0091769B">
        <w:rPr>
          <w:rFonts w:cs="Times New Roman"/>
          <w:szCs w:val="24"/>
          <w:lang w:val="en-US"/>
        </w:rPr>
        <w:t>polymer and functionalize the nanoparticles to achieve optimum biological performance.</w:t>
      </w:r>
      <w:r w:rsidR="00D3722C">
        <w:rPr>
          <w:rFonts w:cs="Times New Roman"/>
          <w:szCs w:val="24"/>
          <w:lang w:val="en-US"/>
        </w:rPr>
        <w:t xml:space="preserve"> In th</w:t>
      </w:r>
      <w:r w:rsidR="0091769B">
        <w:rPr>
          <w:rFonts w:cs="Times New Roman"/>
          <w:szCs w:val="24"/>
          <w:lang w:val="en-US"/>
        </w:rPr>
        <w:t>e present</w:t>
      </w:r>
      <w:r w:rsidR="00D3722C">
        <w:rPr>
          <w:rFonts w:cs="Times New Roman"/>
          <w:szCs w:val="24"/>
          <w:lang w:val="en-US"/>
        </w:rPr>
        <w:t xml:space="preserve"> study</w:t>
      </w:r>
      <w:r w:rsidR="00AB0AB7">
        <w:rPr>
          <w:rFonts w:cs="Times New Roman"/>
          <w:szCs w:val="24"/>
          <w:lang w:val="en-US"/>
        </w:rPr>
        <w:t>,</w:t>
      </w:r>
      <w:r w:rsidR="0091769B">
        <w:rPr>
          <w:rFonts w:cs="Times New Roman"/>
          <w:szCs w:val="24"/>
          <w:lang w:val="en-US"/>
        </w:rPr>
        <w:t xml:space="preserve"> the wettability of different solvents (distilled water, diiodomethane, bromonaphthalene, formamide, ethanol and ethylene glycol) on zinc oxide nanoparticles (</w:t>
      </w:r>
      <w:r w:rsidR="00AB0AB7">
        <w:rPr>
          <w:rFonts w:cs="Times New Roman"/>
          <w:szCs w:val="24"/>
          <w:lang w:val="en-US"/>
        </w:rPr>
        <w:t>Nanogard</w:t>
      </w:r>
      <w:r w:rsidR="00AB0AB7">
        <w:rPr>
          <w:rFonts w:cs="Times New Roman"/>
          <w:szCs w:val="24"/>
          <w:vertAlign w:val="superscript"/>
          <w:lang w:val="en-US"/>
        </w:rPr>
        <w:t>TM</w:t>
      </w:r>
      <w:r w:rsidR="00AB0AB7">
        <w:rPr>
          <w:rFonts w:cs="Times New Roman"/>
          <w:szCs w:val="24"/>
          <w:lang w:val="en-US"/>
        </w:rPr>
        <w:t xml:space="preserve"> and NanoTek</w:t>
      </w:r>
      <w:r w:rsidR="00AB0AB7">
        <w:rPr>
          <w:rFonts w:cs="Times New Roman"/>
          <w:szCs w:val="24"/>
          <w:vertAlign w:val="superscript"/>
          <w:lang w:val="en-US"/>
        </w:rPr>
        <w:t>TM</w:t>
      </w:r>
      <w:r w:rsidR="0091769B">
        <w:rPr>
          <w:rFonts w:cs="Times New Roman"/>
          <w:szCs w:val="24"/>
          <w:lang w:val="en-US"/>
        </w:rPr>
        <w:t>) and that of water on experimental dental adhesive resins was investigated to determine the surface properties of nanoparticles and experimental dental adhesive resins. Results reported in the present study may help to determine the effects of the incorporation of nanoparticles and surfactants on the ability of OptiBond Solo Plus (Kerr Corp. USA), which is a fifth generation dental adhesive resins, to efficiently establish the hybrid layer between the tooth structure and the composite resin.</w:t>
      </w:r>
      <w:r w:rsidR="00D3722C">
        <w:rPr>
          <w:rFonts w:cs="Times New Roman"/>
          <w:szCs w:val="24"/>
          <w:lang w:val="en-US"/>
        </w:rPr>
        <w:t xml:space="preserve"> </w:t>
      </w:r>
    </w:p>
    <w:p w14:paraId="7CC96D69" w14:textId="22697B1E" w:rsidR="003F5DCA" w:rsidRPr="00903D53" w:rsidRDefault="00053856" w:rsidP="0091769B">
      <w:pPr>
        <w:spacing w:line="480" w:lineRule="auto"/>
        <w:ind w:firstLine="706"/>
        <w:jc w:val="both"/>
        <w:rPr>
          <w:rFonts w:cs="Times New Roman"/>
          <w:szCs w:val="24"/>
          <w:lang w:val="en-US"/>
        </w:rPr>
      </w:pPr>
      <w:r>
        <w:rPr>
          <w:rFonts w:cs="Times New Roman"/>
          <w:szCs w:val="24"/>
          <w:lang w:val="en-US"/>
        </w:rPr>
        <w:t xml:space="preserve">In Chapter 2, </w:t>
      </w:r>
      <w:r w:rsidR="00897CE0">
        <w:rPr>
          <w:rFonts w:cs="Times New Roman"/>
          <w:szCs w:val="24"/>
          <w:lang w:val="en-US"/>
        </w:rPr>
        <w:t>a modified drop penetration method</w:t>
      </w:r>
      <w:r w:rsidR="007D4596">
        <w:rPr>
          <w:rFonts w:cs="Times New Roman"/>
          <w:szCs w:val="24"/>
          <w:lang w:val="en-US"/>
        </w:rPr>
        <w:t xml:space="preserve"> is described and</w:t>
      </w:r>
      <w:r w:rsidR="00897CE0">
        <w:rPr>
          <w:rFonts w:cs="Times New Roman"/>
          <w:szCs w:val="24"/>
          <w:lang w:val="en-US"/>
        </w:rPr>
        <w:t xml:space="preserve"> was employed to </w:t>
      </w:r>
      <w:r w:rsidR="0091769B">
        <w:rPr>
          <w:rFonts w:cs="Times New Roman"/>
          <w:szCs w:val="24"/>
          <w:lang w:val="en-US"/>
        </w:rPr>
        <w:t>reveal some surface properties of nanoparticles investigated, such as wettability and</w:t>
      </w:r>
      <w:r w:rsidR="007D4596">
        <w:rPr>
          <w:rFonts w:cs="Times New Roman"/>
          <w:szCs w:val="24"/>
          <w:lang w:val="en-US"/>
        </w:rPr>
        <w:t xml:space="preserve"> </w:t>
      </w:r>
      <w:r w:rsidR="00C61406" w:rsidRPr="00053856">
        <w:rPr>
          <w:rFonts w:cs="Times New Roman"/>
          <w:color w:val="000000" w:themeColor="text1"/>
          <w:lang w:val="en-US"/>
        </w:rPr>
        <w:t>surface energy components</w:t>
      </w:r>
      <w:r w:rsidR="00C61406" w:rsidDel="007D4596">
        <w:rPr>
          <w:rFonts w:cs="Times New Roman"/>
          <w:szCs w:val="24"/>
          <w:lang w:val="en-US"/>
        </w:rPr>
        <w:t xml:space="preserve"> </w:t>
      </w:r>
      <w:r w:rsidR="00897CE0">
        <w:rPr>
          <w:rFonts w:cs="Times New Roman"/>
          <w:szCs w:val="24"/>
          <w:lang w:val="en-US"/>
        </w:rPr>
        <w:t xml:space="preserve">of nanoparticles before </w:t>
      </w:r>
      <w:r w:rsidR="007D4596">
        <w:rPr>
          <w:rFonts w:cs="Times New Roman"/>
          <w:szCs w:val="24"/>
          <w:lang w:val="en-US"/>
        </w:rPr>
        <w:t xml:space="preserve">their </w:t>
      </w:r>
      <w:r w:rsidR="00897CE0">
        <w:rPr>
          <w:rFonts w:cs="Times New Roman"/>
          <w:szCs w:val="24"/>
          <w:lang w:val="en-US"/>
        </w:rPr>
        <w:t xml:space="preserve">incorporation into </w:t>
      </w:r>
      <w:r w:rsidR="007D4596">
        <w:rPr>
          <w:rFonts w:cs="Times New Roman"/>
          <w:szCs w:val="24"/>
          <w:lang w:val="en-US"/>
        </w:rPr>
        <w:t>dental adhesive resin</w:t>
      </w:r>
      <w:r w:rsidR="00897CE0">
        <w:rPr>
          <w:rFonts w:cs="Times New Roman"/>
          <w:szCs w:val="24"/>
          <w:lang w:val="en-US"/>
        </w:rPr>
        <w:t>s.</w:t>
      </w:r>
      <w:r>
        <w:rPr>
          <w:rFonts w:cs="Times New Roman"/>
          <w:szCs w:val="24"/>
          <w:lang w:val="en-US"/>
        </w:rPr>
        <w:t xml:space="preserve"> </w:t>
      </w:r>
      <w:r>
        <w:rPr>
          <w:rFonts w:cs="Times New Roman"/>
          <w:color w:val="000000" w:themeColor="text1"/>
          <w:lang w:val="en-US"/>
        </w:rPr>
        <w:t>S</w:t>
      </w:r>
      <w:r w:rsidRPr="00053856">
        <w:rPr>
          <w:rFonts w:cs="Times New Roman"/>
          <w:color w:val="000000" w:themeColor="text1"/>
          <w:lang w:val="en-US"/>
        </w:rPr>
        <w:t xml:space="preserve">ix solvents (water, diiodomethane, bromonaphthalene, formamide, ethanol and ethylene glycol) were examined for </w:t>
      </w:r>
      <w:r w:rsidR="00AB0AB7">
        <w:rPr>
          <w:rFonts w:cs="Times New Roman"/>
          <w:color w:val="000000" w:themeColor="text1"/>
          <w:lang w:val="en-US"/>
        </w:rPr>
        <w:t>two</w:t>
      </w:r>
      <w:r w:rsidR="00AB0AB7" w:rsidRPr="00053856">
        <w:rPr>
          <w:rFonts w:cs="Times New Roman"/>
          <w:color w:val="000000" w:themeColor="text1"/>
          <w:lang w:val="en-US"/>
        </w:rPr>
        <w:t xml:space="preserve"> </w:t>
      </w:r>
      <w:r w:rsidRPr="00053856">
        <w:rPr>
          <w:rFonts w:cs="Times New Roman"/>
          <w:color w:val="000000" w:themeColor="text1"/>
          <w:lang w:val="en-US"/>
        </w:rPr>
        <w:t>nanoparticle substrates, zinc oxide and titanium dioxide</w:t>
      </w:r>
      <w:r w:rsidR="00AB0AB7">
        <w:rPr>
          <w:rFonts w:cs="Times New Roman"/>
          <w:color w:val="000000" w:themeColor="text1"/>
          <w:lang w:val="en-US"/>
        </w:rPr>
        <w:t xml:space="preserve">, </w:t>
      </w:r>
      <w:r w:rsidRPr="00053856">
        <w:rPr>
          <w:rFonts w:cs="Times New Roman"/>
          <w:color w:val="000000" w:themeColor="text1"/>
          <w:lang w:val="en-US"/>
        </w:rPr>
        <w:t xml:space="preserve">with the goal of assessing the suitability of a modified drop penetration method (DPM) for orders of magnitude smaller particles. </w:t>
      </w:r>
      <w:r w:rsidR="007D4596">
        <w:rPr>
          <w:rFonts w:cs="Times New Roman"/>
          <w:color w:val="000000" w:themeColor="text1"/>
          <w:lang w:val="en-US"/>
        </w:rPr>
        <w:t>Specimens composed solely of n</w:t>
      </w:r>
      <w:r w:rsidR="007D4596" w:rsidRPr="00053856">
        <w:rPr>
          <w:rFonts w:cs="Times New Roman"/>
          <w:color w:val="000000" w:themeColor="text1"/>
          <w:lang w:val="en-US"/>
        </w:rPr>
        <w:t>anoparticles</w:t>
      </w:r>
      <w:r w:rsidR="007D4596">
        <w:rPr>
          <w:rFonts w:cs="Times New Roman"/>
          <w:color w:val="000000" w:themeColor="text1"/>
          <w:lang w:val="en-US"/>
        </w:rPr>
        <w:t xml:space="preserve"> (either zinc oxide or titanium dioxide)</w:t>
      </w:r>
      <w:r w:rsidR="007D4596" w:rsidRPr="00053856">
        <w:rPr>
          <w:rFonts w:cs="Times New Roman"/>
          <w:color w:val="000000" w:themeColor="text1"/>
          <w:lang w:val="en-US"/>
        </w:rPr>
        <w:t xml:space="preserve"> </w:t>
      </w:r>
      <w:r w:rsidRPr="00053856">
        <w:rPr>
          <w:rFonts w:cs="Times New Roman"/>
          <w:color w:val="000000" w:themeColor="text1"/>
          <w:lang w:val="en-US"/>
        </w:rPr>
        <w:t>were compressed into flat discs</w:t>
      </w:r>
      <w:r w:rsidR="007D4596">
        <w:rPr>
          <w:rFonts w:cs="Times New Roman"/>
          <w:color w:val="000000" w:themeColor="text1"/>
          <w:lang w:val="en-US"/>
        </w:rPr>
        <w:t xml:space="preserve"> using a manual press. Solvents were then individually dispensed, using a computer-controlled syringe,</w:t>
      </w:r>
      <w:r w:rsidR="007D4596" w:rsidRPr="00053856">
        <w:rPr>
          <w:rFonts w:cs="Times New Roman"/>
          <w:color w:val="000000" w:themeColor="text1"/>
          <w:lang w:val="en-US"/>
        </w:rPr>
        <w:t xml:space="preserve"> </w:t>
      </w:r>
      <w:r w:rsidRPr="00053856">
        <w:rPr>
          <w:rFonts w:cs="Times New Roman"/>
          <w:color w:val="000000" w:themeColor="text1"/>
          <w:lang w:val="en-US"/>
        </w:rPr>
        <w:t>on</w:t>
      </w:r>
      <w:r w:rsidR="007D4596">
        <w:rPr>
          <w:rFonts w:cs="Times New Roman"/>
          <w:color w:val="000000" w:themeColor="text1"/>
          <w:lang w:val="en-US"/>
        </w:rPr>
        <w:t>to</w:t>
      </w:r>
      <w:r w:rsidRPr="00053856">
        <w:rPr>
          <w:rFonts w:cs="Times New Roman"/>
          <w:color w:val="000000" w:themeColor="text1"/>
          <w:lang w:val="en-US"/>
        </w:rPr>
        <w:t xml:space="preserve"> the surface</w:t>
      </w:r>
      <w:r w:rsidR="007D4596">
        <w:rPr>
          <w:rFonts w:cs="Times New Roman"/>
          <w:color w:val="000000" w:themeColor="text1"/>
          <w:lang w:val="en-US"/>
        </w:rPr>
        <w:t>s of individual specimens (3 drops/specimen)</w:t>
      </w:r>
      <w:r w:rsidRPr="00053856">
        <w:rPr>
          <w:rFonts w:cs="Times New Roman"/>
          <w:color w:val="000000" w:themeColor="text1"/>
          <w:lang w:val="en-US"/>
        </w:rPr>
        <w:t xml:space="preserve"> while</w:t>
      </w:r>
      <w:r w:rsidR="007D4596">
        <w:rPr>
          <w:rFonts w:cs="Times New Roman"/>
          <w:color w:val="000000" w:themeColor="text1"/>
          <w:lang w:val="en-US"/>
        </w:rPr>
        <w:t xml:space="preserve"> the shape and volume of droplets were recorded using digital images (at 25 frames/second) for 1 minute in the experimental chamber of a contact goniometer (at room temperature).</w:t>
      </w:r>
      <w:r w:rsidRPr="00053856">
        <w:rPr>
          <w:rFonts w:cs="Times New Roman"/>
          <w:color w:val="000000" w:themeColor="text1"/>
          <w:lang w:val="en-US"/>
        </w:rPr>
        <w:t xml:space="preserve"> Contact angles were</w:t>
      </w:r>
      <w:r w:rsidR="007D4596">
        <w:rPr>
          <w:rFonts w:cs="Times New Roman"/>
          <w:color w:val="000000" w:themeColor="text1"/>
          <w:lang w:val="en-US"/>
        </w:rPr>
        <w:t xml:space="preserve"> then calculated</w:t>
      </w:r>
      <w:r w:rsidR="00C61406">
        <w:rPr>
          <w:rFonts w:cs="Times New Roman"/>
          <w:color w:val="000000" w:themeColor="text1"/>
          <w:lang w:val="en-US"/>
        </w:rPr>
        <w:t xml:space="preserve"> (ranges between </w:t>
      </w:r>
      <w:r w:rsidR="00C61406" w:rsidRPr="00053856">
        <w:rPr>
          <w:rFonts w:cs="Times New Roman"/>
          <w:color w:val="000000" w:themeColor="text1"/>
          <w:lang w:val="en-US"/>
        </w:rPr>
        <w:t>20–80°</w:t>
      </w:r>
      <w:r w:rsidR="00C61406">
        <w:rPr>
          <w:rFonts w:cs="Times New Roman"/>
          <w:color w:val="000000" w:themeColor="text1"/>
          <w:lang w:val="en-US"/>
        </w:rPr>
        <w:t xml:space="preserve">) </w:t>
      </w:r>
      <w:r w:rsidR="007D4596">
        <w:rPr>
          <w:rFonts w:cs="Times New Roman"/>
          <w:color w:val="000000" w:themeColor="text1"/>
          <w:lang w:val="en-US"/>
        </w:rPr>
        <w:t>and were demonstrated to be</w:t>
      </w:r>
      <w:r w:rsidRPr="00053856">
        <w:rPr>
          <w:rFonts w:cs="Times New Roman"/>
          <w:color w:val="000000" w:themeColor="text1"/>
          <w:lang w:val="en-US"/>
        </w:rPr>
        <w:t xml:space="preserve"> in reasonable agreement with</w:t>
      </w:r>
      <w:r w:rsidR="00C61406">
        <w:rPr>
          <w:rFonts w:cs="Times New Roman"/>
          <w:color w:val="000000" w:themeColor="text1"/>
          <w:lang w:val="en-US"/>
        </w:rPr>
        <w:t xml:space="preserve"> previous reports in the</w:t>
      </w:r>
      <w:r w:rsidRPr="00053856">
        <w:rPr>
          <w:rFonts w:cs="Times New Roman"/>
          <w:color w:val="000000" w:themeColor="text1"/>
          <w:lang w:val="en-US"/>
        </w:rPr>
        <w:t xml:space="preserve"> literature, but failed to provide acceptable results for surface energy components.</w:t>
      </w:r>
      <w:r w:rsidR="00C61406">
        <w:rPr>
          <w:rFonts w:cs="Times New Roman"/>
          <w:color w:val="000000" w:themeColor="text1"/>
          <w:lang w:val="en-US"/>
        </w:rPr>
        <w:t xml:space="preserve"> Because of that,</w:t>
      </w:r>
      <w:r w:rsidRPr="00053856">
        <w:rPr>
          <w:rFonts w:cs="Times New Roman"/>
          <w:color w:val="000000" w:themeColor="text1"/>
          <w:lang w:val="en-US"/>
        </w:rPr>
        <w:t xml:space="preserve"> </w:t>
      </w:r>
      <w:r w:rsidR="00C61406">
        <w:rPr>
          <w:rFonts w:cs="Times New Roman"/>
          <w:color w:val="000000" w:themeColor="text1"/>
          <w:lang w:val="en-US"/>
        </w:rPr>
        <w:t>i</w:t>
      </w:r>
      <w:r w:rsidR="00C61406" w:rsidRPr="00053856">
        <w:rPr>
          <w:rFonts w:cs="Times New Roman"/>
          <w:color w:val="000000" w:themeColor="text1"/>
          <w:lang w:val="en-US"/>
        </w:rPr>
        <w:t xml:space="preserve">t </w:t>
      </w:r>
      <w:r w:rsidRPr="00053856">
        <w:rPr>
          <w:rFonts w:cs="Times New Roman"/>
          <w:color w:val="000000" w:themeColor="text1"/>
          <w:lang w:val="en-US"/>
        </w:rPr>
        <w:t xml:space="preserve">was necessary to eliminate certain solvents and substrates </w:t>
      </w:r>
      <w:r w:rsidR="00C61406">
        <w:rPr>
          <w:rFonts w:cs="Times New Roman"/>
          <w:color w:val="000000" w:themeColor="text1"/>
          <w:lang w:val="en-US"/>
        </w:rPr>
        <w:t xml:space="preserve">that did </w:t>
      </w:r>
      <w:r w:rsidRPr="00053856">
        <w:rPr>
          <w:rFonts w:cs="Times New Roman"/>
          <w:color w:val="000000" w:themeColor="text1"/>
          <w:lang w:val="en-US"/>
        </w:rPr>
        <w:t xml:space="preserve">not meet the </w:t>
      </w:r>
      <w:r w:rsidR="00C61406">
        <w:rPr>
          <w:rFonts w:cs="Times New Roman"/>
          <w:color w:val="000000" w:themeColor="text1"/>
          <w:lang w:val="en-US"/>
        </w:rPr>
        <w:t>inclusion</w:t>
      </w:r>
      <w:r w:rsidR="00C61406" w:rsidRPr="00053856">
        <w:rPr>
          <w:rFonts w:cs="Times New Roman"/>
          <w:color w:val="000000" w:themeColor="text1"/>
          <w:lang w:val="en-US"/>
        </w:rPr>
        <w:t xml:space="preserve"> </w:t>
      </w:r>
      <w:r w:rsidRPr="00053856">
        <w:rPr>
          <w:rFonts w:cs="Times New Roman"/>
          <w:color w:val="000000" w:themeColor="text1"/>
          <w:lang w:val="en-US"/>
        </w:rPr>
        <w:t>criteria</w:t>
      </w:r>
      <w:r w:rsidR="00AB0AB7">
        <w:rPr>
          <w:rFonts w:cs="Times New Roman"/>
          <w:color w:val="000000" w:themeColor="text1"/>
          <w:lang w:val="en-US"/>
        </w:rPr>
        <w:t xml:space="preserve"> described in Chapter 2</w:t>
      </w:r>
      <w:r>
        <w:rPr>
          <w:rFonts w:cs="Times New Roman"/>
          <w:color w:val="000000" w:themeColor="text1"/>
          <w:lang w:val="en-US"/>
        </w:rPr>
        <w:t>.</w:t>
      </w:r>
      <w:r w:rsidR="003F5DCA" w:rsidRPr="005D7651">
        <w:rPr>
          <w:rFonts w:cs="Times New Roman"/>
          <w:color w:val="000000" w:themeColor="text1"/>
          <w:lang w:val="en-US"/>
        </w:rPr>
        <w:t xml:space="preserve"> </w:t>
      </w:r>
    </w:p>
    <w:p w14:paraId="3B666053" w14:textId="39469868" w:rsidR="00E8530D" w:rsidRPr="00E8530D" w:rsidRDefault="00897CE0" w:rsidP="005A3858">
      <w:pPr>
        <w:spacing w:line="480" w:lineRule="auto"/>
        <w:ind w:firstLine="706"/>
        <w:jc w:val="both"/>
        <w:rPr>
          <w:lang w:val="en-US"/>
        </w:rPr>
      </w:pPr>
      <w:r>
        <w:rPr>
          <w:rFonts w:cs="Times New Roman"/>
          <w:szCs w:val="24"/>
          <w:lang w:val="en-US"/>
        </w:rPr>
        <w:t xml:space="preserve">In Chapter 3, the nanoparticles and </w:t>
      </w:r>
      <w:r w:rsidR="0030209A">
        <w:rPr>
          <w:rFonts w:cs="Times New Roman"/>
          <w:szCs w:val="24"/>
          <w:lang w:val="en-US"/>
        </w:rPr>
        <w:t>amine oxide surfactant</w:t>
      </w:r>
      <w:r>
        <w:rPr>
          <w:rFonts w:cs="Times New Roman"/>
          <w:szCs w:val="24"/>
          <w:lang w:val="en-US"/>
        </w:rPr>
        <w:t xml:space="preserve"> </w:t>
      </w:r>
      <w:r w:rsidR="00C61406">
        <w:rPr>
          <w:rFonts w:cs="Times New Roman"/>
          <w:szCs w:val="24"/>
          <w:lang w:val="en-US"/>
        </w:rPr>
        <w:t xml:space="preserve">were </w:t>
      </w:r>
      <w:r>
        <w:rPr>
          <w:rFonts w:cs="Times New Roman"/>
          <w:szCs w:val="24"/>
          <w:lang w:val="en-US"/>
        </w:rPr>
        <w:t xml:space="preserve">incorporated into </w:t>
      </w:r>
      <w:r w:rsidR="00C61406">
        <w:rPr>
          <w:rFonts w:cs="Times New Roman"/>
          <w:szCs w:val="24"/>
          <w:lang w:val="en-US"/>
        </w:rPr>
        <w:t xml:space="preserve">commercially available </w:t>
      </w:r>
      <w:r>
        <w:rPr>
          <w:rFonts w:cs="Times New Roman"/>
          <w:szCs w:val="24"/>
          <w:lang w:val="en-US"/>
        </w:rPr>
        <w:t>dental adhesive</w:t>
      </w:r>
      <w:r w:rsidR="00C61406">
        <w:rPr>
          <w:rFonts w:cs="Times New Roman"/>
          <w:szCs w:val="24"/>
          <w:lang w:val="en-US"/>
        </w:rPr>
        <w:t xml:space="preserve"> resins</w:t>
      </w:r>
      <w:r>
        <w:rPr>
          <w:rFonts w:cs="Times New Roman"/>
          <w:szCs w:val="24"/>
          <w:lang w:val="en-US"/>
        </w:rPr>
        <w:t xml:space="preserve">. </w:t>
      </w:r>
      <w:r w:rsidR="00C61406">
        <w:rPr>
          <w:rFonts w:cs="Times New Roman"/>
          <w:szCs w:val="24"/>
          <w:lang w:val="en-US"/>
        </w:rPr>
        <w:t>A</w:t>
      </w:r>
      <w:r w:rsidRPr="00241A81">
        <w:rPr>
          <w:rFonts w:cs="Times New Roman"/>
          <w:szCs w:val="24"/>
          <w:lang w:val="en-US"/>
        </w:rPr>
        <w:t xml:space="preserve"> series of tests</w:t>
      </w:r>
      <w:r w:rsidR="00C61406">
        <w:rPr>
          <w:rFonts w:cs="Times New Roman"/>
          <w:szCs w:val="24"/>
          <w:lang w:val="en-US"/>
        </w:rPr>
        <w:t xml:space="preserve"> are described</w:t>
      </w:r>
      <w:r w:rsidRPr="00241A81">
        <w:rPr>
          <w:rFonts w:cs="Times New Roman"/>
          <w:szCs w:val="24"/>
          <w:lang w:val="en-US"/>
        </w:rPr>
        <w:t xml:space="preserve"> to </w:t>
      </w:r>
      <w:r w:rsidR="00C61406">
        <w:rPr>
          <w:rFonts w:cs="Times New Roman"/>
          <w:szCs w:val="24"/>
          <w:lang w:val="en-US"/>
        </w:rPr>
        <w:t>determine</w:t>
      </w:r>
      <w:r w:rsidR="00C61406" w:rsidRPr="00241A81">
        <w:rPr>
          <w:rFonts w:cs="Times New Roman"/>
          <w:szCs w:val="24"/>
          <w:lang w:val="en-US"/>
        </w:rPr>
        <w:t xml:space="preserve"> </w:t>
      </w:r>
      <w:r w:rsidR="00C61406">
        <w:rPr>
          <w:rFonts w:cs="Times New Roman"/>
          <w:szCs w:val="24"/>
          <w:lang w:val="en-US"/>
        </w:rPr>
        <w:t xml:space="preserve">water </w:t>
      </w:r>
      <w:r w:rsidR="007C4DD0">
        <w:rPr>
          <w:rFonts w:cs="Times New Roman"/>
          <w:szCs w:val="24"/>
          <w:lang w:val="en-US"/>
        </w:rPr>
        <w:t>wettability</w:t>
      </w:r>
      <w:r w:rsidR="00C61406">
        <w:rPr>
          <w:rFonts w:cs="Times New Roman"/>
          <w:szCs w:val="24"/>
          <w:lang w:val="en-US"/>
        </w:rPr>
        <w:t xml:space="preserve"> properties of experimental materials</w:t>
      </w:r>
      <w:r w:rsidR="007C4DD0">
        <w:rPr>
          <w:rFonts w:cs="Times New Roman"/>
          <w:szCs w:val="24"/>
          <w:lang w:val="en-US"/>
        </w:rPr>
        <w:t xml:space="preserve"> a</w:t>
      </w:r>
      <w:r w:rsidRPr="00241A81">
        <w:rPr>
          <w:rFonts w:cs="Times New Roman"/>
          <w:szCs w:val="24"/>
          <w:lang w:val="en-US"/>
        </w:rPr>
        <w:t xml:space="preserve">nd </w:t>
      </w:r>
      <w:r w:rsidR="00C61406">
        <w:rPr>
          <w:rFonts w:cs="Times New Roman"/>
          <w:szCs w:val="24"/>
          <w:lang w:val="en-US"/>
        </w:rPr>
        <w:t xml:space="preserve">their antibacterial properties against </w:t>
      </w:r>
      <w:r w:rsidR="00C61406">
        <w:rPr>
          <w:rFonts w:cs="Times New Roman"/>
          <w:i/>
          <w:szCs w:val="24"/>
          <w:lang w:val="en-US"/>
        </w:rPr>
        <w:t>Streptococcus mutans</w:t>
      </w:r>
      <w:r w:rsidR="00C61406">
        <w:rPr>
          <w:rFonts w:cs="Times New Roman"/>
          <w:szCs w:val="24"/>
          <w:lang w:val="en-US"/>
        </w:rPr>
        <w:t>, which is a well-known caries-producing microorganisms and has been used as a model organism in numerous studies</w:t>
      </w:r>
      <w:r w:rsidRPr="00241A81">
        <w:rPr>
          <w:rFonts w:cs="Times New Roman"/>
          <w:szCs w:val="24"/>
          <w:lang w:val="en-US"/>
        </w:rPr>
        <w:t xml:space="preserve">. </w:t>
      </w:r>
      <w:r w:rsidR="00344130">
        <w:rPr>
          <w:rFonts w:cs="Times New Roman"/>
          <w:szCs w:val="24"/>
          <w:lang w:val="en-US"/>
        </w:rPr>
        <w:t>The contact angle</w:t>
      </w:r>
      <w:r w:rsidR="00C61406">
        <w:rPr>
          <w:rFonts w:cs="Times New Roman"/>
          <w:szCs w:val="24"/>
          <w:lang w:val="en-US"/>
        </w:rPr>
        <w:t>s (initial and final)</w:t>
      </w:r>
      <w:r w:rsidR="00344130">
        <w:rPr>
          <w:rFonts w:cs="Times New Roman"/>
          <w:szCs w:val="24"/>
          <w:lang w:val="en-US"/>
        </w:rPr>
        <w:t xml:space="preserve"> of adhesives with and without</w:t>
      </w:r>
      <w:r w:rsidR="00C61406">
        <w:rPr>
          <w:rFonts w:cs="Times New Roman"/>
          <w:szCs w:val="24"/>
          <w:lang w:val="en-US"/>
        </w:rPr>
        <w:t xml:space="preserve"> the incorporation of</w:t>
      </w:r>
      <w:r w:rsidR="00344130">
        <w:rPr>
          <w:rFonts w:cs="Times New Roman"/>
          <w:szCs w:val="24"/>
          <w:lang w:val="en-US"/>
        </w:rPr>
        <w:t xml:space="preserve"> nanoparticle</w:t>
      </w:r>
      <w:r w:rsidR="00C61406">
        <w:rPr>
          <w:rFonts w:cs="Times New Roman"/>
          <w:szCs w:val="24"/>
          <w:lang w:val="en-US"/>
        </w:rPr>
        <w:t>s</w:t>
      </w:r>
      <w:r w:rsidR="00344130">
        <w:rPr>
          <w:rFonts w:cs="Times New Roman"/>
          <w:szCs w:val="24"/>
          <w:lang w:val="en-US"/>
        </w:rPr>
        <w:t xml:space="preserve"> and surfactant</w:t>
      </w:r>
      <w:r w:rsidR="00C61406">
        <w:rPr>
          <w:rFonts w:cs="Times New Roman"/>
          <w:szCs w:val="24"/>
          <w:lang w:val="en-US"/>
        </w:rPr>
        <w:t>s</w:t>
      </w:r>
      <w:r w:rsidR="00344130">
        <w:rPr>
          <w:rFonts w:cs="Times New Roman"/>
          <w:szCs w:val="24"/>
          <w:lang w:val="en-US"/>
        </w:rPr>
        <w:t xml:space="preserve"> was</w:t>
      </w:r>
      <w:r w:rsidR="00C61406">
        <w:rPr>
          <w:rFonts w:cs="Times New Roman"/>
          <w:szCs w:val="24"/>
          <w:lang w:val="en-US"/>
        </w:rPr>
        <w:t xml:space="preserve"> determined using the Laplace-Young equation</w:t>
      </w:r>
      <w:r w:rsidR="00344130">
        <w:rPr>
          <w:rFonts w:cs="Times New Roman"/>
          <w:szCs w:val="24"/>
          <w:lang w:val="en-US"/>
        </w:rPr>
        <w:t xml:space="preserve"> to </w:t>
      </w:r>
      <w:r w:rsidR="00C61406">
        <w:rPr>
          <w:rFonts w:cs="Times New Roman"/>
          <w:szCs w:val="24"/>
          <w:lang w:val="en-US"/>
        </w:rPr>
        <w:t xml:space="preserve">reveal the effects of nanoparticles and surfactants on </w:t>
      </w:r>
      <w:r w:rsidR="00344130">
        <w:rPr>
          <w:rFonts w:cs="Times New Roman"/>
          <w:szCs w:val="24"/>
          <w:lang w:val="en-US"/>
        </w:rPr>
        <w:t>the</w:t>
      </w:r>
      <w:r w:rsidR="00C61406">
        <w:rPr>
          <w:rFonts w:cs="Times New Roman"/>
          <w:szCs w:val="24"/>
          <w:lang w:val="en-US"/>
        </w:rPr>
        <w:t>ir</w:t>
      </w:r>
      <w:r w:rsidR="00344130">
        <w:rPr>
          <w:rFonts w:cs="Times New Roman"/>
          <w:szCs w:val="24"/>
          <w:lang w:val="en-US"/>
        </w:rPr>
        <w:t xml:space="preserve"> surface properties.</w:t>
      </w:r>
      <w:r w:rsidR="0076406A">
        <w:rPr>
          <w:rFonts w:cs="Times New Roman"/>
          <w:szCs w:val="24"/>
          <w:lang w:val="en-US"/>
        </w:rPr>
        <w:t xml:space="preserve"> </w:t>
      </w:r>
      <w:r w:rsidR="00C61406">
        <w:rPr>
          <w:rFonts w:cs="Times New Roman"/>
          <w:szCs w:val="24"/>
          <w:lang w:val="en-US"/>
        </w:rPr>
        <w:t>Results reported are anticipated to positively influence subsequent studies in the field of dental biomaterials and materials sciences because it provides fundamental information regarding how surface properties may impact th</w:t>
      </w:r>
      <w:r w:rsidR="00AB0AB7">
        <w:rPr>
          <w:rFonts w:cs="Times New Roman"/>
          <w:szCs w:val="24"/>
          <w:lang w:val="en-US"/>
        </w:rPr>
        <w:t>e</w:t>
      </w:r>
      <w:r w:rsidR="00C61406">
        <w:rPr>
          <w:rFonts w:cs="Times New Roman"/>
          <w:szCs w:val="24"/>
          <w:lang w:val="en-US"/>
        </w:rPr>
        <w:t xml:space="preserve"> service lives of materials investigated.</w:t>
      </w:r>
      <w:r w:rsidR="00344130">
        <w:rPr>
          <w:rFonts w:cs="Times New Roman"/>
          <w:szCs w:val="24"/>
          <w:lang w:val="en-US"/>
        </w:rPr>
        <w:t xml:space="preserve"> </w:t>
      </w:r>
      <w:r>
        <w:rPr>
          <w:rFonts w:cs="Times New Roman"/>
          <w:szCs w:val="24"/>
          <w:lang w:val="en-US"/>
        </w:rPr>
        <w:t>The</w:t>
      </w:r>
      <w:r w:rsidR="00C61406">
        <w:rPr>
          <w:rFonts w:cs="Times New Roman"/>
          <w:szCs w:val="24"/>
          <w:lang w:val="en-US"/>
        </w:rPr>
        <w:t xml:space="preserve"> incorporation of nanoparticles and surfactants were shown to alter the typical</w:t>
      </w:r>
      <w:r>
        <w:rPr>
          <w:rFonts w:cs="Times New Roman"/>
          <w:szCs w:val="24"/>
          <w:lang w:val="en-US"/>
        </w:rPr>
        <w:t xml:space="preserve"> wettability</w:t>
      </w:r>
      <w:r w:rsidR="00C61406">
        <w:rPr>
          <w:rFonts w:cs="Times New Roman"/>
          <w:szCs w:val="24"/>
          <w:lang w:val="en-US"/>
        </w:rPr>
        <w:t xml:space="preserve"> behavior of commercially available dental adhesive resins</w:t>
      </w:r>
      <w:r>
        <w:rPr>
          <w:rFonts w:cs="Times New Roman"/>
          <w:szCs w:val="24"/>
          <w:lang w:val="en-US"/>
        </w:rPr>
        <w:t xml:space="preserve"> </w:t>
      </w:r>
      <w:r w:rsidR="0043449A">
        <w:rPr>
          <w:rFonts w:cs="Times New Roman"/>
          <w:szCs w:val="24"/>
          <w:lang w:val="en-US"/>
        </w:rPr>
        <w:t xml:space="preserve">and experimental materials were observed to display higher contact angles (both initial and final) and therefore were considered more </w:t>
      </w:r>
      <w:r>
        <w:rPr>
          <w:rFonts w:cs="Times New Roman"/>
          <w:szCs w:val="24"/>
          <w:lang w:val="en-US"/>
        </w:rPr>
        <w:t>hydrophobic</w:t>
      </w:r>
      <w:r w:rsidR="0043449A">
        <w:rPr>
          <w:rFonts w:cs="Times New Roman"/>
          <w:szCs w:val="24"/>
          <w:lang w:val="en-US"/>
        </w:rPr>
        <w:t>. A similar behavior could not be observed when the commercial adhesive resins was altered by the incorporation of investigated surfactants. In this instance, experimental materials were observed to display lower contact angles when compared to their commercially available counter parts and, therefore, were considered more hydrophilic.</w:t>
      </w:r>
      <w:r>
        <w:rPr>
          <w:rFonts w:cs="Times New Roman"/>
          <w:szCs w:val="24"/>
          <w:lang w:val="en-US"/>
        </w:rPr>
        <w:t xml:space="preserve"> A</w:t>
      </w:r>
      <w:r w:rsidR="0043449A">
        <w:rPr>
          <w:rFonts w:cs="Times New Roman"/>
          <w:szCs w:val="24"/>
          <w:lang w:val="en-US"/>
        </w:rPr>
        <w:t xml:space="preserve"> minimally invasive and real-time</w:t>
      </w:r>
      <w:r>
        <w:rPr>
          <w:rFonts w:cs="Times New Roman"/>
          <w:szCs w:val="24"/>
          <w:lang w:val="en-US"/>
        </w:rPr>
        <w:t xml:space="preserve"> bioluminescence assay was employed to determine the</w:t>
      </w:r>
      <w:r w:rsidR="0043449A">
        <w:rPr>
          <w:rFonts w:cs="Times New Roman"/>
          <w:szCs w:val="24"/>
          <w:lang w:val="en-US"/>
        </w:rPr>
        <w:t xml:space="preserve"> metabolic status of </w:t>
      </w:r>
      <w:r w:rsidR="0043449A">
        <w:rPr>
          <w:rFonts w:cs="Times New Roman"/>
          <w:i/>
          <w:szCs w:val="24"/>
          <w:lang w:val="en-US"/>
        </w:rPr>
        <w:t>S. mutans</w:t>
      </w:r>
      <w:r w:rsidR="0043449A">
        <w:rPr>
          <w:rFonts w:cs="Times New Roman"/>
          <w:szCs w:val="24"/>
          <w:lang w:val="en-US"/>
        </w:rPr>
        <w:t xml:space="preserve"> to determine the</w:t>
      </w:r>
      <w:r>
        <w:rPr>
          <w:rFonts w:cs="Times New Roman"/>
          <w:szCs w:val="24"/>
          <w:lang w:val="en-US"/>
        </w:rPr>
        <w:t xml:space="preserve"> </w:t>
      </w:r>
      <w:r w:rsidR="0043449A">
        <w:rPr>
          <w:rFonts w:cs="Times New Roman"/>
          <w:szCs w:val="24"/>
          <w:lang w:val="en-US"/>
        </w:rPr>
        <w:t xml:space="preserve">antibacterial </w:t>
      </w:r>
      <w:r>
        <w:rPr>
          <w:rFonts w:cs="Times New Roman"/>
          <w:szCs w:val="24"/>
          <w:lang w:val="en-US"/>
        </w:rPr>
        <w:t xml:space="preserve">properties of </w:t>
      </w:r>
      <w:r w:rsidR="0043449A">
        <w:rPr>
          <w:rFonts w:cs="Times New Roman"/>
          <w:szCs w:val="24"/>
          <w:lang w:val="en-US"/>
        </w:rPr>
        <w:t>experimental materials following previously published protocols</w:t>
      </w:r>
      <w:r>
        <w:rPr>
          <w:rFonts w:cs="Times New Roman"/>
          <w:szCs w:val="24"/>
          <w:lang w:val="en-US"/>
        </w:rPr>
        <w:t xml:space="preserve">. </w:t>
      </w:r>
      <w:r w:rsidR="0043449A">
        <w:rPr>
          <w:rFonts w:cs="Times New Roman"/>
          <w:szCs w:val="24"/>
          <w:lang w:val="en-US"/>
        </w:rPr>
        <w:t xml:space="preserve">Results attained demonstrated that experimental materials investigated (containing either nanoparticles or surfactants) did not decrease the metabolic activity of </w:t>
      </w:r>
      <w:r w:rsidR="0043449A">
        <w:rPr>
          <w:rFonts w:cs="Times New Roman"/>
          <w:i/>
          <w:szCs w:val="24"/>
          <w:lang w:val="en-US"/>
        </w:rPr>
        <w:t xml:space="preserve">S. </w:t>
      </w:r>
      <w:r w:rsidR="0043449A" w:rsidRPr="00903D53">
        <w:rPr>
          <w:rFonts w:cs="Times New Roman"/>
          <w:i/>
          <w:iCs/>
          <w:szCs w:val="24"/>
          <w:lang w:val="en-US"/>
        </w:rPr>
        <w:t>mutans</w:t>
      </w:r>
      <w:r w:rsidR="0043449A">
        <w:rPr>
          <w:rFonts w:cs="Times New Roman"/>
          <w:szCs w:val="24"/>
          <w:lang w:val="en-US"/>
        </w:rPr>
        <w:t xml:space="preserve"> when compared to the metabolic status observed in biofilms grown against commercially available dental adhesive resins. Because of that, it was decided to conduct a</w:t>
      </w:r>
      <w:r w:rsidR="00BA4BF3">
        <w:rPr>
          <w:rFonts w:cs="Times New Roman"/>
          <w:szCs w:val="24"/>
          <w:lang w:val="en-US"/>
        </w:rPr>
        <w:t xml:space="preserve"> </w:t>
      </w:r>
      <w:r w:rsidR="00BA4BF3">
        <w:rPr>
          <w:lang w:val="en-US"/>
        </w:rPr>
        <w:t xml:space="preserve">minimum bactericidal </w:t>
      </w:r>
      <w:r w:rsidR="0043449A">
        <w:rPr>
          <w:lang w:val="en-US"/>
        </w:rPr>
        <w:t>concentration</w:t>
      </w:r>
      <w:r w:rsidR="0043449A">
        <w:rPr>
          <w:rFonts w:cs="Times New Roman"/>
          <w:szCs w:val="24"/>
          <w:lang w:val="en-US"/>
        </w:rPr>
        <w:t xml:space="preserve"> </w:t>
      </w:r>
      <w:r w:rsidR="0043449A">
        <w:rPr>
          <w:lang w:val="en-US"/>
        </w:rPr>
        <w:t>test</w:t>
      </w:r>
      <w:r w:rsidR="0043449A">
        <w:rPr>
          <w:rFonts w:cs="Times New Roman"/>
          <w:szCs w:val="24"/>
          <w:lang w:val="en-US"/>
        </w:rPr>
        <w:t xml:space="preserve"> </w:t>
      </w:r>
      <w:r w:rsidR="00BA4BF3">
        <w:rPr>
          <w:rFonts w:cs="Times New Roman"/>
          <w:szCs w:val="24"/>
          <w:lang w:val="en-US"/>
        </w:rPr>
        <w:t>(MBC)</w:t>
      </w:r>
      <w:r w:rsidR="0043449A">
        <w:rPr>
          <w:rFonts w:cs="Times New Roman"/>
          <w:szCs w:val="24"/>
          <w:lang w:val="en-US"/>
        </w:rPr>
        <w:t xml:space="preserve"> where nanoparticles investigated (either zinc oxide or titanium dioxide) were suspended directly in planktonic cultures of </w:t>
      </w:r>
      <w:r w:rsidR="0043449A">
        <w:rPr>
          <w:rFonts w:cs="Times New Roman"/>
          <w:i/>
          <w:szCs w:val="24"/>
          <w:lang w:val="en-US"/>
        </w:rPr>
        <w:t>S. mutans</w:t>
      </w:r>
      <w:r w:rsidR="0043449A">
        <w:rPr>
          <w:rFonts w:cs="Times New Roman"/>
          <w:szCs w:val="24"/>
          <w:lang w:val="en-US"/>
        </w:rPr>
        <w:t>. The objective of this experiment was</w:t>
      </w:r>
      <w:r w:rsidR="00843771">
        <w:rPr>
          <w:rFonts w:cs="Times New Roman"/>
          <w:szCs w:val="24"/>
          <w:lang w:val="en-US"/>
        </w:rPr>
        <w:t xml:space="preserve"> to</w:t>
      </w:r>
      <w:r w:rsidR="00E8530D">
        <w:rPr>
          <w:rFonts w:cs="Times New Roman"/>
          <w:szCs w:val="24"/>
          <w:lang w:val="en-US"/>
        </w:rPr>
        <w:t xml:space="preserve"> increase the exposure of microorganisms to nanoparticles investigated and</w:t>
      </w:r>
      <w:r w:rsidR="0043449A">
        <w:rPr>
          <w:rFonts w:cs="Times New Roman"/>
          <w:szCs w:val="24"/>
          <w:lang w:val="en-US"/>
        </w:rPr>
        <w:t xml:space="preserve"> to </w:t>
      </w:r>
      <w:r w:rsidR="00E8530D">
        <w:rPr>
          <w:rFonts w:cs="Times New Roman"/>
          <w:szCs w:val="24"/>
          <w:lang w:val="en-US"/>
        </w:rPr>
        <w:t xml:space="preserve">demonstrate any potential antibacterial effect from the nanoparticles against </w:t>
      </w:r>
      <w:r w:rsidR="00E8530D">
        <w:rPr>
          <w:rFonts w:cs="Times New Roman"/>
          <w:i/>
          <w:szCs w:val="24"/>
          <w:lang w:val="en-US"/>
        </w:rPr>
        <w:t>S. mutans</w:t>
      </w:r>
      <w:r w:rsidR="00E8530D">
        <w:rPr>
          <w:rFonts w:cs="Times New Roman"/>
          <w:szCs w:val="24"/>
          <w:lang w:val="en-US"/>
        </w:rPr>
        <w:t xml:space="preserve">. </w:t>
      </w:r>
      <w:r w:rsidR="00E8530D">
        <w:rPr>
          <w:lang w:val="en-US"/>
        </w:rPr>
        <w:t>After being exposed to nanoparticles, the viability of</w:t>
      </w:r>
      <w:r w:rsidR="00E8530D">
        <w:rPr>
          <w:i/>
          <w:lang w:val="en-US"/>
        </w:rPr>
        <w:t xml:space="preserve"> S. mutans</w:t>
      </w:r>
      <w:r w:rsidR="00E8530D">
        <w:rPr>
          <w:lang w:val="en-US"/>
        </w:rPr>
        <w:t xml:space="preserve"> was determined using the colony forming unit assay (CFU/mL) by plating the microorganisms into agar plates supplemented with yeast extract and spectinomycin. </w:t>
      </w:r>
      <w:r w:rsidR="00E8530D">
        <w:rPr>
          <w:rFonts w:cs="Times New Roman"/>
          <w:szCs w:val="24"/>
          <w:lang w:val="en-US"/>
        </w:rPr>
        <w:t xml:space="preserve">Results reported have indicated that </w:t>
      </w:r>
      <w:r w:rsidR="00E8530D">
        <w:rPr>
          <w:lang w:val="en-US"/>
        </w:rPr>
        <w:t xml:space="preserve">zinc oxide nanoparticles (either coated or uncoated) were not capable of inhibiting </w:t>
      </w:r>
      <w:r w:rsidR="00E8530D" w:rsidRPr="00576ED9">
        <w:rPr>
          <w:i/>
          <w:lang w:val="en-US"/>
        </w:rPr>
        <w:t>S. mutans</w:t>
      </w:r>
      <w:r w:rsidR="00E8530D">
        <w:rPr>
          <w:lang w:val="en-US"/>
        </w:rPr>
        <w:t xml:space="preserve"> in the conditions tested as denoted by agar plates displaying viable colonies in all dilutions (10</w:t>
      </w:r>
      <w:r w:rsidR="00E8530D">
        <w:rPr>
          <w:vertAlign w:val="superscript"/>
          <w:lang w:val="en-US"/>
        </w:rPr>
        <w:t>0</w:t>
      </w:r>
      <w:r w:rsidR="00843771">
        <w:rPr>
          <w:lang w:val="en-US"/>
        </w:rPr>
        <w:t xml:space="preserve"> to </w:t>
      </w:r>
      <w:r w:rsidR="00E8530D">
        <w:rPr>
          <w:lang w:val="en-US"/>
        </w:rPr>
        <w:t>10</w:t>
      </w:r>
      <w:r w:rsidR="00E8530D">
        <w:rPr>
          <w:vertAlign w:val="superscript"/>
          <w:lang w:val="en-US"/>
        </w:rPr>
        <w:t>-9</w:t>
      </w:r>
      <w:r w:rsidR="00E8530D">
        <w:rPr>
          <w:lang w:val="en-US"/>
        </w:rPr>
        <w:t xml:space="preserve">). An opposite behavior was observed when microorganisms were exposed to the surfactant. In this case, </w:t>
      </w:r>
      <w:r w:rsidR="00E8530D">
        <w:rPr>
          <w:i/>
          <w:lang w:val="en-US"/>
        </w:rPr>
        <w:t>S. mutans</w:t>
      </w:r>
      <w:r w:rsidR="00E8530D">
        <w:rPr>
          <w:lang w:val="en-US"/>
        </w:rPr>
        <w:t xml:space="preserve"> were shown to be inhibited in all dilutions investigated, thereby displaying a strong antibacterial effect. Taken together, results reported indicate that nanoparticles did not show any type of antibacterial behavior when in suspension or when immobilized in </w:t>
      </w:r>
      <w:r w:rsidR="007152DC">
        <w:rPr>
          <w:lang w:val="en-US"/>
        </w:rPr>
        <w:t>a commercially available dental adhesive resin.</w:t>
      </w:r>
      <w:r w:rsidR="00E8530D">
        <w:rPr>
          <w:lang w:val="en-US"/>
        </w:rPr>
        <w:t xml:space="preserve"> </w:t>
      </w:r>
    </w:p>
    <w:p w14:paraId="3AA4EA1A" w14:textId="77777777" w:rsidR="006B6026" w:rsidRPr="00241A81" w:rsidRDefault="006B6026" w:rsidP="00313959">
      <w:pPr>
        <w:spacing w:line="480" w:lineRule="auto"/>
        <w:jc w:val="both"/>
        <w:rPr>
          <w:rFonts w:cs="Times New Roman"/>
          <w:szCs w:val="24"/>
          <w:lang w:val="en-US"/>
        </w:rPr>
      </w:pPr>
    </w:p>
    <w:p w14:paraId="63B5A8A2" w14:textId="77777777" w:rsidR="00EF7718" w:rsidRDefault="00EF7718" w:rsidP="005A3858">
      <w:pPr>
        <w:pStyle w:val="Heading1"/>
        <w:spacing w:line="480" w:lineRule="auto"/>
        <w:rPr>
          <w:rFonts w:cs="Times New Roman"/>
          <w:szCs w:val="24"/>
          <w:lang w:val="en-US"/>
        </w:rPr>
        <w:sectPr w:rsidR="00EF7718" w:rsidSect="0044385A">
          <w:footerReference w:type="default" r:id="rId13"/>
          <w:pgSz w:w="12240" w:h="15840"/>
          <w:pgMar w:top="1728" w:right="1728" w:bottom="1728" w:left="2304" w:header="720" w:footer="720" w:gutter="0"/>
          <w:pgNumType w:fmt="lowerRoman" w:start="4"/>
          <w:cols w:space="720"/>
          <w:docGrid w:linePitch="360"/>
        </w:sectPr>
      </w:pPr>
    </w:p>
    <w:p w14:paraId="652BC559" w14:textId="0433F174" w:rsidR="00C95C1B" w:rsidRDefault="004E63A5" w:rsidP="00D37E27">
      <w:pPr>
        <w:pStyle w:val="Heading1"/>
        <w:spacing w:line="480" w:lineRule="auto"/>
        <w:rPr>
          <w:lang w:val="en-US"/>
        </w:rPr>
      </w:pPr>
      <w:bookmarkStart w:id="2" w:name="_Toc45837531"/>
      <w:r w:rsidRPr="00241A81">
        <w:rPr>
          <w:rFonts w:cs="Times New Roman"/>
          <w:szCs w:val="24"/>
          <w:lang w:val="en-US"/>
        </w:rPr>
        <w:t>Chapter 1</w:t>
      </w:r>
      <w:r w:rsidR="00004721">
        <w:rPr>
          <w:rFonts w:cs="Times New Roman"/>
          <w:szCs w:val="24"/>
          <w:lang w:val="en-US"/>
        </w:rPr>
        <w:t xml:space="preserve"> – </w:t>
      </w:r>
      <w:r w:rsidR="006B6026" w:rsidRPr="006622D9">
        <w:rPr>
          <w:lang w:val="en-US"/>
        </w:rPr>
        <w:t>Introduction</w:t>
      </w:r>
      <w:bookmarkEnd w:id="2"/>
    </w:p>
    <w:p w14:paraId="05393056" w14:textId="5A2E4216" w:rsidR="00606405" w:rsidRDefault="003728C7" w:rsidP="00606405">
      <w:pPr>
        <w:spacing w:after="0" w:line="480" w:lineRule="auto"/>
        <w:ind w:firstLine="708"/>
        <w:jc w:val="both"/>
        <w:rPr>
          <w:rFonts w:cs="Times New Roman"/>
          <w:szCs w:val="24"/>
          <w:lang w:val="en-US"/>
        </w:rPr>
      </w:pPr>
      <w:r>
        <w:rPr>
          <w:lang w:val="en-US"/>
        </w:rPr>
        <w:t xml:space="preserve">Oral </w:t>
      </w:r>
      <w:r w:rsidR="00BC1B05">
        <w:rPr>
          <w:lang w:val="en-US"/>
        </w:rPr>
        <w:t>hygiene</w:t>
      </w:r>
      <w:r>
        <w:rPr>
          <w:lang w:val="en-US"/>
        </w:rPr>
        <w:t xml:space="preserve"> i</w:t>
      </w:r>
      <w:r w:rsidR="008406A0">
        <w:rPr>
          <w:lang w:val="en-US"/>
        </w:rPr>
        <w:t>s an important aspect of everyday life. Brushing teeth with fluoride</w:t>
      </w:r>
      <w:r w:rsidR="007152DC">
        <w:rPr>
          <w:lang w:val="en-US"/>
        </w:rPr>
        <w:t>-containing</w:t>
      </w:r>
      <w:r w:rsidR="008406A0">
        <w:rPr>
          <w:lang w:val="en-US"/>
        </w:rPr>
        <w:t xml:space="preserve"> toothpaste</w:t>
      </w:r>
      <w:r w:rsidR="007152DC">
        <w:rPr>
          <w:lang w:val="en-US"/>
        </w:rPr>
        <w:t>s</w:t>
      </w:r>
      <w:r w:rsidR="008406A0">
        <w:rPr>
          <w:lang w:val="en-US"/>
        </w:rPr>
        <w:t xml:space="preserve"> and flossing </w:t>
      </w:r>
      <w:r w:rsidR="007152DC">
        <w:rPr>
          <w:lang w:val="en-US"/>
        </w:rPr>
        <w:t xml:space="preserve">has been demonstrated to diminish the incidence of biofilm-originated oral diseases such as dental caries, gingivitis and periodontitis. </w:t>
      </w:r>
      <w:r w:rsidR="008406A0" w:rsidRPr="00317496">
        <w:rPr>
          <w:rFonts w:cs="Times New Roman"/>
          <w:szCs w:val="24"/>
          <w:lang w:val="en-US"/>
        </w:rPr>
        <w:t>The use of fluoride in toothpaste and the addition of fluoride to water sources in the United States of America ha</w:t>
      </w:r>
      <w:r w:rsidR="007152DC">
        <w:rPr>
          <w:rFonts w:cs="Times New Roman"/>
          <w:szCs w:val="24"/>
          <w:lang w:val="en-US"/>
        </w:rPr>
        <w:t>ve</w:t>
      </w:r>
      <w:r w:rsidR="008406A0" w:rsidRPr="00317496">
        <w:rPr>
          <w:rFonts w:cs="Times New Roman"/>
          <w:szCs w:val="24"/>
          <w:lang w:val="en-US"/>
        </w:rPr>
        <w:t xml:space="preserve"> been</w:t>
      </w:r>
      <w:r w:rsidR="007152DC">
        <w:rPr>
          <w:rFonts w:cs="Times New Roman"/>
          <w:szCs w:val="24"/>
          <w:lang w:val="en-US"/>
        </w:rPr>
        <w:t xml:space="preserve"> described</w:t>
      </w:r>
      <w:r w:rsidR="008406A0" w:rsidRPr="00317496">
        <w:rPr>
          <w:rFonts w:cs="Times New Roman"/>
          <w:szCs w:val="24"/>
          <w:lang w:val="en-US"/>
        </w:rPr>
        <w:t xml:space="preserve"> </w:t>
      </w:r>
      <w:r w:rsidR="007152DC" w:rsidRPr="00317496">
        <w:rPr>
          <w:rFonts w:cs="Times New Roman"/>
          <w:szCs w:val="24"/>
          <w:lang w:val="en-US"/>
        </w:rPr>
        <w:t>a</w:t>
      </w:r>
      <w:r w:rsidR="007152DC">
        <w:rPr>
          <w:rFonts w:cs="Times New Roman"/>
          <w:szCs w:val="24"/>
          <w:lang w:val="en-US"/>
        </w:rPr>
        <w:t>s successful</w:t>
      </w:r>
      <w:r w:rsidR="007152DC" w:rsidRPr="00317496">
        <w:rPr>
          <w:rFonts w:cs="Times New Roman"/>
          <w:szCs w:val="24"/>
          <w:lang w:val="en-US"/>
        </w:rPr>
        <w:t xml:space="preserve"> </w:t>
      </w:r>
      <w:r w:rsidR="007152DC">
        <w:rPr>
          <w:rFonts w:cs="Times New Roman"/>
          <w:szCs w:val="24"/>
          <w:lang w:val="en-US"/>
        </w:rPr>
        <w:t>strategies</w:t>
      </w:r>
      <w:r w:rsidR="007152DC" w:rsidRPr="00317496">
        <w:rPr>
          <w:rFonts w:cs="Times New Roman"/>
          <w:szCs w:val="24"/>
          <w:lang w:val="en-US"/>
        </w:rPr>
        <w:t xml:space="preserve"> </w:t>
      </w:r>
      <w:r w:rsidR="008406A0" w:rsidRPr="00317496">
        <w:rPr>
          <w:rFonts w:cs="Times New Roman"/>
          <w:szCs w:val="24"/>
          <w:lang w:val="en-US"/>
        </w:rPr>
        <w:t xml:space="preserve">to </w:t>
      </w:r>
      <w:r w:rsidR="007152DC">
        <w:rPr>
          <w:rFonts w:cs="Times New Roman"/>
          <w:szCs w:val="24"/>
          <w:lang w:val="en-US"/>
        </w:rPr>
        <w:t>improve oral</w:t>
      </w:r>
      <w:r w:rsidR="007152DC" w:rsidRPr="00317496">
        <w:rPr>
          <w:rFonts w:cs="Times New Roman"/>
          <w:szCs w:val="24"/>
          <w:lang w:val="en-US"/>
        </w:rPr>
        <w:t xml:space="preserve"> </w:t>
      </w:r>
      <w:r w:rsidR="008406A0" w:rsidRPr="00317496">
        <w:rPr>
          <w:rFonts w:cs="Times New Roman"/>
          <w:szCs w:val="24"/>
          <w:lang w:val="en-US"/>
        </w:rPr>
        <w:t>health.</w:t>
      </w:r>
      <w:r w:rsidR="007152DC">
        <w:rPr>
          <w:rFonts w:cs="Times New Roman"/>
          <w:szCs w:val="24"/>
          <w:lang w:val="en-US"/>
        </w:rPr>
        <w:t xml:space="preserve"> Despite these efforts,</w:t>
      </w:r>
      <w:r w:rsidR="008406A0">
        <w:rPr>
          <w:lang w:val="en-US"/>
        </w:rPr>
        <w:t xml:space="preserve"> </w:t>
      </w:r>
      <w:r w:rsidR="007152DC">
        <w:rPr>
          <w:rFonts w:cs="Times New Roman"/>
          <w:szCs w:val="24"/>
          <w:lang w:val="en-US"/>
        </w:rPr>
        <w:t xml:space="preserve">dental </w:t>
      </w:r>
      <w:r w:rsidR="00BC1B05">
        <w:rPr>
          <w:rFonts w:cs="Times New Roman"/>
          <w:szCs w:val="24"/>
          <w:lang w:val="en-US"/>
        </w:rPr>
        <w:t>caries</w:t>
      </w:r>
      <w:r w:rsidR="007152DC">
        <w:rPr>
          <w:rFonts w:cs="Times New Roman"/>
          <w:szCs w:val="24"/>
          <w:lang w:val="en-US"/>
        </w:rPr>
        <w:t xml:space="preserve"> continue to plague children and adults and</w:t>
      </w:r>
      <w:r w:rsidR="00BC1B05">
        <w:rPr>
          <w:rFonts w:cs="Times New Roman"/>
          <w:szCs w:val="24"/>
          <w:lang w:val="en-US"/>
        </w:rPr>
        <w:t xml:space="preserve"> which is a</w:t>
      </w:r>
      <w:r w:rsidR="00FA1265" w:rsidRPr="29941BFC">
        <w:rPr>
          <w:rFonts w:cs="Times New Roman"/>
          <w:lang w:val="en-US"/>
        </w:rPr>
        <w:t xml:space="preserve"> </w:t>
      </w:r>
      <w:r w:rsidR="007152DC">
        <w:rPr>
          <w:rFonts w:cs="Times New Roman"/>
          <w:lang w:val="en-US"/>
        </w:rPr>
        <w:t>significant</w:t>
      </w:r>
      <w:r w:rsidR="007152DC" w:rsidRPr="29941BFC">
        <w:rPr>
          <w:rFonts w:cs="Times New Roman"/>
          <w:lang w:val="en-US"/>
        </w:rPr>
        <w:t xml:space="preserve"> </w:t>
      </w:r>
      <w:r w:rsidR="00FA1265" w:rsidRPr="29941BFC">
        <w:rPr>
          <w:rFonts w:cs="Times New Roman"/>
          <w:lang w:val="en-US"/>
        </w:rPr>
        <w:t>problem in</w:t>
      </w:r>
      <w:r w:rsidR="007152DC">
        <w:rPr>
          <w:rFonts w:cs="Times New Roman"/>
          <w:lang w:val="en-US"/>
        </w:rPr>
        <w:t xml:space="preserve"> modern</w:t>
      </w:r>
      <w:r w:rsidR="00FA1265" w:rsidRPr="29941BFC">
        <w:rPr>
          <w:rFonts w:cs="Times New Roman"/>
          <w:lang w:val="en-US"/>
        </w:rPr>
        <w:t xml:space="preserve"> dentistry. </w:t>
      </w:r>
      <w:r w:rsidR="00BC1B05">
        <w:rPr>
          <w:rFonts w:cs="Times New Roman"/>
          <w:lang w:val="en-US"/>
        </w:rPr>
        <w:t>While d</w:t>
      </w:r>
      <w:r w:rsidR="00FA1265" w:rsidRPr="29941BFC">
        <w:rPr>
          <w:rFonts w:cs="Times New Roman"/>
          <w:lang w:val="en-US"/>
        </w:rPr>
        <w:t>ental caries are one of the most prevalent and preventable diseases</w:t>
      </w:r>
      <w:r w:rsidR="00BC1B05">
        <w:rPr>
          <w:rFonts w:cs="Times New Roman"/>
          <w:lang w:val="en-US"/>
        </w:rPr>
        <w:t>, c</w:t>
      </w:r>
      <w:r w:rsidR="00FA1265" w:rsidRPr="29941BFC">
        <w:rPr>
          <w:rFonts w:cs="Times New Roman"/>
          <w:lang w:val="en-US"/>
        </w:rPr>
        <w:t>aries affect nearly 91 percent of the United States population aged 20 to 64</w:t>
      </w:r>
      <w:r w:rsidR="00FA1265" w:rsidRPr="29941BFC">
        <w:rPr>
          <w:rFonts w:cs="Times New Roman"/>
          <w:lang w:val="en-US"/>
        </w:rPr>
        <w:fldChar w:fldCharType="begin" w:fldLock="1"/>
      </w:r>
      <w:r w:rsidR="005E0301">
        <w:rPr>
          <w:rFonts w:cs="Times New Roman"/>
          <w:lang w:val="en-US"/>
        </w:rPr>
        <w:instrText>ADDIN CSL_CITATION {"citationItems":[{"id":"ITEM-1","itemData":{"DOI":"10.1002/jbm.b.31620","ISSN":"1552-4973","abstract":"Abstract The resin-based dental composites commonly used in restorations result in more plaque accumulation than other materials. Bacterial biofilm growth contributes to secondary caries and failure of resin-based dental composites. Methods to inhibit biofilm growth on dental composites have been sought for several decades. It is demonstrated here that zinc oxide nanoparticles (ZnO-NPs) blended at 10% (w/w) fraction into dental composites display antimicrobial activity and reduce growth of bacterial biofilms by roughly 80% for a single-species model dental biofilm. Antibacterial effectiveness of ZnO-NPs was assessed against Streptococcus sobrinus ATCC 27352 grown both planktonically and as biofilms on composites. Direct contact inhibition was observed by scanning electron microscopy and confocal laser scanning microscopy while biofilm formation was quantified by viable counts. An 80% reduction in bacterial counts was observed with 10% ZnO-NP-containing composites compared with their unmodified counterpart, indicating a statistically significant suppression of biofilm growth. Although, 20% of the bacterial population survived and could form a biofilm layer again, 10% ZnO-NP-containing composites maintained at least some inhibitory activity even after the third generation of biofilm growth. Microscopy demonstrated continuous biofilm formation for unmodified composites after 1-day growth, but only sparsely distributed biofilms formed on 10% ZnO-NP-containing composites. The minimum inhibitory concentration of ZnO-NPs suspended in S. sobrinus planktonic culture was 50 ?g mL?1. ZnO-NP-containing composites (10%) qualitatively showed less biofilm after 1-day-anaerobic growth of a three-species initial colonizer biofilm after being compared with unmodified composites, but did not significantly reduce growth after 3 days. ? 2010 Wiley Periodicals, Inc. J Biomed Mater Res Part B: Appl Biomater, 2010.","author":[{"dropping-particle":"","family":"Aydin Sevinç","given":"Berdan","non-dropping-particle":"","parse-names":false,"suffix":""},{"dropping-particle":"","family":"Hanley","given":"Luke","non-dropping-particle":"","parse-names":false,"suffix":""}],"container-title":"Journal of Biomedical Materials Research Part B: Applied Biomaterials","id":"ITEM-1","issue":"1","issued":{"date-parts":[["2010","7","1"]]},"note":"doi: 10.1002/jbm.b.31620","page":"22-31","publisher":"John Wiley &amp; Sons, Ltd","title":"Antibacterial activity of dental composites containing zinc oxide nanoparticles","type":"article-journal","volume":"94B"},"uris":["http://www.mendeley.com/documents/?uuid=874c7877-deb5-48d9-af87-35c96abc5739"]}],"mendeley":{"formattedCitation":"&lt;sup&gt;1&lt;/sup&gt;","plainTextFormattedCitation":"1","previouslyFormattedCitation":"&lt;sup&gt;1&lt;/sup&gt;"},"properties":{"noteIndex":0},"schema":"https://github.com/citation-style-language/schema/raw/master/csl-citation.json"}</w:instrText>
      </w:r>
      <w:r w:rsidR="00FA1265" w:rsidRPr="29941BFC">
        <w:rPr>
          <w:rFonts w:cs="Times New Roman"/>
          <w:lang w:val="en-US"/>
        </w:rPr>
        <w:fldChar w:fldCharType="separate"/>
      </w:r>
      <w:r w:rsidR="002F4BD1" w:rsidRPr="002F4BD1">
        <w:rPr>
          <w:rFonts w:cs="Times New Roman"/>
          <w:noProof/>
          <w:vertAlign w:val="superscript"/>
          <w:lang w:val="en-US"/>
        </w:rPr>
        <w:t>1</w:t>
      </w:r>
      <w:r w:rsidR="00FA1265" w:rsidRPr="29941BFC">
        <w:rPr>
          <w:rFonts w:cs="Times New Roman"/>
          <w:lang w:val="en-US"/>
        </w:rPr>
        <w:fldChar w:fldCharType="end"/>
      </w:r>
      <w:r w:rsidR="00FA1265" w:rsidRPr="29941BFC">
        <w:rPr>
          <w:rFonts w:cs="Times New Roman"/>
          <w:lang w:val="en-US"/>
        </w:rPr>
        <w:t>. Dental caries are</w:t>
      </w:r>
      <w:r w:rsidR="007152DC">
        <w:rPr>
          <w:rFonts w:cs="Times New Roman"/>
          <w:lang w:val="en-US"/>
        </w:rPr>
        <w:t xml:space="preserve"> characterized by an irreversible process by which</w:t>
      </w:r>
      <w:r w:rsidR="00FA1265" w:rsidRPr="29941BFC">
        <w:rPr>
          <w:rFonts w:cs="Times New Roman"/>
          <w:lang w:val="en-US"/>
        </w:rPr>
        <w:t xml:space="preserve"> the</w:t>
      </w:r>
      <w:r w:rsidR="007152DC">
        <w:rPr>
          <w:rFonts w:cs="Times New Roman"/>
          <w:lang w:val="en-US"/>
        </w:rPr>
        <w:t xml:space="preserve"> hard tissues of teeth (enamel and dentin) are</w:t>
      </w:r>
      <w:r w:rsidR="00FA1265" w:rsidRPr="29941BFC">
        <w:rPr>
          <w:rFonts w:cs="Times New Roman"/>
          <w:lang w:val="en-US"/>
        </w:rPr>
        <w:t xml:space="preserve"> slow</w:t>
      </w:r>
      <w:r w:rsidR="007152DC">
        <w:rPr>
          <w:rFonts w:cs="Times New Roman"/>
          <w:lang w:val="en-US"/>
        </w:rPr>
        <w:t>ly</w:t>
      </w:r>
      <w:r w:rsidR="00A04B65">
        <w:rPr>
          <w:rFonts w:cs="Times New Roman"/>
          <w:lang w:val="en-US"/>
        </w:rPr>
        <w:t xml:space="preserve"> and progressively</w:t>
      </w:r>
      <w:r w:rsidR="007152DC">
        <w:rPr>
          <w:rFonts w:cs="Times New Roman"/>
          <w:lang w:val="en-US"/>
        </w:rPr>
        <w:t xml:space="preserve"> dissolved by lactic acid</w:t>
      </w:r>
      <w:r w:rsidR="00A04B65">
        <w:rPr>
          <w:rFonts w:cs="Times New Roman"/>
          <w:lang w:val="en-US"/>
        </w:rPr>
        <w:t xml:space="preserve"> formed</w:t>
      </w:r>
      <w:r w:rsidR="00FA1265" w:rsidRPr="29941BFC">
        <w:rPr>
          <w:rFonts w:cs="Times New Roman"/>
          <w:lang w:val="en-US"/>
        </w:rPr>
        <w:t xml:space="preserve"> </w:t>
      </w:r>
      <w:r w:rsidR="00A04B65">
        <w:rPr>
          <w:rFonts w:cs="Times New Roman"/>
          <w:lang w:val="en-US"/>
        </w:rPr>
        <w:t>from the bacterial metabolization of complex carbohydrates and sugars from dietary habits</w:t>
      </w:r>
      <w:r w:rsidR="00FA1265" w:rsidRPr="29941BFC">
        <w:rPr>
          <w:rFonts w:cs="Times New Roman"/>
          <w:lang w:val="en-US"/>
        </w:rPr>
        <w:fldChar w:fldCharType="begin" w:fldLock="1"/>
      </w:r>
      <w:r w:rsidR="005E0301">
        <w:rPr>
          <w:rFonts w:cs="Times New Roman"/>
          <w:lang w:val="en-US"/>
        </w:rPr>
        <w:instrText>ADDIN CSL_CITATION {"citationItems":[{"id":"ITEM-1","itemData":{"author":[{"dropping-particle":"","family":"Khushbu","given":"Yadav","non-dropping-particle":"","parse-names":false,"suffix":""},{"dropping-particle":"","family":"Satyam","given":"Prakash","non-dropping-particle":"","parse-names":false,"suffix":""}],"container-title":"Journal of Clinical Infectious Diseases &amp; Practice","id":"ITEM-1","issue":"-","issued":{"date-parts":[["2017"]]},"note":"- Dental Caries: A Microbiological Approach","page":"- 1-15","title":"Dental Caries: A Microbiological Approach","type":"article-journal","volume":"- 2"},"uris":["http://www.mendeley.com/documents/?uuid=76d388cb-3fa6-4a82-b62a-fbc73a35c33c"]}],"mendeley":{"formattedCitation":"&lt;sup&gt;2&lt;/sup&gt;","plainTextFormattedCitation":"2","previouslyFormattedCitation":"&lt;sup&gt;2&lt;/sup&gt;"},"properties":{"noteIndex":0},"schema":"https://github.com/citation-style-language/schema/raw/master/csl-citation.json"}</w:instrText>
      </w:r>
      <w:r w:rsidR="00FA1265" w:rsidRPr="29941BFC">
        <w:rPr>
          <w:rFonts w:cs="Times New Roman"/>
          <w:lang w:val="en-US"/>
        </w:rPr>
        <w:fldChar w:fldCharType="separate"/>
      </w:r>
      <w:r w:rsidR="002F4BD1" w:rsidRPr="002F4BD1">
        <w:rPr>
          <w:rFonts w:cs="Times New Roman"/>
          <w:noProof/>
          <w:vertAlign w:val="superscript"/>
          <w:lang w:val="en-US"/>
        </w:rPr>
        <w:t>2</w:t>
      </w:r>
      <w:r w:rsidR="00FA1265" w:rsidRPr="29941BFC">
        <w:rPr>
          <w:rFonts w:cs="Times New Roman"/>
          <w:lang w:val="en-US"/>
        </w:rPr>
        <w:fldChar w:fldCharType="end"/>
      </w:r>
      <w:r w:rsidR="00843771">
        <w:rPr>
          <w:rFonts w:cs="Times New Roman"/>
          <w:lang w:val="en-US"/>
        </w:rPr>
        <w:t>.</w:t>
      </w:r>
      <w:r w:rsidR="00A04B65">
        <w:rPr>
          <w:rFonts w:cs="Times New Roman"/>
          <w:lang w:val="en-US"/>
        </w:rPr>
        <w:t xml:space="preserve"> </w:t>
      </w:r>
      <w:r w:rsidR="00BC1B05">
        <w:rPr>
          <w:rFonts w:cs="Times New Roman"/>
          <w:lang w:val="en-US"/>
        </w:rPr>
        <w:t>If left untreated</w:t>
      </w:r>
      <w:r w:rsidR="00843771">
        <w:rPr>
          <w:rFonts w:cs="Times New Roman"/>
          <w:lang w:val="en-US"/>
        </w:rPr>
        <w:t>,</w:t>
      </w:r>
      <w:r w:rsidR="00BC1B05">
        <w:rPr>
          <w:rFonts w:cs="Times New Roman"/>
          <w:lang w:val="en-US"/>
        </w:rPr>
        <w:t xml:space="preserve"> it result</w:t>
      </w:r>
      <w:r w:rsidR="00A04B65">
        <w:rPr>
          <w:rFonts w:cs="Times New Roman"/>
          <w:lang w:val="en-US"/>
        </w:rPr>
        <w:t xml:space="preserve">s </w:t>
      </w:r>
      <w:r w:rsidR="00BC1B05">
        <w:rPr>
          <w:rFonts w:cs="Times New Roman"/>
          <w:lang w:val="en-US"/>
        </w:rPr>
        <w:t>in p</w:t>
      </w:r>
      <w:r w:rsidR="00BC1B05">
        <w:rPr>
          <w:rFonts w:cs="Times New Roman"/>
          <w:szCs w:val="24"/>
          <w:lang w:val="en-US"/>
        </w:rPr>
        <w:t>artial or complete</w:t>
      </w:r>
      <w:r w:rsidR="00A04B65">
        <w:rPr>
          <w:rFonts w:cs="Times New Roman"/>
          <w:szCs w:val="24"/>
          <w:lang w:val="en-US"/>
        </w:rPr>
        <w:t xml:space="preserve"> destruction of the clinical crown and may lead to</w:t>
      </w:r>
      <w:r w:rsidR="00BC1B05">
        <w:rPr>
          <w:rFonts w:cs="Times New Roman"/>
          <w:szCs w:val="24"/>
          <w:lang w:val="en-US"/>
        </w:rPr>
        <w:t xml:space="preserve"> tooth loss</w:t>
      </w:r>
      <w:r w:rsidR="00A04B65">
        <w:rPr>
          <w:rFonts w:cs="Times New Roman"/>
          <w:szCs w:val="24"/>
          <w:lang w:val="en-US"/>
        </w:rPr>
        <w:t>,</w:t>
      </w:r>
      <w:r w:rsidR="00BC1B05">
        <w:rPr>
          <w:rFonts w:cs="Times New Roman"/>
          <w:szCs w:val="24"/>
          <w:lang w:val="en-US"/>
        </w:rPr>
        <w:t xml:space="preserve"> which is a common problem in the world</w:t>
      </w:r>
      <w:r w:rsidR="00A04B65">
        <w:rPr>
          <w:rFonts w:cs="Times New Roman"/>
          <w:szCs w:val="24"/>
          <w:lang w:val="en-US"/>
        </w:rPr>
        <w:t>. In fact,</w:t>
      </w:r>
      <w:r w:rsidR="00BC1B05">
        <w:rPr>
          <w:rFonts w:cs="Times New Roman"/>
          <w:szCs w:val="24"/>
          <w:lang w:val="en-US"/>
        </w:rPr>
        <w:t xml:space="preserve"> approximately 52</w:t>
      </w:r>
      <w:r w:rsidR="00A04B65">
        <w:rPr>
          <w:rFonts w:cs="Times New Roman"/>
          <w:szCs w:val="24"/>
          <w:lang w:val="en-US"/>
        </w:rPr>
        <w:t xml:space="preserve">% </w:t>
      </w:r>
      <w:r w:rsidR="00BC1B05">
        <w:rPr>
          <w:rFonts w:cs="Times New Roman"/>
          <w:szCs w:val="24"/>
          <w:lang w:val="en-US"/>
        </w:rPr>
        <w:t xml:space="preserve">of the United States population aged 20 to 64 </w:t>
      </w:r>
      <w:r w:rsidR="00A04B65">
        <w:rPr>
          <w:rFonts w:cs="Times New Roman"/>
          <w:szCs w:val="24"/>
          <w:lang w:val="en-US"/>
        </w:rPr>
        <w:t xml:space="preserve">have </w:t>
      </w:r>
      <w:r w:rsidR="00BC1B05">
        <w:rPr>
          <w:rFonts w:cs="Times New Roman"/>
          <w:szCs w:val="24"/>
          <w:lang w:val="en-US"/>
        </w:rPr>
        <w:t>experienc</w:t>
      </w:r>
      <w:r w:rsidR="00A04B65">
        <w:rPr>
          <w:rFonts w:cs="Times New Roman"/>
          <w:szCs w:val="24"/>
          <w:lang w:val="en-US"/>
        </w:rPr>
        <w:t>ed</w:t>
      </w:r>
      <w:r w:rsidR="00BC1B05">
        <w:rPr>
          <w:rFonts w:cs="Times New Roman"/>
          <w:szCs w:val="24"/>
          <w:lang w:val="en-US"/>
        </w:rPr>
        <w:t xml:space="preserve"> </w:t>
      </w:r>
      <w:r w:rsidR="00A04B65">
        <w:rPr>
          <w:rFonts w:cs="Times New Roman"/>
          <w:szCs w:val="24"/>
          <w:lang w:val="en-US"/>
        </w:rPr>
        <w:t xml:space="preserve">the </w:t>
      </w:r>
      <w:r w:rsidR="00BC1B05">
        <w:rPr>
          <w:rFonts w:cs="Times New Roman"/>
          <w:szCs w:val="24"/>
          <w:lang w:val="en-US"/>
        </w:rPr>
        <w:t>loss of at least one tooth.</w:t>
      </w:r>
      <w:r w:rsidR="00BC1B05">
        <w:rPr>
          <w:rFonts w:cs="Times New Roman"/>
          <w:szCs w:val="24"/>
          <w:lang w:val="en-US"/>
        </w:rPr>
        <w:fldChar w:fldCharType="begin" w:fldLock="1"/>
      </w:r>
      <w:r w:rsidR="005E0301">
        <w:rPr>
          <w:rFonts w:cs="Times New Roman"/>
          <w:szCs w:val="24"/>
          <w:lang w:val="en-US"/>
        </w:rPr>
        <w:instrText>ADDIN CSL_CITATION {"citationItems":[{"id":"ITEM-1","itemData":{"ISBN":"0164-1263","abstract":"Purpose: Dental caries in preschool children was historically considered to have a unique and more intense pattern of decoy and was known by a variety of terms. In 1999, the term early childhood caries (ECC), along with a classification system, was proposed to facilitate epidemiologic research of dental caries in young children. The purpose of this study was to assess the impact of those early childhood caries recommendations on the prevalence and measurement of caries in preschool children. Methods: A systematic search of the MEDLINE database was performed. Key search words included: ECC, dental decay, dental caries, carious dentin, baby bottle tooth decay, nursing caries, maxillary anterior caries, and labial caries. English language studies and studies on more than 100 children younger than six years old were eligible for selection. National Health and Nutrition Examination Survey data collected from 1988 to 1994, 1999 to 2004, and 2011 to 2072 were used to assess ECC prevalence using different operational definitions. Results: There were 87 articles selected for this review. The term ECC was used in 55 percent of the selected articles as the primary outcome measure. The majority of studies used a cross-section study design, but diagnostic criteria varied greatly. Caries experience in young children may be shifting away from majority of untreated surfaces to a majority of restored surfaces. Little difference was observed by dental surface type in the distribution of decayed and filled surfaces in primary teeth. Conclusions: Although the term early childhood caries is widely used, varied use of diagnostic criteria and operational definitions continue to limit comparability across studies. Emerging changes in the proportion of decayed and filled surfaces in the United States also raises questions regarding the ECC case definition limiting our ability to understand the epidemiology of dental caries in preschool children.","author":[{"dropping-particle":"","family":"Dye","given":"B A","non-dropping-particle":"","parse-names":false,"suffix":""},{"dropping-particle":"","family":"Hsu","given":"K L C","non-dropping-particle":"","parse-names":false,"suffix":""},{"dropping-particle":"","family":"Afful","given":"J","non-dropping-particle":"","parse-names":false,"suffix":""}],"container-title":"Pediatric Dentistry","id":"ITEM-1","issue":"3","issued":{"date-parts":[["2015"]]},"language":"English","note":"Dl6do\nTimes Cited:15\nCited References Count:108","page":"200-216","title":"Prevalence and Measurement of Dental Caries in Young Children","type":"article-journal","volume":"37"},"uris":["http://www.mendeley.com/documents/?uuid=11b7fe92-7096-4808-8f02-14b79edcddcb"]}],"mendeley":{"formattedCitation":"&lt;sup&gt;3&lt;/sup&gt;","plainTextFormattedCitation":"3","previouslyFormattedCitation":"&lt;sup&gt;3&lt;/sup&gt;"},"properties":{"noteIndex":0},"schema":"https://github.com/citation-style-language/schema/raw/master/csl-citation.json"}</w:instrText>
      </w:r>
      <w:r w:rsidR="00BC1B05">
        <w:rPr>
          <w:rFonts w:cs="Times New Roman"/>
          <w:szCs w:val="24"/>
          <w:lang w:val="en-US"/>
        </w:rPr>
        <w:fldChar w:fldCharType="separate"/>
      </w:r>
      <w:r w:rsidR="002F4BD1" w:rsidRPr="002F4BD1">
        <w:rPr>
          <w:rFonts w:cs="Times New Roman"/>
          <w:noProof/>
          <w:szCs w:val="24"/>
          <w:vertAlign w:val="superscript"/>
          <w:lang w:val="en-US"/>
        </w:rPr>
        <w:t>3</w:t>
      </w:r>
      <w:r w:rsidR="00BC1B05">
        <w:rPr>
          <w:rFonts w:cs="Times New Roman"/>
          <w:szCs w:val="24"/>
          <w:lang w:val="en-US"/>
        </w:rPr>
        <w:fldChar w:fldCharType="end"/>
      </w:r>
    </w:p>
    <w:p w14:paraId="30CF27C3" w14:textId="7E9DE027" w:rsidR="00C33166" w:rsidRDefault="005B2874" w:rsidP="00964E90">
      <w:pPr>
        <w:spacing w:after="0" w:line="480" w:lineRule="auto"/>
        <w:ind w:firstLine="708"/>
        <w:jc w:val="both"/>
        <w:rPr>
          <w:rFonts w:cs="Times New Roman"/>
          <w:szCs w:val="24"/>
          <w:lang w:val="en-US"/>
        </w:rPr>
      </w:pPr>
      <w:r>
        <w:rPr>
          <w:rFonts w:cs="Times New Roman"/>
          <w:szCs w:val="24"/>
          <w:lang w:val="en-US"/>
        </w:rPr>
        <w:t xml:space="preserve">It has been of interest to incorporate </w:t>
      </w:r>
      <w:r w:rsidR="00D31365">
        <w:rPr>
          <w:rFonts w:cs="Times New Roman"/>
          <w:szCs w:val="24"/>
          <w:lang w:val="en-US"/>
        </w:rPr>
        <w:t xml:space="preserve">antibacterial </w:t>
      </w:r>
      <w:r w:rsidR="00A04B65">
        <w:rPr>
          <w:rFonts w:cs="Times New Roman"/>
          <w:szCs w:val="24"/>
          <w:lang w:val="en-US"/>
        </w:rPr>
        <w:t>agents</w:t>
      </w:r>
      <w:r w:rsidR="00D31365">
        <w:rPr>
          <w:rFonts w:cs="Times New Roman"/>
          <w:szCs w:val="24"/>
          <w:lang w:val="en-US"/>
        </w:rPr>
        <w:t xml:space="preserve"> into</w:t>
      </w:r>
      <w:r w:rsidR="00DE39C6">
        <w:rPr>
          <w:rFonts w:cs="Times New Roman"/>
          <w:szCs w:val="24"/>
          <w:lang w:val="en-US"/>
        </w:rPr>
        <w:t xml:space="preserve"> coatings,</w:t>
      </w:r>
      <w:r w:rsidR="008C5BDA">
        <w:rPr>
          <w:rFonts w:cs="Times New Roman"/>
          <w:szCs w:val="24"/>
          <w:lang w:val="en-US"/>
        </w:rPr>
        <w:t xml:space="preserve"> composite</w:t>
      </w:r>
      <w:r w:rsidR="005D4E41">
        <w:rPr>
          <w:rFonts w:cs="Times New Roman"/>
          <w:szCs w:val="24"/>
          <w:lang w:val="en-US"/>
        </w:rPr>
        <w:t xml:space="preserve"> resins</w:t>
      </w:r>
      <w:r w:rsidR="008C5BDA">
        <w:rPr>
          <w:rFonts w:cs="Times New Roman"/>
          <w:szCs w:val="24"/>
          <w:lang w:val="en-US"/>
        </w:rPr>
        <w:t xml:space="preserve"> or</w:t>
      </w:r>
      <w:r w:rsidR="00D31365">
        <w:rPr>
          <w:rFonts w:cs="Times New Roman"/>
          <w:szCs w:val="24"/>
          <w:lang w:val="en-US"/>
        </w:rPr>
        <w:t xml:space="preserve"> implants</w:t>
      </w:r>
      <w:r w:rsidR="00A04B65">
        <w:rPr>
          <w:rFonts w:cs="Times New Roman"/>
          <w:szCs w:val="24"/>
          <w:lang w:val="en-US"/>
        </w:rPr>
        <w:t xml:space="preserve"> (dental and orthopedic)</w:t>
      </w:r>
      <w:r w:rsidR="00D31365">
        <w:rPr>
          <w:rFonts w:cs="Times New Roman"/>
          <w:szCs w:val="24"/>
          <w:lang w:val="en-US"/>
        </w:rPr>
        <w:t>.</w:t>
      </w:r>
      <w:r w:rsidR="008727AE">
        <w:rPr>
          <w:rFonts w:cs="Times New Roman"/>
          <w:szCs w:val="24"/>
          <w:lang w:val="en-US"/>
        </w:rPr>
        <w:t xml:space="preserve"> </w:t>
      </w:r>
      <w:r w:rsidR="008727AE" w:rsidRPr="00314EC8">
        <w:rPr>
          <w:rFonts w:cs="Times New Roman"/>
          <w:szCs w:val="24"/>
          <w:lang w:val="en-US"/>
        </w:rPr>
        <w:t xml:space="preserve">In the medical field, </w:t>
      </w:r>
      <w:r w:rsidR="00DE39C6">
        <w:rPr>
          <w:rFonts w:cs="Times New Roman"/>
          <w:szCs w:val="24"/>
          <w:lang w:val="en-US"/>
        </w:rPr>
        <w:t>nanoparticles</w:t>
      </w:r>
      <w:r w:rsidR="008727AE" w:rsidRPr="00314EC8">
        <w:rPr>
          <w:rFonts w:cs="Times New Roman"/>
          <w:szCs w:val="24"/>
          <w:lang w:val="en-US"/>
        </w:rPr>
        <w:t xml:space="preserve"> are typically used for the fabrication of antibacterial coatings, nanostructured composite materials and implants</w:t>
      </w:r>
      <w:r w:rsidR="008727AE" w:rsidRPr="00314EC8">
        <w:rPr>
          <w:rFonts w:cs="Times New Roman"/>
          <w:szCs w:val="24"/>
          <w:vertAlign w:val="superscript"/>
          <w:lang w:val="en-US"/>
        </w:rPr>
        <w:fldChar w:fldCharType="begin" w:fldLock="1"/>
      </w:r>
      <w:r w:rsidR="00EA336F">
        <w:rPr>
          <w:rFonts w:cs="Times New Roman"/>
          <w:szCs w:val="24"/>
          <w:lang w:val="en-US"/>
        </w:rPr>
        <w:instrText>ADDIN CSL_CITATION {"citationItems":[{"id":"ITEM-1","itemData":{"DOI":"doi:10.1002/jbm.b.31620","abstract":"Abstract The resin‐based dental composites commonly used in restorations result in more plaque accumulation than other materials. Bacterial biofilm growth contributes to secondary caries and failure of resin‐based dental composites. Methods to inhibit biofilm growth on dental composites have been sought for several decades. It is demonstrated here that zinc oxide nanoparticles (ZnO‐NPs) blended at 10% (w/w) fraction into dental composites display antimicrobial activity and reduce growth of bacterial biofilms by roughly 80% for a single‐species model dental biofilm. Antibacterial effectiveness of ZnO‐NPs was assessed against Streptococcus sobrinus ATCC 27352 grown both planktonically and as biofilms on composites. Direct contact inhibition was observed by scanning electron microscopy and confocal laser scanning microscopy while biofilm formation was quantified by viable counts. An 80% reduction in bacterial counts was observed with 10% ZnO‐NP‐containing composites compared with their unmodified counterpart, indicating a statistically significant suppression of biofilm growth. Although, 20% of the bacterial population survived and could form a biofilm layer again, 10% ZnO‐NP‐containing composites maintained at least some inhibitory activity even after the third generation of biofilm growth. Microscopy demonstrated continuous biofilm formation for unmodified composites after 1‐day growth, but only sparsely distributed biofilms formed on 10% ZnO‐NP‐containing composites. The minimum inhibitory concentration of ZnO‐NPs suspended in S. sobrinus planktonic culture was 50 μg mL−1. ZnO‐NP‐containing composites (10%) qualitatively showed less biofilm after 1‐day‐anaerobic growth of a three‐species initial colonizer biofilm after being compared with unmodified composites, but did not significantly reduce growth after 3 days. © 2010 Wiley Periodicals, Inc. J Biomed Mater Res Part B: Appl Biomater, 2010.","author":[{"dropping-particle":"","family":"Berdan","given":"Aydin Sevinç","non-dropping-particle":"","parse-names":false,"suffix":""},{"dropping-particle":"","family":"Luke","given":"Hanley","non-dropping-particle":"","parse-names":false,"suffix":""}],"container-title":"Journal of Biomedical Materials Research Part B: Applied Biomaterials","id":"ITEM-1","issue":"1","issued":{"date-parts":[["2010"]]},"page":"22-31","title":"Antibacterial activity of dental composites containing zinc oxide nanoparticles","type":"article-journal","volume":"94B"},"uris":["http://www.mendeley.com/documents/?uuid=0024277f-9e3f-4a0a-9168-0142e8c34b3f"]},{"id":"ITEM-2","itemData":{"DOI":"10.1039/C6RA13498J","abstract":"Outstanding antibacterial activity, low polymerization shrinkage and high mechanical properties are key requirements for dental resin composites (DRCs), however, they are difficult to be simultaneously obtained, and becomes the bottleneck for developing DRCs. Herein, a new kind of functional zinc oxide whisker (ZnOw) with C</w:instrText>
      </w:r>
      <w:r w:rsidR="00EA336F">
        <w:rPr>
          <w:rFonts w:cs="Times New Roman" w:hint="eastAsia"/>
          <w:szCs w:val="24"/>
          <w:lang w:val="en-US"/>
        </w:rPr>
        <w:instrText></w:instrText>
      </w:r>
      <w:r w:rsidR="00EA336F">
        <w:rPr>
          <w:rFonts w:cs="Times New Roman"/>
          <w:szCs w:val="24"/>
          <w:lang w:val="en-US"/>
        </w:rPr>
        <w:instrText>C bonds, coded as SK-ZnOw, was synthesized by grafting SiO2 on the surface of ZnOw using the Stöber method. Then SK-ZnOw was embeded into commercial dental resin (dimethacrylate resin, UBT) to fabricate a novel kind of DRCs (SK-ZnOw/UBT). The structure and comprehensive performances including degrees of conversion, polymerization shrinkages, antibacterial activity and mechanical properties of SK-ZnOw/UBT composites were systematically investigated. The results show that SK-ZnOw/UBT composites have simultaneously excellent and durable antibacterial activity, higher mechanical properties and lower polymerization shrinkages than both UBT resin and ZnOw/UBT composites. Especially, for the SK-ZnOw/UBT composite containing 20 wt% SK-ZnOw, its antibacterial rate and that of sample after storage in distilled water at 37 °C for 20 days are as high as 98.1% and 93.7%, respectively; moreover, its flexural strength, flexural modulus and Vickers hardness are about 1.3, 1.1 and 1.4 times those of corresponding values of ZnOw/UBT composite with 20 wt% ZnOw. Meanwhile the polymerization shrinkage of the former is only 0.8 times of that of the latter, clearly demonstrating that the bottleneck of traditional DRCs in literature has been solved. The outstanding performances of SK-ZnOw/UBT composites suggest that the method provided herein is facile and effective to develop novel functional fillers and high performance DRCs. ER","author":[{"dropping-particle":"","family":"Shen","given":"Meng","non-dropping-particle":"","parse-names":false,"suffix":""},{"dropping-particle":"","family":"Liang","given":"Guozheng","non-dropping-particle":"","parse-names":false,"suffix":""},{"dropping-particle":"","family":"Gu","given":"Aijuan","non-dropping-particle":"","parse-names":false,"suffix":""},{"dropping-particle":"","family":"Yuan","given":"Li","non-dropping-particle":"","parse-names":false,"suffix":""}],"container-title":"RSC Advances","id":"ITEM-2","issue":"61","issued":{"date-parts":[["2016"]]},"page":"56353-56364","publisher":"The Royal Society of Chemistry","title":"Development of high performance dental resin composites with outstanding antibacterial activity, high mechanical properties and low polymerization shrinkage based on a SiO2 hybridized tetrapod-like zinc oxide whisker with C-C bonds","type":"article-journal","volume":"6"},"uris":["http://www.mendeley.com/documents/?uuid=c097dd6b-c038-4053-be1f-9b44adfbd631","http://www.mendeley.com/documents/?uuid=907c9f92-2ced-4345-8826-3f98e96c150e"]}],"mendeley":{"formattedCitation":"&lt;sup&gt;4,5&lt;/sup&gt;","plainTextFormattedCitation":"4,5","previouslyFormattedCitation":"&lt;sup&gt;4,5&lt;/sup&gt;"},"properties":{"noteIndex":0},"schema":"https://github.com/citation-style-language/schema/raw/master/csl-citation.json"}</w:instrText>
      </w:r>
      <w:r w:rsidR="008727AE" w:rsidRPr="00314EC8">
        <w:rPr>
          <w:rFonts w:cs="Times New Roman"/>
          <w:szCs w:val="24"/>
          <w:vertAlign w:val="superscript"/>
          <w:lang w:val="en-US"/>
        </w:rPr>
        <w:fldChar w:fldCharType="separate"/>
      </w:r>
      <w:r w:rsidR="003F6836" w:rsidRPr="003F6836">
        <w:rPr>
          <w:rFonts w:cs="Times New Roman"/>
          <w:bCs/>
          <w:noProof/>
          <w:szCs w:val="24"/>
          <w:vertAlign w:val="superscript"/>
          <w:lang w:val="en-US"/>
        </w:rPr>
        <w:t>4,5</w:t>
      </w:r>
      <w:r w:rsidR="008727AE" w:rsidRPr="00314EC8">
        <w:rPr>
          <w:rFonts w:cs="Times New Roman"/>
          <w:szCs w:val="24"/>
          <w:lang w:val="en-US"/>
        </w:rPr>
        <w:fldChar w:fldCharType="end"/>
      </w:r>
      <w:r w:rsidR="00DE39C6">
        <w:rPr>
          <w:rFonts w:cs="Times New Roman"/>
          <w:szCs w:val="24"/>
          <w:lang w:val="en-US"/>
        </w:rPr>
        <w:t>.</w:t>
      </w:r>
      <w:r w:rsidR="002137D5">
        <w:rPr>
          <w:rFonts w:cs="Times New Roman"/>
          <w:szCs w:val="24"/>
          <w:lang w:val="en-US"/>
        </w:rPr>
        <w:t xml:space="preserve"> </w:t>
      </w:r>
      <w:r w:rsidR="006F3AD1">
        <w:rPr>
          <w:rFonts w:cs="Times New Roman"/>
          <w:szCs w:val="24"/>
          <w:lang w:val="en-US"/>
        </w:rPr>
        <w:t>Incorporation of micro- or nano</w:t>
      </w:r>
      <w:r w:rsidR="00D31365">
        <w:rPr>
          <w:rFonts w:cs="Times New Roman"/>
          <w:szCs w:val="24"/>
          <w:lang w:val="en-US"/>
        </w:rPr>
        <w:t xml:space="preserve">powders </w:t>
      </w:r>
      <w:r w:rsidR="00443181">
        <w:rPr>
          <w:rFonts w:cs="Times New Roman"/>
          <w:szCs w:val="24"/>
          <w:lang w:val="en-US"/>
        </w:rPr>
        <w:t xml:space="preserve">would </w:t>
      </w:r>
      <w:r w:rsidR="00DE39C6">
        <w:rPr>
          <w:rFonts w:cs="Times New Roman"/>
          <w:szCs w:val="24"/>
          <w:lang w:val="en-US"/>
        </w:rPr>
        <w:t>influence</w:t>
      </w:r>
      <w:r w:rsidR="00443181">
        <w:rPr>
          <w:rFonts w:cs="Times New Roman"/>
          <w:szCs w:val="24"/>
          <w:lang w:val="en-US"/>
        </w:rPr>
        <w:t xml:space="preserve"> the surface wettability of the</w:t>
      </w:r>
      <w:r w:rsidR="00DD3D22">
        <w:rPr>
          <w:rFonts w:cs="Times New Roman"/>
          <w:szCs w:val="24"/>
          <w:lang w:val="en-US"/>
        </w:rPr>
        <w:t xml:space="preserve"> coating, resin, or</w:t>
      </w:r>
      <w:r w:rsidR="00443181">
        <w:rPr>
          <w:rFonts w:cs="Times New Roman"/>
          <w:szCs w:val="24"/>
          <w:lang w:val="en-US"/>
        </w:rPr>
        <w:t xml:space="preserve"> implant</w:t>
      </w:r>
      <w:r w:rsidR="00DD3D22">
        <w:rPr>
          <w:rFonts w:cs="Times New Roman"/>
          <w:szCs w:val="24"/>
          <w:lang w:val="en-US"/>
        </w:rPr>
        <w:t xml:space="preserve"> </w:t>
      </w:r>
      <w:r w:rsidR="0055646E">
        <w:rPr>
          <w:rFonts w:cs="Times New Roman"/>
          <w:szCs w:val="24"/>
          <w:lang w:val="en-US"/>
        </w:rPr>
        <w:t xml:space="preserve">and </w:t>
      </w:r>
      <w:r w:rsidR="00443181">
        <w:rPr>
          <w:rFonts w:cs="Times New Roman"/>
          <w:szCs w:val="24"/>
          <w:lang w:val="en-US"/>
        </w:rPr>
        <w:t xml:space="preserve">may </w:t>
      </w:r>
      <w:r w:rsidR="0055646E">
        <w:rPr>
          <w:rFonts w:cs="Times New Roman"/>
          <w:szCs w:val="24"/>
          <w:lang w:val="en-US"/>
        </w:rPr>
        <w:t>affect</w:t>
      </w:r>
      <w:r w:rsidR="00443181">
        <w:rPr>
          <w:rFonts w:cs="Times New Roman"/>
          <w:szCs w:val="24"/>
          <w:lang w:val="en-US"/>
        </w:rPr>
        <w:t xml:space="preserve"> </w:t>
      </w:r>
      <w:r w:rsidR="000078BF">
        <w:rPr>
          <w:rFonts w:cs="Times New Roman"/>
          <w:szCs w:val="24"/>
          <w:lang w:val="en-US"/>
        </w:rPr>
        <w:t>the</w:t>
      </w:r>
      <w:r w:rsidR="0055646E">
        <w:rPr>
          <w:rFonts w:cs="Times New Roman"/>
          <w:szCs w:val="24"/>
          <w:lang w:val="en-US"/>
        </w:rPr>
        <w:t>ir</w:t>
      </w:r>
      <w:r w:rsidR="000078BF">
        <w:rPr>
          <w:rFonts w:cs="Times New Roman"/>
          <w:szCs w:val="24"/>
          <w:lang w:val="en-US"/>
        </w:rPr>
        <w:t xml:space="preserve"> mechanical integrity and function </w:t>
      </w:r>
      <w:r w:rsidR="00443181">
        <w:rPr>
          <w:rFonts w:cs="Times New Roman"/>
          <w:szCs w:val="24"/>
          <w:lang w:val="en-US"/>
        </w:rPr>
        <w:t>once placed in the body.</w:t>
      </w:r>
      <w:r w:rsidR="00DE7142">
        <w:rPr>
          <w:rFonts w:cs="Times New Roman"/>
          <w:szCs w:val="24"/>
          <w:lang w:val="en-US"/>
        </w:rPr>
        <w:t xml:space="preserve"> </w:t>
      </w:r>
    </w:p>
    <w:p w14:paraId="25CF2F2D" w14:textId="15168066" w:rsidR="00DE7142" w:rsidRDefault="00040052" w:rsidP="00413D6B">
      <w:pPr>
        <w:spacing w:after="0" w:line="480" w:lineRule="auto"/>
        <w:ind w:firstLine="708"/>
        <w:jc w:val="both"/>
        <w:rPr>
          <w:rFonts w:cs="Times New Roman"/>
          <w:szCs w:val="24"/>
          <w:lang w:val="en-US"/>
        </w:rPr>
      </w:pPr>
      <w:r>
        <w:rPr>
          <w:rFonts w:cs="Times New Roman"/>
          <w:szCs w:val="24"/>
          <w:lang w:val="en-US"/>
        </w:rPr>
        <w:t xml:space="preserve">In dentistry, nanoparticles (Ag, ZnO, </w:t>
      </w:r>
      <w:r w:rsidRPr="00040052">
        <w:rPr>
          <w:rFonts w:cs="Times New Roman"/>
          <w:szCs w:val="24"/>
          <w:lang w:val="en-US"/>
        </w:rPr>
        <w:t>TiO</w:t>
      </w:r>
      <w:r w:rsidRPr="00040052">
        <w:rPr>
          <w:rFonts w:cs="Times New Roman"/>
          <w:szCs w:val="24"/>
          <w:vertAlign w:val="subscript"/>
          <w:lang w:val="en-US"/>
        </w:rPr>
        <w:t>2</w:t>
      </w:r>
      <w:r>
        <w:rPr>
          <w:rFonts w:cs="Times New Roman"/>
          <w:szCs w:val="24"/>
          <w:lang w:val="en-US"/>
        </w:rPr>
        <w:t xml:space="preserve">, </w:t>
      </w:r>
      <w:r w:rsidRPr="00040052">
        <w:rPr>
          <w:rFonts w:cs="Times New Roman"/>
          <w:szCs w:val="24"/>
          <w:lang w:val="en-US"/>
        </w:rPr>
        <w:t>N</w:t>
      </w:r>
      <w:r>
        <w:rPr>
          <w:rFonts w:cs="Times New Roman"/>
          <w:szCs w:val="24"/>
          <w:lang w:val="en-US"/>
        </w:rPr>
        <w:t>_TiO</w:t>
      </w:r>
      <w:r w:rsidRPr="00903D53">
        <w:rPr>
          <w:rFonts w:cs="Times New Roman"/>
          <w:szCs w:val="24"/>
          <w:vertAlign w:val="subscript"/>
          <w:lang w:val="en-US"/>
        </w:rPr>
        <w:t>2</w:t>
      </w:r>
      <w:r>
        <w:rPr>
          <w:rFonts w:cs="Times New Roman"/>
          <w:szCs w:val="24"/>
          <w:lang w:val="en-US"/>
        </w:rPr>
        <w:t xml:space="preserve">, </w:t>
      </w:r>
      <w:r w:rsidRPr="00040052">
        <w:rPr>
          <w:rFonts w:cs="Times New Roman"/>
          <w:szCs w:val="24"/>
          <w:lang w:val="en-US"/>
        </w:rPr>
        <w:t>N</w:t>
      </w:r>
      <w:r>
        <w:rPr>
          <w:rFonts w:cs="Times New Roman"/>
          <w:szCs w:val="24"/>
          <w:lang w:val="en-US"/>
        </w:rPr>
        <w:t>F_TiO</w:t>
      </w:r>
      <w:r w:rsidRPr="00576ED9">
        <w:rPr>
          <w:rFonts w:cs="Times New Roman"/>
          <w:szCs w:val="24"/>
          <w:vertAlign w:val="subscript"/>
          <w:lang w:val="en-US"/>
        </w:rPr>
        <w:t>2</w:t>
      </w:r>
      <w:r>
        <w:rPr>
          <w:rFonts w:cs="Times New Roman"/>
          <w:szCs w:val="24"/>
          <w:lang w:val="en-US"/>
        </w:rPr>
        <w:t xml:space="preserve"> and </w:t>
      </w:r>
      <w:r w:rsidRPr="00040052">
        <w:rPr>
          <w:rFonts w:cs="Times New Roman"/>
          <w:szCs w:val="24"/>
          <w:lang w:val="en-US"/>
        </w:rPr>
        <w:t>N</w:t>
      </w:r>
      <w:r>
        <w:rPr>
          <w:rFonts w:cs="Times New Roman"/>
          <w:szCs w:val="24"/>
          <w:lang w:val="en-US"/>
        </w:rPr>
        <w:t>Ag_TiO</w:t>
      </w:r>
      <w:r w:rsidRPr="00576ED9">
        <w:rPr>
          <w:rFonts w:cs="Times New Roman"/>
          <w:szCs w:val="24"/>
          <w:vertAlign w:val="subscript"/>
          <w:lang w:val="en-US"/>
        </w:rPr>
        <w:t>2</w:t>
      </w:r>
      <w:r>
        <w:rPr>
          <w:rFonts w:cs="Times New Roman"/>
          <w:szCs w:val="24"/>
          <w:lang w:val="en-US"/>
        </w:rPr>
        <w:t>) have been incorporated into commercially available polymer-based materials (adhesive resins, composite resins, dental cements) to exert antibacterial properties against a multitude of pathogenic oral bacteria. In the present study</w:t>
      </w:r>
      <w:r w:rsidR="00DE7142">
        <w:rPr>
          <w:rFonts w:cs="Times New Roman"/>
          <w:szCs w:val="24"/>
          <w:lang w:val="en-US"/>
        </w:rPr>
        <w:t xml:space="preserve">, </w:t>
      </w:r>
      <w:r w:rsidR="0044385A">
        <w:rPr>
          <w:rFonts w:cs="Times New Roman"/>
          <w:szCs w:val="24"/>
          <w:lang w:val="en-US"/>
        </w:rPr>
        <w:t>metal oxide</w:t>
      </w:r>
      <w:r>
        <w:rPr>
          <w:rFonts w:cs="Times New Roman"/>
          <w:szCs w:val="24"/>
          <w:lang w:val="en-US"/>
        </w:rPr>
        <w:t xml:space="preserve"> nanoparticles and surfactants were</w:t>
      </w:r>
      <w:r w:rsidR="00C56648">
        <w:rPr>
          <w:rFonts w:cs="Times New Roman"/>
          <w:szCs w:val="24"/>
          <w:lang w:val="en-US"/>
        </w:rPr>
        <w:t xml:space="preserve"> incorporated into</w:t>
      </w:r>
      <w:r>
        <w:rPr>
          <w:rFonts w:cs="Times New Roman"/>
          <w:szCs w:val="24"/>
          <w:lang w:val="en-US"/>
        </w:rPr>
        <w:t xml:space="preserve"> a commercial</w:t>
      </w:r>
      <w:r w:rsidR="00C56648">
        <w:rPr>
          <w:rFonts w:cs="Times New Roman"/>
          <w:szCs w:val="24"/>
          <w:lang w:val="en-US"/>
        </w:rPr>
        <w:t xml:space="preserve"> dental adhesive resin. </w:t>
      </w:r>
      <w:r>
        <w:rPr>
          <w:rFonts w:cs="Times New Roman"/>
          <w:szCs w:val="24"/>
          <w:lang w:val="en-US"/>
        </w:rPr>
        <w:t>Since it is well-known that the incorporation of antibacterial agents (such as</w:t>
      </w:r>
      <w:r w:rsidR="003E11E6">
        <w:rPr>
          <w:rFonts w:cs="Times New Roman"/>
          <w:szCs w:val="24"/>
          <w:lang w:val="en-US"/>
        </w:rPr>
        <w:t xml:space="preserve"> </w:t>
      </w:r>
      <w:r w:rsidR="00E92A57">
        <w:rPr>
          <w:rFonts w:cs="Times New Roman"/>
          <w:szCs w:val="24"/>
          <w:lang w:val="en-US"/>
        </w:rPr>
        <w:t xml:space="preserve">nanoparticles </w:t>
      </w:r>
      <w:r>
        <w:rPr>
          <w:rFonts w:cs="Times New Roman"/>
          <w:szCs w:val="24"/>
          <w:lang w:val="en-US"/>
        </w:rPr>
        <w:t>and</w:t>
      </w:r>
      <w:r w:rsidR="00E92A57">
        <w:rPr>
          <w:rFonts w:cs="Times New Roman"/>
          <w:szCs w:val="24"/>
          <w:lang w:val="en-US"/>
        </w:rPr>
        <w:t xml:space="preserve"> surfactant</w:t>
      </w:r>
      <w:r>
        <w:rPr>
          <w:rFonts w:cs="Times New Roman"/>
          <w:szCs w:val="24"/>
          <w:lang w:val="en-US"/>
        </w:rPr>
        <w:t>s) into dental polymers</w:t>
      </w:r>
      <w:r w:rsidR="00E92A57">
        <w:rPr>
          <w:rFonts w:cs="Times New Roman"/>
          <w:szCs w:val="24"/>
          <w:lang w:val="en-US"/>
        </w:rPr>
        <w:t xml:space="preserve"> </w:t>
      </w:r>
      <w:r w:rsidR="005A6973">
        <w:rPr>
          <w:rFonts w:cs="Times New Roman"/>
          <w:szCs w:val="24"/>
          <w:lang w:val="en-US"/>
        </w:rPr>
        <w:t xml:space="preserve">may change the </w:t>
      </w:r>
      <w:r w:rsidR="00EF60A9">
        <w:rPr>
          <w:rFonts w:cs="Times New Roman"/>
          <w:szCs w:val="24"/>
          <w:lang w:val="en-US"/>
        </w:rPr>
        <w:t>properties</w:t>
      </w:r>
      <w:r>
        <w:rPr>
          <w:rFonts w:cs="Times New Roman"/>
          <w:szCs w:val="24"/>
          <w:lang w:val="en-US"/>
        </w:rPr>
        <w:t xml:space="preserve"> (surface, mechanical, chemical and biological)</w:t>
      </w:r>
      <w:r w:rsidR="00EF60A9">
        <w:rPr>
          <w:rFonts w:cs="Times New Roman"/>
          <w:szCs w:val="24"/>
          <w:lang w:val="en-US"/>
        </w:rPr>
        <w:t xml:space="preserve"> of the </w:t>
      </w:r>
      <w:r>
        <w:rPr>
          <w:rFonts w:cs="Times New Roman"/>
          <w:szCs w:val="24"/>
          <w:lang w:val="en-US"/>
        </w:rPr>
        <w:t>parental</w:t>
      </w:r>
      <w:r w:rsidR="00EF60A9">
        <w:rPr>
          <w:rFonts w:cs="Times New Roman"/>
          <w:szCs w:val="24"/>
          <w:lang w:val="en-US"/>
        </w:rPr>
        <w:t xml:space="preserve"> material</w:t>
      </w:r>
      <w:r w:rsidR="00843771">
        <w:rPr>
          <w:rFonts w:cs="Times New Roman"/>
          <w:szCs w:val="24"/>
          <w:lang w:val="en-US"/>
        </w:rPr>
        <w:t>.</w:t>
      </w:r>
      <w:r>
        <w:rPr>
          <w:rFonts w:cs="Times New Roman"/>
          <w:szCs w:val="24"/>
          <w:lang w:val="en-US"/>
        </w:rPr>
        <w:t xml:space="preserve"> </w:t>
      </w:r>
      <w:r w:rsidR="00843771">
        <w:rPr>
          <w:rFonts w:cs="Times New Roman"/>
          <w:szCs w:val="24"/>
          <w:lang w:val="en-US"/>
        </w:rPr>
        <w:t>I</w:t>
      </w:r>
      <w:r>
        <w:rPr>
          <w:rFonts w:cs="Times New Roman"/>
          <w:szCs w:val="24"/>
          <w:lang w:val="en-US"/>
        </w:rPr>
        <w:t xml:space="preserve">t becomes of fundamental importance to characterize the properties of the resulting experimental materials. Nanoparticles’ surface properties was determined using </w:t>
      </w:r>
      <w:r w:rsidR="00413D6B">
        <w:rPr>
          <w:rFonts w:cs="Times New Roman"/>
          <w:szCs w:val="24"/>
          <w:lang w:val="en-US"/>
        </w:rPr>
        <w:t xml:space="preserve">wettability approached </w:t>
      </w:r>
      <w:r w:rsidR="00286448">
        <w:rPr>
          <w:rFonts w:cs="Times New Roman"/>
          <w:szCs w:val="24"/>
          <w:lang w:val="en-US"/>
        </w:rPr>
        <w:t xml:space="preserve">to give insight </w:t>
      </w:r>
      <w:r w:rsidR="00413D6B">
        <w:rPr>
          <w:rFonts w:cs="Times New Roman"/>
          <w:szCs w:val="24"/>
          <w:lang w:val="en-US"/>
        </w:rPr>
        <w:t>regarding</w:t>
      </w:r>
      <w:r w:rsidR="006141C5">
        <w:rPr>
          <w:rFonts w:cs="Times New Roman"/>
          <w:szCs w:val="24"/>
          <w:lang w:val="en-US"/>
        </w:rPr>
        <w:t xml:space="preserve"> </w:t>
      </w:r>
      <w:r w:rsidR="0039200C">
        <w:rPr>
          <w:rFonts w:cs="Times New Roman"/>
          <w:szCs w:val="24"/>
          <w:lang w:val="en-US"/>
        </w:rPr>
        <w:t>possible applications</w:t>
      </w:r>
      <w:r w:rsidR="008446B2">
        <w:rPr>
          <w:rFonts w:cs="Times New Roman"/>
          <w:szCs w:val="24"/>
          <w:lang w:val="en-US"/>
        </w:rPr>
        <w:t xml:space="preserve"> </w:t>
      </w:r>
      <w:r w:rsidR="0039200C">
        <w:rPr>
          <w:rFonts w:cs="Times New Roman"/>
          <w:szCs w:val="24"/>
          <w:lang w:val="en-US"/>
        </w:rPr>
        <w:t>such as coatings, dispersion</w:t>
      </w:r>
      <w:r w:rsidR="00413D6B">
        <w:rPr>
          <w:rFonts w:cs="Times New Roman"/>
          <w:szCs w:val="24"/>
          <w:lang w:val="en-US"/>
        </w:rPr>
        <w:t>s</w:t>
      </w:r>
      <w:r w:rsidR="0039200C">
        <w:rPr>
          <w:rFonts w:cs="Times New Roman"/>
          <w:szCs w:val="24"/>
          <w:lang w:val="en-US"/>
        </w:rPr>
        <w:t>,</w:t>
      </w:r>
      <w:r w:rsidR="00AD57A8">
        <w:rPr>
          <w:rFonts w:cs="Times New Roman"/>
          <w:szCs w:val="24"/>
          <w:lang w:val="en-US"/>
        </w:rPr>
        <w:t xml:space="preserve"> </w:t>
      </w:r>
      <w:r w:rsidR="008446B2">
        <w:rPr>
          <w:rFonts w:cs="Times New Roman"/>
          <w:szCs w:val="24"/>
          <w:lang w:val="en-US"/>
        </w:rPr>
        <w:t>or</w:t>
      </w:r>
      <w:r w:rsidR="00AD57A8">
        <w:rPr>
          <w:rFonts w:cs="Times New Roman"/>
          <w:szCs w:val="24"/>
          <w:lang w:val="en-US"/>
        </w:rPr>
        <w:t xml:space="preserve"> powder processing. The </w:t>
      </w:r>
      <w:r w:rsidR="00413D6B">
        <w:rPr>
          <w:rFonts w:cs="Times New Roman"/>
          <w:szCs w:val="24"/>
          <w:lang w:val="en-US"/>
        </w:rPr>
        <w:t>water</w:t>
      </w:r>
      <w:r w:rsidR="00AD57A8">
        <w:rPr>
          <w:rFonts w:cs="Times New Roman"/>
          <w:szCs w:val="24"/>
          <w:lang w:val="en-US"/>
        </w:rPr>
        <w:t xml:space="preserve"> wettability of </w:t>
      </w:r>
      <w:r w:rsidR="00413D6B">
        <w:rPr>
          <w:rFonts w:cs="Times New Roman"/>
          <w:szCs w:val="24"/>
          <w:lang w:val="en-US"/>
        </w:rPr>
        <w:t>experimental</w:t>
      </w:r>
      <w:r w:rsidR="00AD57A8">
        <w:rPr>
          <w:rFonts w:cs="Times New Roman"/>
          <w:szCs w:val="24"/>
          <w:lang w:val="en-US"/>
        </w:rPr>
        <w:t xml:space="preserve"> </w:t>
      </w:r>
      <w:r w:rsidR="007325F9">
        <w:rPr>
          <w:rFonts w:cs="Times New Roman"/>
          <w:szCs w:val="24"/>
          <w:lang w:val="en-US"/>
        </w:rPr>
        <w:t>adhesive</w:t>
      </w:r>
      <w:r w:rsidR="00413D6B">
        <w:rPr>
          <w:rFonts w:cs="Times New Roman"/>
          <w:szCs w:val="24"/>
          <w:lang w:val="en-US"/>
        </w:rPr>
        <w:t xml:space="preserve"> resins</w:t>
      </w:r>
      <w:r w:rsidR="007325F9">
        <w:rPr>
          <w:rFonts w:cs="Times New Roman"/>
          <w:szCs w:val="24"/>
          <w:lang w:val="en-US"/>
        </w:rPr>
        <w:t xml:space="preserve"> </w:t>
      </w:r>
      <w:r w:rsidR="00413D6B">
        <w:rPr>
          <w:rFonts w:cs="Times New Roman"/>
          <w:szCs w:val="24"/>
          <w:lang w:val="en-US"/>
        </w:rPr>
        <w:t>containing</w:t>
      </w:r>
      <w:r w:rsidR="007325F9">
        <w:rPr>
          <w:rFonts w:cs="Times New Roman"/>
          <w:szCs w:val="24"/>
          <w:lang w:val="en-US"/>
        </w:rPr>
        <w:t xml:space="preserve"> nanoparticle</w:t>
      </w:r>
      <w:r w:rsidR="00413D6B">
        <w:rPr>
          <w:rFonts w:cs="Times New Roman"/>
          <w:szCs w:val="24"/>
          <w:lang w:val="en-US"/>
        </w:rPr>
        <w:t>s</w:t>
      </w:r>
      <w:r w:rsidR="007325F9">
        <w:rPr>
          <w:rFonts w:cs="Times New Roman"/>
          <w:szCs w:val="24"/>
          <w:lang w:val="en-US"/>
        </w:rPr>
        <w:t xml:space="preserve"> </w:t>
      </w:r>
      <w:r w:rsidR="00086C3A">
        <w:rPr>
          <w:rFonts w:cs="Times New Roman"/>
          <w:szCs w:val="24"/>
          <w:lang w:val="en-US"/>
        </w:rPr>
        <w:t>and surfactant</w:t>
      </w:r>
      <w:r w:rsidR="00413D6B">
        <w:rPr>
          <w:rFonts w:cs="Times New Roman"/>
          <w:szCs w:val="24"/>
          <w:lang w:val="en-US"/>
        </w:rPr>
        <w:t>s</w:t>
      </w:r>
      <w:r w:rsidR="00086C3A">
        <w:rPr>
          <w:rFonts w:cs="Times New Roman"/>
          <w:szCs w:val="24"/>
          <w:lang w:val="en-US"/>
        </w:rPr>
        <w:t xml:space="preserve"> </w:t>
      </w:r>
      <w:r w:rsidR="00413D6B">
        <w:rPr>
          <w:rFonts w:cs="Times New Roman"/>
          <w:szCs w:val="24"/>
          <w:lang w:val="en-US"/>
        </w:rPr>
        <w:t>was</w:t>
      </w:r>
      <w:r w:rsidR="007325F9">
        <w:rPr>
          <w:rFonts w:cs="Times New Roman"/>
          <w:szCs w:val="24"/>
          <w:lang w:val="en-US"/>
        </w:rPr>
        <w:t xml:space="preserve"> </w:t>
      </w:r>
      <w:r w:rsidR="00413D6B">
        <w:rPr>
          <w:rFonts w:cs="Times New Roman"/>
          <w:szCs w:val="24"/>
          <w:lang w:val="en-US"/>
        </w:rPr>
        <w:t>also investigated</w:t>
      </w:r>
      <w:r w:rsidR="007325F9">
        <w:rPr>
          <w:rFonts w:cs="Times New Roman"/>
          <w:szCs w:val="24"/>
          <w:lang w:val="en-US"/>
        </w:rPr>
        <w:t xml:space="preserve">. </w:t>
      </w:r>
      <w:r w:rsidR="003E32E6">
        <w:rPr>
          <w:rFonts w:cs="Times New Roman"/>
          <w:szCs w:val="24"/>
          <w:lang w:val="en-US"/>
        </w:rPr>
        <w:t xml:space="preserve">The surface </w:t>
      </w:r>
      <w:r w:rsidR="00414742">
        <w:rPr>
          <w:rFonts w:cs="Times New Roman"/>
          <w:szCs w:val="24"/>
          <w:lang w:val="en-US"/>
        </w:rPr>
        <w:t>properties</w:t>
      </w:r>
      <w:r w:rsidR="003E32E6">
        <w:rPr>
          <w:rFonts w:cs="Times New Roman"/>
          <w:szCs w:val="24"/>
          <w:lang w:val="en-US"/>
        </w:rPr>
        <w:t xml:space="preserve"> </w:t>
      </w:r>
      <w:r w:rsidR="00522EFB">
        <w:rPr>
          <w:rFonts w:cs="Times New Roman"/>
          <w:szCs w:val="24"/>
          <w:lang w:val="en-US"/>
        </w:rPr>
        <w:t>relate to the mechanical integrity and function of the adhesive.</w:t>
      </w:r>
      <w:r w:rsidR="00414742">
        <w:rPr>
          <w:rFonts w:cs="Times New Roman"/>
          <w:szCs w:val="24"/>
          <w:lang w:val="en-US"/>
        </w:rPr>
        <w:t xml:space="preserve"> </w:t>
      </w:r>
      <w:r w:rsidR="007325F9">
        <w:rPr>
          <w:rFonts w:cs="Times New Roman"/>
          <w:szCs w:val="24"/>
          <w:lang w:val="en-US"/>
        </w:rPr>
        <w:t>The two surface wettability measurements</w:t>
      </w:r>
      <w:r w:rsidR="006B54A0">
        <w:rPr>
          <w:rFonts w:cs="Times New Roman"/>
          <w:szCs w:val="24"/>
          <w:lang w:val="en-US"/>
        </w:rPr>
        <w:t xml:space="preserve"> (nanoparticles, adhesive, and a mixture</w:t>
      </w:r>
      <w:r w:rsidR="00AB6B7B">
        <w:rPr>
          <w:rFonts w:cs="Times New Roman"/>
          <w:szCs w:val="24"/>
          <w:lang w:val="en-US"/>
        </w:rPr>
        <w:t xml:space="preserve"> of both with and without surfactant</w:t>
      </w:r>
      <w:r w:rsidR="006B54A0">
        <w:rPr>
          <w:rFonts w:cs="Times New Roman"/>
          <w:szCs w:val="24"/>
          <w:lang w:val="en-US"/>
        </w:rPr>
        <w:t>)</w:t>
      </w:r>
      <w:r w:rsidR="007325F9">
        <w:rPr>
          <w:rFonts w:cs="Times New Roman"/>
          <w:szCs w:val="24"/>
          <w:lang w:val="en-US"/>
        </w:rPr>
        <w:t xml:space="preserve"> can be used </w:t>
      </w:r>
      <w:r w:rsidR="00813E81">
        <w:rPr>
          <w:rFonts w:cs="Times New Roman"/>
          <w:szCs w:val="24"/>
          <w:lang w:val="en-US"/>
        </w:rPr>
        <w:t xml:space="preserve">to determine the influence the incorporated </w:t>
      </w:r>
      <w:r w:rsidR="00AB6B7B">
        <w:rPr>
          <w:rFonts w:cs="Times New Roman"/>
          <w:szCs w:val="24"/>
          <w:lang w:val="en-US"/>
        </w:rPr>
        <w:t>materials</w:t>
      </w:r>
      <w:r w:rsidR="00813E81">
        <w:rPr>
          <w:rFonts w:cs="Times New Roman"/>
          <w:szCs w:val="24"/>
          <w:lang w:val="en-US"/>
        </w:rPr>
        <w:t xml:space="preserve"> have on the overall surface properties of the adhesive. </w:t>
      </w:r>
    </w:p>
    <w:p w14:paraId="36147FD8" w14:textId="2EC4E0EE" w:rsidR="0023275B" w:rsidRPr="00DF29E9" w:rsidRDefault="0023275B" w:rsidP="002003DD">
      <w:pPr>
        <w:pStyle w:val="Heading2"/>
      </w:pPr>
      <w:bookmarkStart w:id="3" w:name="_Toc45837532"/>
      <w:r>
        <w:t>Formation of Dental Caries</w:t>
      </w:r>
      <w:bookmarkEnd w:id="3"/>
      <w:r>
        <w:t xml:space="preserve"> </w:t>
      </w:r>
    </w:p>
    <w:p w14:paraId="6CB86B7F" w14:textId="24EF7E07" w:rsidR="00C37B31" w:rsidRDefault="00BB44C4" w:rsidP="009250A9">
      <w:pPr>
        <w:spacing w:line="480" w:lineRule="auto"/>
        <w:ind w:firstLine="708"/>
        <w:jc w:val="both"/>
        <w:rPr>
          <w:rFonts w:cs="Times New Roman"/>
          <w:szCs w:val="24"/>
          <w:lang w:val="en-US"/>
        </w:rPr>
      </w:pPr>
      <w:bookmarkStart w:id="4" w:name="_Hlk44954269"/>
      <w:r>
        <w:rPr>
          <w:rFonts w:cs="Times New Roman"/>
          <w:szCs w:val="24"/>
          <w:lang w:val="en-US"/>
        </w:rPr>
        <w:t xml:space="preserve">The acquired pellicle is a thin film </w:t>
      </w:r>
      <w:r w:rsidR="009250A9">
        <w:rPr>
          <w:rFonts w:cs="Times New Roman"/>
          <w:szCs w:val="24"/>
          <w:lang w:val="en-US"/>
        </w:rPr>
        <w:t xml:space="preserve">mainly </w:t>
      </w:r>
      <w:r>
        <w:rPr>
          <w:rFonts w:cs="Times New Roman"/>
          <w:szCs w:val="24"/>
          <w:lang w:val="en-US"/>
        </w:rPr>
        <w:t xml:space="preserve">composed of salivary glycoproteins that is </w:t>
      </w:r>
      <w:r w:rsidR="009250A9">
        <w:rPr>
          <w:rFonts w:cs="Times New Roman"/>
          <w:szCs w:val="24"/>
          <w:lang w:val="en-US"/>
        </w:rPr>
        <w:t>formed</w:t>
      </w:r>
      <w:r>
        <w:rPr>
          <w:rFonts w:cs="Times New Roman"/>
          <w:szCs w:val="24"/>
          <w:lang w:val="en-US"/>
        </w:rPr>
        <w:t xml:space="preserve"> on the surface of enamel immediately after teeth have been cleaned (either by prophylaxis or daily oral hygiene techniques). Such pellicle allows </w:t>
      </w:r>
      <w:r w:rsidR="009250A9">
        <w:rPr>
          <w:rFonts w:cs="Times New Roman"/>
          <w:szCs w:val="24"/>
          <w:lang w:val="en-US"/>
        </w:rPr>
        <w:t xml:space="preserve">for </w:t>
      </w:r>
      <w:r>
        <w:rPr>
          <w:rFonts w:cs="Times New Roman"/>
          <w:szCs w:val="24"/>
          <w:lang w:val="en-US"/>
        </w:rPr>
        <w:t>the attachment</w:t>
      </w:r>
      <w:r w:rsidR="00611399">
        <w:rPr>
          <w:rFonts w:cs="Times New Roman"/>
          <w:szCs w:val="24"/>
          <w:lang w:val="en-US"/>
        </w:rPr>
        <w:t xml:space="preserve"> and growth</w:t>
      </w:r>
      <w:r>
        <w:rPr>
          <w:rFonts w:cs="Times New Roman"/>
          <w:szCs w:val="24"/>
          <w:lang w:val="en-US"/>
        </w:rPr>
        <w:t xml:space="preserve"> of </w:t>
      </w:r>
      <w:r w:rsidR="00611399">
        <w:rPr>
          <w:rFonts w:cs="Times New Roman"/>
          <w:szCs w:val="24"/>
          <w:lang w:val="en-US"/>
        </w:rPr>
        <w:t>Gram</w:t>
      </w:r>
      <w:r w:rsidR="009250A9">
        <w:rPr>
          <w:rFonts w:cs="Times New Roman"/>
          <w:szCs w:val="24"/>
          <w:lang w:val="en-US"/>
        </w:rPr>
        <w:t>-</w:t>
      </w:r>
      <w:r w:rsidR="00611399">
        <w:rPr>
          <w:rFonts w:cs="Times New Roman"/>
          <w:szCs w:val="24"/>
          <w:lang w:val="en-US"/>
        </w:rPr>
        <w:t xml:space="preserve">positive aerobic cocci (such as </w:t>
      </w:r>
      <w:r w:rsidR="00611399">
        <w:rPr>
          <w:rFonts w:cs="Times New Roman"/>
          <w:i/>
          <w:szCs w:val="24"/>
          <w:lang w:val="en-US"/>
        </w:rPr>
        <w:t>Streptococcus sanguinis</w:t>
      </w:r>
      <w:r w:rsidR="00611399" w:rsidRPr="00611399">
        <w:rPr>
          <w:rFonts w:cs="Times New Roman"/>
          <w:szCs w:val="24"/>
          <w:lang w:val="en-US"/>
        </w:rPr>
        <w:t>)</w:t>
      </w:r>
      <w:r w:rsidR="00611399">
        <w:rPr>
          <w:rFonts w:cs="Times New Roman"/>
          <w:szCs w:val="24"/>
          <w:lang w:val="en-US"/>
        </w:rPr>
        <w:t xml:space="preserve">. After that, glucosyltransferase-producing bacteria attach to </w:t>
      </w:r>
      <w:r w:rsidR="009250A9">
        <w:rPr>
          <w:rFonts w:cs="Times New Roman"/>
          <w:szCs w:val="24"/>
          <w:lang w:val="en-US"/>
        </w:rPr>
        <w:t xml:space="preserve">the newly-formed </w:t>
      </w:r>
      <w:r w:rsidR="00611399">
        <w:rPr>
          <w:rFonts w:cs="Times New Roman"/>
          <w:szCs w:val="24"/>
          <w:lang w:val="en-US"/>
        </w:rPr>
        <w:t xml:space="preserve">pellicle and </w:t>
      </w:r>
      <w:r w:rsidR="009250A9">
        <w:rPr>
          <w:rFonts w:cs="Times New Roman"/>
          <w:szCs w:val="24"/>
          <w:lang w:val="en-US"/>
        </w:rPr>
        <w:t>initiate</w:t>
      </w:r>
      <w:r w:rsidR="00611399">
        <w:rPr>
          <w:rFonts w:cs="Times New Roman"/>
          <w:szCs w:val="24"/>
          <w:lang w:val="en-US"/>
        </w:rPr>
        <w:t xml:space="preserve"> </w:t>
      </w:r>
      <w:r w:rsidR="009250A9">
        <w:rPr>
          <w:rFonts w:cs="Times New Roman"/>
          <w:szCs w:val="24"/>
          <w:lang w:val="en-US"/>
        </w:rPr>
        <w:t>the</w:t>
      </w:r>
      <w:r w:rsidR="00611399">
        <w:rPr>
          <w:rFonts w:cs="Times New Roman"/>
          <w:szCs w:val="24"/>
          <w:lang w:val="en-US"/>
        </w:rPr>
        <w:t xml:space="preserve"> precipitat</w:t>
      </w:r>
      <w:r w:rsidR="009250A9">
        <w:rPr>
          <w:rFonts w:cs="Times New Roman"/>
          <w:szCs w:val="24"/>
          <w:lang w:val="en-US"/>
        </w:rPr>
        <w:t>ion of</w:t>
      </w:r>
      <w:r w:rsidR="00611399">
        <w:rPr>
          <w:rFonts w:cs="Times New Roman"/>
          <w:szCs w:val="24"/>
          <w:lang w:val="en-US"/>
        </w:rPr>
        <w:t xml:space="preserve"> exopolysaccharides, thereby starting the formation of the dental plaque. Such anaerobic environment allows for Gram-negative cocci, rods and filaments to colonize the</w:t>
      </w:r>
      <w:r w:rsidR="009250A9">
        <w:rPr>
          <w:rFonts w:cs="Times New Roman"/>
          <w:szCs w:val="24"/>
          <w:lang w:val="en-US"/>
        </w:rPr>
        <w:t xml:space="preserve"> dental</w:t>
      </w:r>
      <w:r w:rsidR="00611399">
        <w:rPr>
          <w:rFonts w:cs="Times New Roman"/>
          <w:szCs w:val="24"/>
          <w:lang w:val="en-US"/>
        </w:rPr>
        <w:t xml:space="preserve"> plaque. These bacteria will then metabolize sugars and complex carbohydrates</w:t>
      </w:r>
      <w:r w:rsidR="009250A9">
        <w:rPr>
          <w:rFonts w:cs="Times New Roman"/>
          <w:szCs w:val="24"/>
          <w:lang w:val="en-US"/>
        </w:rPr>
        <w:t>, through fermentation pathways,</w:t>
      </w:r>
      <w:r w:rsidR="00611399">
        <w:rPr>
          <w:rFonts w:cs="Times New Roman"/>
          <w:szCs w:val="24"/>
          <w:lang w:val="en-US"/>
        </w:rPr>
        <w:t xml:space="preserve"> into</w:t>
      </w:r>
      <w:r w:rsidR="009250A9">
        <w:rPr>
          <w:rFonts w:cs="Times New Roman"/>
          <w:szCs w:val="24"/>
          <w:lang w:val="en-US"/>
        </w:rPr>
        <w:t xml:space="preserve"> extracellular polymeric substance (EPS; exopolysaccharides) and lactic acid. </w:t>
      </w:r>
      <w:r>
        <w:rPr>
          <w:rFonts w:cs="Times New Roman"/>
          <w:szCs w:val="24"/>
          <w:lang w:val="en-US"/>
        </w:rPr>
        <w:t>A biofilm is a</w:t>
      </w:r>
      <w:r w:rsidR="009250A9">
        <w:rPr>
          <w:rFonts w:cs="Times New Roman"/>
          <w:szCs w:val="24"/>
          <w:lang w:val="en-US"/>
        </w:rPr>
        <w:t xml:space="preserve"> highly organized and</w:t>
      </w:r>
      <w:r>
        <w:rPr>
          <w:rFonts w:cs="Times New Roman"/>
          <w:szCs w:val="24"/>
          <w:lang w:val="en-US"/>
        </w:rPr>
        <w:t xml:space="preserve"> sessile multilayered community of commensal bacteria that encompasses around 700 different types of bacteria</w:t>
      </w:r>
      <w:r w:rsidR="00C37B31">
        <w:rPr>
          <w:rFonts w:cs="Times New Roman"/>
          <w:szCs w:val="24"/>
          <w:lang w:val="en-US"/>
        </w:rPr>
        <w:t xml:space="preserve"> and are capable of colonizing the surfaces of teeth (pit, fissure and smooth).</w:t>
      </w:r>
      <w:r>
        <w:rPr>
          <w:rFonts w:cs="Times New Roman"/>
          <w:szCs w:val="24"/>
          <w:lang w:val="en-US"/>
        </w:rPr>
        <w:t xml:space="preserve"> </w:t>
      </w:r>
    </w:p>
    <w:p w14:paraId="28B1FFFC" w14:textId="16F23723" w:rsidR="00BB44C4" w:rsidRDefault="00C37B31" w:rsidP="00FC26E6">
      <w:pPr>
        <w:spacing w:line="480" w:lineRule="auto"/>
        <w:ind w:firstLine="708"/>
        <w:jc w:val="both"/>
        <w:rPr>
          <w:rFonts w:cs="Times New Roman"/>
          <w:szCs w:val="24"/>
          <w:lang w:val="en-US"/>
        </w:rPr>
      </w:pPr>
      <w:r>
        <w:rPr>
          <w:rFonts w:cs="Times New Roman"/>
          <w:szCs w:val="24"/>
          <w:lang w:val="en-US"/>
        </w:rPr>
        <w:t>Depending on their anatomical characteristics</w:t>
      </w:r>
      <w:r w:rsidR="00FC26E6">
        <w:rPr>
          <w:rFonts w:cs="Times New Roman"/>
          <w:szCs w:val="24"/>
          <w:lang w:val="en-US"/>
        </w:rPr>
        <w:t xml:space="preserve"> and localization in the oral cavity</w:t>
      </w:r>
      <w:r>
        <w:rPr>
          <w:rFonts w:cs="Times New Roman"/>
          <w:szCs w:val="24"/>
          <w:lang w:val="en-US"/>
        </w:rPr>
        <w:t>, mineralized surfaces</w:t>
      </w:r>
      <w:r w:rsidR="00FC26E6">
        <w:rPr>
          <w:rFonts w:cs="Times New Roman"/>
          <w:szCs w:val="24"/>
          <w:lang w:val="en-US"/>
        </w:rPr>
        <w:t xml:space="preserve"> </w:t>
      </w:r>
      <w:r>
        <w:rPr>
          <w:rFonts w:cs="Times New Roman"/>
          <w:szCs w:val="24"/>
          <w:lang w:val="en-US"/>
        </w:rPr>
        <w:t>are more prone for bacterial accumulation and biofilm growth</w:t>
      </w:r>
      <w:r w:rsidR="00FC26E6">
        <w:rPr>
          <w:rFonts w:cs="Times New Roman"/>
          <w:szCs w:val="24"/>
          <w:lang w:val="en-US"/>
        </w:rPr>
        <w:t xml:space="preserve">, which has been demonstrated to significantly increase </w:t>
      </w:r>
      <w:r w:rsidR="00843771">
        <w:rPr>
          <w:rFonts w:cs="Times New Roman"/>
          <w:szCs w:val="24"/>
          <w:lang w:val="en-US"/>
        </w:rPr>
        <w:t xml:space="preserve">risk of </w:t>
      </w:r>
      <w:r w:rsidR="00FC26E6">
        <w:rPr>
          <w:rFonts w:cs="Times New Roman"/>
          <w:szCs w:val="24"/>
          <w:lang w:val="en-US"/>
        </w:rPr>
        <w:t xml:space="preserve">caries. Pit and fissures are typically localized at the occlusal region of molars and pre-molars and not only are very hard to clean using traditional oral hygiene techniques, but also, may be associated with areas of enamel malformation, which further exacerbates the chances for the development of dental caries. </w:t>
      </w:r>
      <w:r w:rsidR="009250A9">
        <w:rPr>
          <w:rFonts w:cs="Times New Roman"/>
          <w:szCs w:val="24"/>
          <w:lang w:val="en-US"/>
        </w:rPr>
        <w:t xml:space="preserve">Over time, </w:t>
      </w:r>
      <w:r w:rsidR="00FC26E6">
        <w:rPr>
          <w:rFonts w:cs="Times New Roman"/>
          <w:szCs w:val="24"/>
          <w:lang w:val="en-US"/>
        </w:rPr>
        <w:t xml:space="preserve">mineralized </w:t>
      </w:r>
      <w:r w:rsidR="009250A9">
        <w:rPr>
          <w:rFonts w:cs="Times New Roman"/>
          <w:szCs w:val="24"/>
          <w:lang w:val="en-US"/>
        </w:rPr>
        <w:t xml:space="preserve">surfaces (pit, fissure and smooth) colonized by oral biofilms will then be irreversibly and progressively demineralized, which is clinically known as dental caries. </w:t>
      </w:r>
      <w:r w:rsidR="00BB44C4" w:rsidRPr="00317496">
        <w:rPr>
          <w:rFonts w:cs="Times New Roman"/>
          <w:szCs w:val="24"/>
          <w:lang w:val="en-US"/>
        </w:rPr>
        <w:t xml:space="preserve"> </w:t>
      </w:r>
    </w:p>
    <w:p w14:paraId="4B796426" w14:textId="3DBEE01E" w:rsidR="0023275B" w:rsidRDefault="0023275B" w:rsidP="00903D53">
      <w:pPr>
        <w:autoSpaceDE w:val="0"/>
        <w:autoSpaceDN w:val="0"/>
        <w:adjustRightInd w:val="0"/>
        <w:spacing w:after="0" w:line="480" w:lineRule="auto"/>
        <w:ind w:firstLine="708"/>
        <w:jc w:val="both"/>
        <w:rPr>
          <w:rFonts w:cs="Times New Roman"/>
          <w:szCs w:val="24"/>
          <w:lang w:val="en-US"/>
        </w:rPr>
      </w:pPr>
      <w:r w:rsidRPr="00317496">
        <w:rPr>
          <w:rFonts w:cs="Times New Roman"/>
          <w:szCs w:val="24"/>
          <w:lang w:val="en-US"/>
        </w:rPr>
        <w:t xml:space="preserve">If untreated, </w:t>
      </w:r>
      <w:r w:rsidR="009250A9">
        <w:rPr>
          <w:rFonts w:cs="Times New Roman"/>
          <w:szCs w:val="24"/>
          <w:lang w:val="en-US"/>
        </w:rPr>
        <w:t>carious lesions will progress from the enamel to the dentin and from there to the pulp complex, which can be</w:t>
      </w:r>
      <w:r w:rsidR="00FC26E6">
        <w:rPr>
          <w:rFonts w:cs="Times New Roman"/>
          <w:szCs w:val="24"/>
          <w:lang w:val="en-US"/>
        </w:rPr>
        <w:t xml:space="preserve"> a</w:t>
      </w:r>
      <w:r w:rsidR="009250A9">
        <w:rPr>
          <w:rFonts w:cs="Times New Roman"/>
          <w:szCs w:val="24"/>
          <w:lang w:val="en-US"/>
        </w:rPr>
        <w:t xml:space="preserve"> </w:t>
      </w:r>
      <w:r w:rsidRPr="00317496">
        <w:rPr>
          <w:rFonts w:cs="Times New Roman"/>
          <w:szCs w:val="24"/>
          <w:lang w:val="en-US"/>
        </w:rPr>
        <w:t xml:space="preserve">very painful problem. </w:t>
      </w:r>
      <w:r w:rsidR="00C37B31">
        <w:rPr>
          <w:rFonts w:cs="Times New Roman"/>
          <w:szCs w:val="24"/>
          <w:lang w:val="en-US"/>
        </w:rPr>
        <w:t>The evolution of the c</w:t>
      </w:r>
      <w:bookmarkEnd w:id="4"/>
      <w:r w:rsidRPr="00317496">
        <w:rPr>
          <w:rFonts w:cs="Times New Roman"/>
          <w:szCs w:val="24"/>
          <w:lang w:val="en-US"/>
        </w:rPr>
        <w:t>ari</w:t>
      </w:r>
      <w:r w:rsidR="00FC26E6">
        <w:rPr>
          <w:rFonts w:cs="Times New Roman"/>
          <w:szCs w:val="24"/>
          <w:lang w:val="en-US"/>
        </w:rPr>
        <w:t>ous</w:t>
      </w:r>
      <w:r w:rsidR="00C37B31">
        <w:rPr>
          <w:rFonts w:cs="Times New Roman"/>
          <w:szCs w:val="24"/>
          <w:lang w:val="en-US"/>
        </w:rPr>
        <w:t xml:space="preserve"> lesion</w:t>
      </w:r>
      <w:r w:rsidRPr="00317496">
        <w:rPr>
          <w:rFonts w:cs="Times New Roman"/>
          <w:szCs w:val="24"/>
          <w:lang w:val="en-US"/>
        </w:rPr>
        <w:t xml:space="preserve"> can give rise to</w:t>
      </w:r>
      <w:r w:rsidR="00FC26E6">
        <w:rPr>
          <w:rFonts w:cs="Times New Roman"/>
          <w:szCs w:val="24"/>
          <w:lang w:val="en-US"/>
        </w:rPr>
        <w:t xml:space="preserve"> the</w:t>
      </w:r>
      <w:r w:rsidRPr="00317496">
        <w:rPr>
          <w:rFonts w:cs="Times New Roman"/>
          <w:szCs w:val="24"/>
          <w:lang w:val="en-US"/>
        </w:rPr>
        <w:t xml:space="preserve"> infection</w:t>
      </w:r>
      <w:r w:rsidR="00C37B31">
        <w:rPr>
          <w:rFonts w:cs="Times New Roman"/>
          <w:szCs w:val="24"/>
          <w:lang w:val="en-US"/>
        </w:rPr>
        <w:t xml:space="preserve"> and subsequent necrosis</w:t>
      </w:r>
      <w:r w:rsidRPr="00317496">
        <w:rPr>
          <w:rFonts w:cs="Times New Roman"/>
          <w:szCs w:val="24"/>
          <w:lang w:val="en-US"/>
        </w:rPr>
        <w:t xml:space="preserve"> of the pulp</w:t>
      </w:r>
      <w:r w:rsidR="00C37B31">
        <w:rPr>
          <w:rFonts w:cs="Times New Roman"/>
          <w:szCs w:val="24"/>
          <w:lang w:val="en-US"/>
        </w:rPr>
        <w:t xml:space="preserve"> complex</w:t>
      </w:r>
      <w:r w:rsidRPr="00317496">
        <w:rPr>
          <w:rFonts w:cs="Times New Roman"/>
          <w:szCs w:val="24"/>
          <w:lang w:val="en-US"/>
        </w:rPr>
        <w:t xml:space="preserve">, which can spread to </w:t>
      </w:r>
      <w:r w:rsidR="00FC26E6">
        <w:rPr>
          <w:rFonts w:cs="Times New Roman"/>
          <w:szCs w:val="24"/>
          <w:lang w:val="en-US"/>
        </w:rPr>
        <w:t>periodontal</w:t>
      </w:r>
      <w:r w:rsidRPr="00317496">
        <w:rPr>
          <w:rFonts w:cs="Times New Roman"/>
          <w:szCs w:val="24"/>
          <w:lang w:val="en-US"/>
        </w:rPr>
        <w:t xml:space="preserve"> tissues</w:t>
      </w:r>
      <w:r w:rsidR="00C37B31">
        <w:rPr>
          <w:rFonts w:cs="Times New Roman"/>
          <w:szCs w:val="24"/>
          <w:lang w:val="en-US"/>
        </w:rPr>
        <w:t xml:space="preserve"> (soft and hard),</w:t>
      </w:r>
      <w:r>
        <w:rPr>
          <w:rFonts w:cs="Times New Roman"/>
          <w:szCs w:val="24"/>
          <w:lang w:val="en-US"/>
        </w:rPr>
        <w:fldChar w:fldCharType="begin" w:fldLock="1"/>
      </w:r>
      <w:r w:rsidR="00EA336F">
        <w:rPr>
          <w:rFonts w:cs="Times New Roman"/>
          <w:szCs w:val="24"/>
          <w:lang w:val="en-US"/>
        </w:rPr>
        <w:instrText>ADDIN CSL_CITATION {"citationItems":[{"id":"ITEM-1","itemData":{"DOI":"10.1177/154405910408301s08","ISSN":"0022-0345","abstract":"The eventual outcome of dental caries is determined by the dynamic balance between pathological factors that lead to demineralization and protective factors that lead to remineralization. Pathological factors include acidogenic bacteria, inhibition of salivary function, and frequency of ingestion of fermentable carbohydrates. Protective factors include salivary flow, numerous salivary components, antibacterials (both natural and applied), fluoride from extrinsic sources, and selected dietary components. Intervention in the caries process can occur at any stage, either naturally or by the insertion of some procedure or treatment. Dental caries covers the continuum from the first atomic level of demineralization, through the initial enamel or root lesion, through dentinal involvement, to eventual cavitation. The dynamic balance between demineralization and remineralization determines the end result. The disease is reversible, if detected early enough. Since demineralization can be quantified at early stages, before frank cavitation, intervention methods can be tested by short-term clinical trials.","author":[{"dropping-particle":"","family":"Featherstone","given":"J D B","non-dropping-particle":"","parse-names":false,"suffix":""}],"container-title":"Journal of Dental Research","id":"ITEM-1","issue":"1_suppl","issued":{"date-parts":[["2004","7","1"]]},"note":"doi: 10.1177/154405910408301s08","page":"39-42","publisher":"SAGE Publications Inc","title":"The Continuum of Dental Caries—Evidence for a Dynamic Disease Process","type":"article-journal","volume":"83"},"uris":["http://www.mendeley.com/documents/?uuid=61835373-c2eb-4ea2-8f42-f3b767040716"]}],"mendeley":{"formattedCitation":"&lt;sup&gt;6&lt;/sup&gt;","plainTextFormattedCitation":"6","previouslyFormattedCitation":"&lt;sup&gt;6&lt;/sup&gt;"},"properties":{"noteIndex":0},"schema":"https://github.com/citation-style-language/schema/raw/master/csl-citation.json"}</w:instrText>
      </w:r>
      <w:r>
        <w:rPr>
          <w:rFonts w:cs="Times New Roman"/>
          <w:szCs w:val="24"/>
          <w:lang w:val="en-US"/>
        </w:rPr>
        <w:fldChar w:fldCharType="separate"/>
      </w:r>
      <w:r w:rsidR="003F6836" w:rsidRPr="003F6836">
        <w:rPr>
          <w:rFonts w:cs="Times New Roman"/>
          <w:noProof/>
          <w:szCs w:val="24"/>
          <w:vertAlign w:val="superscript"/>
          <w:lang w:val="en-US"/>
        </w:rPr>
        <w:t>6</w:t>
      </w:r>
      <w:r>
        <w:rPr>
          <w:rFonts w:cs="Times New Roman"/>
          <w:szCs w:val="24"/>
          <w:lang w:val="en-US"/>
        </w:rPr>
        <w:fldChar w:fldCharType="end"/>
      </w:r>
      <w:r w:rsidR="00C37B31">
        <w:rPr>
          <w:rFonts w:cs="Times New Roman"/>
          <w:szCs w:val="24"/>
          <w:lang w:val="en-US"/>
        </w:rPr>
        <w:t xml:space="preserve"> and ultimately lead to the loss of the affected tooth.</w:t>
      </w:r>
      <w:r w:rsidRPr="00317496">
        <w:rPr>
          <w:rFonts w:cs="Times New Roman"/>
          <w:szCs w:val="24"/>
          <w:lang w:val="en-US"/>
        </w:rPr>
        <w:t xml:space="preserve"> </w:t>
      </w:r>
      <w:r w:rsidR="00C37B31">
        <w:rPr>
          <w:rFonts w:cs="Times New Roman"/>
          <w:szCs w:val="24"/>
          <w:lang w:val="en-US"/>
        </w:rPr>
        <w:t>The loss of one tooth may lead to tooth movement, parafunctional occlusion and temporo-mandibular disorders, which will consequently, result in more inflammation and pain.</w:t>
      </w:r>
    </w:p>
    <w:p w14:paraId="1E254D81" w14:textId="68E93E68" w:rsidR="0023275B" w:rsidRDefault="0023275B" w:rsidP="00903D53">
      <w:pPr>
        <w:spacing w:line="480" w:lineRule="auto"/>
        <w:ind w:firstLine="708"/>
        <w:jc w:val="both"/>
        <w:rPr>
          <w:rFonts w:cs="Times New Roman"/>
          <w:szCs w:val="24"/>
          <w:lang w:val="en-US"/>
        </w:rPr>
      </w:pPr>
      <w:r w:rsidRPr="00317496">
        <w:rPr>
          <w:rFonts w:cs="Times New Roman"/>
          <w:szCs w:val="24"/>
          <w:lang w:val="en-US"/>
        </w:rPr>
        <w:t>Dental caries are thought to form due to different factors</w:t>
      </w:r>
      <w:r w:rsidR="00882A14">
        <w:rPr>
          <w:rFonts w:cs="Times New Roman"/>
          <w:szCs w:val="24"/>
          <w:lang w:val="en-US"/>
        </w:rPr>
        <w:t xml:space="preserve"> including natural</w:t>
      </w:r>
      <w:r w:rsidRPr="00317496">
        <w:rPr>
          <w:rFonts w:cs="Times New Roman"/>
          <w:szCs w:val="24"/>
          <w:lang w:val="en-US"/>
        </w:rPr>
        <w:t xml:space="preserve"> tooth characteristics and environmental</w:t>
      </w:r>
      <w:r w:rsidR="00C37B31">
        <w:rPr>
          <w:rFonts w:cs="Times New Roman"/>
          <w:szCs w:val="24"/>
          <w:lang w:val="en-US"/>
        </w:rPr>
        <w:t xml:space="preserve"> factors, that combined,</w:t>
      </w:r>
      <w:r w:rsidRPr="00317496">
        <w:rPr>
          <w:rFonts w:cs="Times New Roman"/>
          <w:szCs w:val="24"/>
          <w:lang w:val="en-US"/>
        </w:rPr>
        <w:t xml:space="preserve"> change</w:t>
      </w:r>
      <w:r w:rsidR="00FC26E6">
        <w:rPr>
          <w:rFonts w:cs="Times New Roman"/>
          <w:szCs w:val="24"/>
          <w:lang w:val="en-US"/>
        </w:rPr>
        <w:t xml:space="preserve"> the</w:t>
      </w:r>
      <w:r w:rsidRPr="00317496">
        <w:rPr>
          <w:rFonts w:cs="Times New Roman"/>
          <w:szCs w:val="24"/>
          <w:lang w:val="en-US"/>
        </w:rPr>
        <w:t xml:space="preserve"> </w:t>
      </w:r>
      <w:r w:rsidR="00C37B31">
        <w:rPr>
          <w:rFonts w:cs="Times New Roman"/>
          <w:szCs w:val="24"/>
          <w:lang w:val="en-US"/>
        </w:rPr>
        <w:t>ecology of biofilms from a state of health into a disease associated state</w:t>
      </w:r>
      <w:r>
        <w:rPr>
          <w:rFonts w:cs="Times New Roman"/>
          <w:szCs w:val="24"/>
          <w:lang w:val="en-US"/>
        </w:rPr>
        <w:fldChar w:fldCharType="begin" w:fldLock="1"/>
      </w:r>
      <w:r w:rsidR="004871C8">
        <w:rPr>
          <w:rFonts w:cs="Times New Roman"/>
          <w:szCs w:val="24"/>
          <w:lang w:val="en-US"/>
        </w:rPr>
        <w:instrText>ADDIN CSL_CITATION {"citationItems":[{"id":"ITEM-1","itemData":{"DOI":"10.1186/1472-6831-6-S1-S14","ISSN":"1472-6831","abstract":"Dental plaque is a structurally- and functionally-organized biofilm. Plaque forms in an ordered way and has a diverse microbial composition that, in health, remains relatively stable over time (microbial homeostasis). The predominant species from diseased sites are different from those found in healthy sites, although the putative pathogens can often be detected in low numbers at normal sites. In dental caries, there is a shift toward community dominance by acidogenic and acid-tolerating species such as mutans streptococci and lactobacilli, although other species with relevant traits may be involved. Strategies to control caries could include inhibition of biofilm development (e.g. prevention of attachment of cariogenic bacteria, manipulation of cell signaling mechanisms, delivery of effective antimicrobials, etc.), or enhancement of the host defenses. Additionally, these more conventional approaches could be augmented by interference with the factors that enable the cariogenic bacteria to escape from the normal homeostatic mechanisms that restrict their growth in plaque and out compete the organisms associated with health. Evidence suggests that regular conditions of low pH in plaque select for mutans streptococci and lactobacilli. Therefore, the suppression of sugar catabolism and acid production by the use of metabolic inhibitors and non-fermentable artificial sweeteners in snacks, or the stimulation of saliva flow, could assist in the maintenance of homeostasis in plaque. Arguments will be presented that an appreciation of ecological principles will enable a more holistic approach to be taken in caries control.","author":[{"dropping-particle":"","family":"Marsh","given":"Philip D","non-dropping-particle":"","parse-names":false,"suffix":""}],"container-title":"BMC oral health","id":"ITEM-1","issue":"Suppl 1","issued":{"date-parts":[["2006","6","15"]]},"language":"eng","page":"S14-S14","publisher":"BioMed Central","title":"Dental plaque as a biofilm and a microbial community - implications for health and disease","type":"article-journal","volume":"6 Suppl 1"},"uris":["http://www.mendeley.com/documents/?uuid=e8d3e37f-4036-4aed-bb63-28fa8a3d5e73"]}],"mendeley":{"formattedCitation":"&lt;sup&gt;7&lt;/sup&gt;","plainTextFormattedCitation":"7","previouslyFormattedCitation":"&lt;sup&gt;7&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w:t>
      </w:r>
      <w:r>
        <w:rPr>
          <w:rFonts w:cs="Times New Roman"/>
          <w:szCs w:val="24"/>
          <w:lang w:val="en-US"/>
        </w:rPr>
        <w:fldChar w:fldCharType="end"/>
      </w:r>
      <w:r w:rsidR="00AB0AB7">
        <w:rPr>
          <w:rFonts w:cs="Times New Roman"/>
          <w:szCs w:val="24"/>
          <w:lang w:val="en-US"/>
        </w:rPr>
        <w:t>.</w:t>
      </w:r>
      <w:r>
        <w:rPr>
          <w:rFonts w:cs="Times New Roman"/>
          <w:szCs w:val="24"/>
          <w:lang w:val="en-US"/>
        </w:rPr>
        <w:t xml:space="preserve"> T</w:t>
      </w:r>
      <w:r w:rsidRPr="00317496">
        <w:rPr>
          <w:rFonts w:cs="Times New Roman"/>
          <w:szCs w:val="24"/>
          <w:lang w:val="en-US"/>
        </w:rPr>
        <w:t xml:space="preserve">he </w:t>
      </w:r>
      <w:r w:rsidR="00FC26E6">
        <w:rPr>
          <w:rFonts w:cs="Times New Roman"/>
          <w:szCs w:val="24"/>
          <w:lang w:val="en-US"/>
        </w:rPr>
        <w:t xml:space="preserve">oral </w:t>
      </w:r>
      <w:r w:rsidRPr="00317496">
        <w:rPr>
          <w:rFonts w:cs="Times New Roman"/>
          <w:szCs w:val="24"/>
          <w:lang w:val="en-US"/>
        </w:rPr>
        <w:t>environment is probably the most complex and important factor when determining the</w:t>
      </w:r>
      <w:r>
        <w:rPr>
          <w:rFonts w:cs="Times New Roman"/>
          <w:szCs w:val="24"/>
          <w:lang w:val="en-US"/>
        </w:rPr>
        <w:t xml:space="preserve"> primary</w:t>
      </w:r>
      <w:r w:rsidRPr="00317496">
        <w:rPr>
          <w:rFonts w:cs="Times New Roman"/>
          <w:szCs w:val="24"/>
          <w:lang w:val="en-US"/>
        </w:rPr>
        <w:t xml:space="preserve"> cause of caries. Diet</w:t>
      </w:r>
      <w:r w:rsidR="00FC26E6">
        <w:rPr>
          <w:rFonts w:cs="Times New Roman"/>
          <w:szCs w:val="24"/>
          <w:lang w:val="en-US"/>
        </w:rPr>
        <w:t>ary habits based on the consumption of complex carbohydrates and refined sugars (base of Western diet)</w:t>
      </w:r>
      <w:r w:rsidRPr="00317496">
        <w:rPr>
          <w:rFonts w:cs="Times New Roman"/>
          <w:szCs w:val="24"/>
          <w:lang w:val="en-US"/>
        </w:rPr>
        <w:t xml:space="preserve"> </w:t>
      </w:r>
      <w:r w:rsidR="00FC26E6">
        <w:rPr>
          <w:rFonts w:cs="Times New Roman"/>
          <w:szCs w:val="24"/>
          <w:lang w:val="en-US"/>
        </w:rPr>
        <w:t>has been shown to be a significant contributing factor for the development of dental caries.</w:t>
      </w:r>
      <w:r w:rsidRPr="00317496">
        <w:rPr>
          <w:rFonts w:cs="Times New Roman"/>
          <w:szCs w:val="24"/>
          <w:lang w:val="en-US"/>
        </w:rPr>
        <w:t xml:space="preserve"> Sucrose is the most cariogenic dietary </w:t>
      </w:r>
      <w:r w:rsidR="00FC26E6">
        <w:rPr>
          <w:rFonts w:cs="Times New Roman"/>
          <w:szCs w:val="24"/>
          <w:lang w:val="en-US"/>
        </w:rPr>
        <w:t>sugar</w:t>
      </w:r>
      <w:r w:rsidR="00FC26E6" w:rsidRPr="00317496">
        <w:rPr>
          <w:rFonts w:cs="Times New Roman"/>
          <w:szCs w:val="24"/>
          <w:lang w:val="en-US"/>
        </w:rPr>
        <w:t xml:space="preserve"> </w:t>
      </w:r>
      <w:r w:rsidRPr="00317496">
        <w:rPr>
          <w:rFonts w:cs="Times New Roman"/>
          <w:szCs w:val="24"/>
          <w:lang w:val="en-US"/>
        </w:rPr>
        <w:t>because</w:t>
      </w:r>
      <w:r w:rsidR="000F685B">
        <w:rPr>
          <w:rFonts w:cs="Times New Roman"/>
          <w:szCs w:val="24"/>
          <w:lang w:val="en-US"/>
        </w:rPr>
        <w:t xml:space="preserve"> pathogenic bacteria </w:t>
      </w:r>
      <w:r w:rsidR="00330F97">
        <w:rPr>
          <w:rFonts w:cs="Times New Roman"/>
          <w:szCs w:val="24"/>
          <w:lang w:val="en-US"/>
        </w:rPr>
        <w:t>can metabolize</w:t>
      </w:r>
      <w:r w:rsidR="000F685B">
        <w:rPr>
          <w:rFonts w:cs="Times New Roman"/>
          <w:szCs w:val="24"/>
          <w:lang w:val="en-US"/>
        </w:rPr>
        <w:t xml:space="preserve"> it to lactic acid, which decreases the local pH to values lower than 5.0. These acid-producing bacteria are able to thrive in acidic conditions, which favors the multiplication of caries-producing bacteria, such as </w:t>
      </w:r>
      <w:r w:rsidR="000F685B">
        <w:rPr>
          <w:rFonts w:cs="Times New Roman"/>
          <w:i/>
          <w:szCs w:val="24"/>
          <w:lang w:val="en-US"/>
        </w:rPr>
        <w:t>Streptococcus mutans</w:t>
      </w:r>
      <w:r w:rsidR="000F685B">
        <w:rPr>
          <w:rFonts w:cs="Times New Roman"/>
          <w:szCs w:val="24"/>
          <w:lang w:val="en-US"/>
        </w:rPr>
        <w:t>,</w:t>
      </w:r>
      <w:r w:rsidRPr="00317496">
        <w:rPr>
          <w:rFonts w:cs="Times New Roman"/>
          <w:szCs w:val="24"/>
          <w:lang w:val="en-US"/>
        </w:rPr>
        <w:t xml:space="preserve"> lactobacilli, and bifidobacteria</w:t>
      </w:r>
      <w:r>
        <w:rPr>
          <w:rFonts w:cs="Times New Roman"/>
          <w:szCs w:val="24"/>
          <w:lang w:val="en-US"/>
        </w:rPr>
        <w:fldChar w:fldCharType="begin" w:fldLock="1"/>
      </w:r>
      <w:r w:rsidR="004871C8">
        <w:rPr>
          <w:rFonts w:cs="Times New Roman"/>
          <w:szCs w:val="24"/>
          <w:lang w:val="en-US"/>
        </w:rPr>
        <w:instrText>ADDIN CSL_CITATION {"citationItems":[{"id":"ITEM-1","itemData":{"DOI":"10.1177/0022034515590377","ISSN":"0022-0345","abstract":"The importance of sugars as a cause of caries is underemphasized and not prominent in preventive strategies. This is despite overwhelming evidence of its unique role in causing a worldwide caries epidemic. Why this neglect? One reason is that researchers mistakenly consider caries to be a multifactorial disease; they also concentrate mainly on mitigating factors, particularly fluoride. However, this is to misunderstand that the only cause of caries is dietary sugars. These provide a substrate for cariogenic oral bacteria to flourish and to generate enamel-demineralizing acids. Modifying factors such as fluoride and dental hygiene would not be needed if we tackled the single cause?sugars. In this article, we demonstrate the sensitivity of cariogenesis to even very low sugars intakes. Quantitative analyses show a log-linear dose-response relationship between the sucrose or its monosaccharide intakes and the progressive lifelong development of caries. This results in a substantial dental health burden throughout life. Processed starches have cariogenic potential when accompanying sucrose, but human studies do not provide unequivocal data of their cariogenicity. The long-standing failure to identify the need for drastic national reductions in sugars intakes reflects scientific confusion partly induced by pressure from major industrial sugar interests.","author":[{"dropping-particle":"","family":"Sheiham","given":"A","non-dropping-particle":"","parse-names":false,"suffix":""},{"dropping-particle":"","family":"James","given":"W P T","non-dropping-particle":"","parse-names":false,"suffix":""}],"container-title":"Journal of Dental Research","id":"ITEM-1","issue":"10","issued":{"date-parts":[["2015","8","10"]]},"note":"doi: 10.1177/0022034515590377","page":"1341-1347","publisher":"SAGE Publications Inc","title":"Diet and Dental Caries: The Pivotal Role of Free Sugars Reemphasized","type":"article-journal","volume":"94"},"uris":["http://www.mendeley.com/documents/?uuid=f73b4549-9d58-4025-a077-745b4375b8b0"]}],"mendeley":{"formattedCitation":"&lt;sup&gt;8&lt;/sup&gt;","plainTextFormattedCitation":"8","previouslyFormattedCitation":"&lt;sup&gt;8&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8</w:t>
      </w:r>
      <w:r>
        <w:rPr>
          <w:rFonts w:cs="Times New Roman"/>
          <w:szCs w:val="24"/>
          <w:lang w:val="en-US"/>
        </w:rPr>
        <w:fldChar w:fldCharType="end"/>
      </w:r>
      <w:r w:rsidR="009C035F">
        <w:rPr>
          <w:rFonts w:cs="Times New Roman"/>
          <w:szCs w:val="24"/>
          <w:lang w:val="en-US"/>
        </w:rPr>
        <w:t>.</w:t>
      </w:r>
      <w:r>
        <w:rPr>
          <w:rFonts w:cs="Times New Roman"/>
          <w:szCs w:val="24"/>
          <w:lang w:val="en-US"/>
        </w:rPr>
        <w:t xml:space="preserve"> The low pH </w:t>
      </w:r>
      <w:r w:rsidRPr="00317496">
        <w:rPr>
          <w:rFonts w:cs="Times New Roman"/>
          <w:szCs w:val="24"/>
          <w:lang w:val="en-US"/>
        </w:rPr>
        <w:t>kills the once thriving commensal bacteria</w:t>
      </w:r>
      <w:r>
        <w:rPr>
          <w:rFonts w:cs="Times New Roman"/>
          <w:szCs w:val="24"/>
          <w:lang w:val="en-US"/>
        </w:rPr>
        <w:t xml:space="preserve"> and allows the pathogenic bacteria to survive and take the place of the commensal bacteria</w:t>
      </w:r>
      <w:r w:rsidRPr="00317496">
        <w:rPr>
          <w:rFonts w:cs="Times New Roman"/>
          <w:szCs w:val="24"/>
          <w:lang w:val="en-US"/>
        </w:rPr>
        <w:t>.</w:t>
      </w:r>
      <w:r w:rsidR="00882A14">
        <w:rPr>
          <w:rFonts w:cs="Times New Roman"/>
          <w:szCs w:val="24"/>
          <w:lang w:val="en-US"/>
        </w:rPr>
        <w:t xml:space="preserve"> Using fluoride toothpaste</w:t>
      </w:r>
      <w:r w:rsidR="000F685B">
        <w:rPr>
          <w:rFonts w:cs="Times New Roman"/>
          <w:szCs w:val="24"/>
          <w:lang w:val="en-US"/>
        </w:rPr>
        <w:t xml:space="preserve"> not only</w:t>
      </w:r>
      <w:r w:rsidR="00882A14">
        <w:rPr>
          <w:rFonts w:cs="Times New Roman"/>
          <w:szCs w:val="24"/>
          <w:lang w:val="en-US"/>
        </w:rPr>
        <w:t xml:space="preserve"> helps to return the pH to </w:t>
      </w:r>
      <w:r w:rsidR="000F685B">
        <w:rPr>
          <w:rFonts w:cs="Times New Roman"/>
          <w:szCs w:val="24"/>
          <w:lang w:val="en-US"/>
        </w:rPr>
        <w:t>neutral, but also has been shown to be antibacterial against bacteria present in the oral microcosm</w:t>
      </w:r>
      <w:r w:rsidR="00882A14">
        <w:rPr>
          <w:rFonts w:cs="Times New Roman"/>
          <w:szCs w:val="24"/>
          <w:lang w:val="en-US"/>
        </w:rPr>
        <w:t>.</w:t>
      </w:r>
      <w:r w:rsidRPr="00317496">
        <w:rPr>
          <w:rFonts w:cs="Times New Roman"/>
          <w:szCs w:val="24"/>
          <w:lang w:val="en-US"/>
        </w:rPr>
        <w:t xml:space="preserve"> These factors on their own may not cause caries, but a combination of the factors </w:t>
      </w:r>
      <w:r>
        <w:rPr>
          <w:rFonts w:cs="Times New Roman"/>
          <w:szCs w:val="24"/>
          <w:lang w:val="en-US"/>
        </w:rPr>
        <w:t>may</w:t>
      </w:r>
      <w:r w:rsidRPr="00317496">
        <w:rPr>
          <w:rFonts w:cs="Times New Roman"/>
          <w:szCs w:val="24"/>
          <w:lang w:val="en-US"/>
        </w:rPr>
        <w:t xml:space="preserve"> result in the formation of caries. </w:t>
      </w:r>
    </w:p>
    <w:p w14:paraId="04A9A928" w14:textId="27F80A31" w:rsidR="00142881" w:rsidRPr="00FA1265" w:rsidRDefault="00142881" w:rsidP="002003DD">
      <w:pPr>
        <w:pStyle w:val="Heading2"/>
      </w:pPr>
      <w:bookmarkStart w:id="5" w:name="_Toc45837533"/>
      <w:r>
        <w:t>Dental Restoration Techniques</w:t>
      </w:r>
      <w:bookmarkEnd w:id="5"/>
    </w:p>
    <w:p w14:paraId="63D5AB4F" w14:textId="30B8049A" w:rsidR="00420F2C" w:rsidRDefault="00606405" w:rsidP="00903D53">
      <w:pPr>
        <w:autoSpaceDE w:val="0"/>
        <w:autoSpaceDN w:val="0"/>
        <w:adjustRightInd w:val="0"/>
        <w:spacing w:after="0" w:line="480" w:lineRule="auto"/>
        <w:ind w:firstLine="708"/>
        <w:jc w:val="both"/>
        <w:rPr>
          <w:rFonts w:cs="Times New Roman"/>
          <w:szCs w:val="24"/>
          <w:lang w:val="en-US"/>
        </w:rPr>
      </w:pPr>
      <w:r w:rsidRPr="00F92717">
        <w:rPr>
          <w:rFonts w:cs="Times New Roman"/>
          <w:szCs w:val="24"/>
          <w:lang w:val="en-US"/>
        </w:rPr>
        <w:t>Caries can be diagnosed in different ways. Sometimes a carious lesion is visible</w:t>
      </w:r>
      <w:r w:rsidR="000F685B">
        <w:rPr>
          <w:rFonts w:cs="Times New Roman"/>
          <w:szCs w:val="24"/>
          <w:lang w:val="en-US"/>
        </w:rPr>
        <w:t xml:space="preserve"> under visual clinical examination</w:t>
      </w:r>
      <w:r w:rsidRPr="00F92717">
        <w:rPr>
          <w:rFonts w:cs="Times New Roman"/>
          <w:szCs w:val="24"/>
          <w:lang w:val="en-US"/>
        </w:rPr>
        <w:t xml:space="preserve">. </w:t>
      </w:r>
      <w:r w:rsidR="000F685B">
        <w:rPr>
          <w:rFonts w:cs="Times New Roman"/>
          <w:szCs w:val="24"/>
          <w:lang w:val="en-US"/>
        </w:rPr>
        <w:t xml:space="preserve">In areas that are less accessible to the naked eye, other types of diagnosis can be used including tactile (probing with a clinical explorer), laser- or image-assisted (X-rays or cone-beam computer tomography) to determine the presence and the extension of the lesion. Based on the severity of the lesion and the age of the patient, the lesion can be treated using atraumatic procedures </w:t>
      </w:r>
      <w:r w:rsidR="007667E6">
        <w:rPr>
          <w:rFonts w:cs="Times New Roman"/>
          <w:szCs w:val="24"/>
          <w:lang w:val="en-US"/>
        </w:rPr>
        <w:t>including</w:t>
      </w:r>
      <w:r w:rsidRPr="00F92717">
        <w:rPr>
          <w:rFonts w:cs="Times New Roman"/>
          <w:szCs w:val="24"/>
          <w:lang w:val="en-US"/>
        </w:rPr>
        <w:t xml:space="preserve"> </w:t>
      </w:r>
      <w:r w:rsidR="00420F2C" w:rsidRPr="00F92717">
        <w:rPr>
          <w:rFonts w:cs="Times New Roman"/>
          <w:szCs w:val="24"/>
          <w:lang w:val="en-US"/>
        </w:rPr>
        <w:t>silver diamine fluoride application</w:t>
      </w:r>
      <w:r w:rsidR="007667E6">
        <w:rPr>
          <w:rFonts w:cs="Times New Roman"/>
          <w:szCs w:val="24"/>
          <w:lang w:val="en-US"/>
        </w:rPr>
        <w:t xml:space="preserve">, step-wise excavation, removal of disorganized tissues using rotary instruments (at low and high speeds) followed by the placement of a restorative material such as composite resins, glass ionomer cements, porcelains, ceramics or metals. </w:t>
      </w:r>
      <w:r w:rsidR="00392F18">
        <w:rPr>
          <w:rFonts w:cs="Times New Roman"/>
          <w:szCs w:val="24"/>
          <w:lang w:val="en-US"/>
        </w:rPr>
        <w:t xml:space="preserve">Some of these methods </w:t>
      </w:r>
      <w:r w:rsidR="007667E6">
        <w:rPr>
          <w:rFonts w:cs="Times New Roman"/>
          <w:szCs w:val="24"/>
          <w:lang w:val="en-US"/>
        </w:rPr>
        <w:t xml:space="preserve">can </w:t>
      </w:r>
      <w:r w:rsidR="00392F18">
        <w:rPr>
          <w:rFonts w:cs="Times New Roman"/>
          <w:szCs w:val="24"/>
          <w:lang w:val="en-US"/>
        </w:rPr>
        <w:t xml:space="preserve">also employed when </w:t>
      </w:r>
      <w:r w:rsidR="007667E6">
        <w:rPr>
          <w:rFonts w:cs="Times New Roman"/>
          <w:szCs w:val="24"/>
          <w:lang w:val="en-US"/>
        </w:rPr>
        <w:t xml:space="preserve">the </w:t>
      </w:r>
      <w:r w:rsidR="00392F18">
        <w:rPr>
          <w:rFonts w:cs="Times New Roman"/>
          <w:szCs w:val="24"/>
          <w:lang w:val="en-US"/>
        </w:rPr>
        <w:t>tooth</w:t>
      </w:r>
      <w:r w:rsidR="007667E6">
        <w:rPr>
          <w:rFonts w:cs="Times New Roman"/>
          <w:szCs w:val="24"/>
          <w:lang w:val="en-US"/>
        </w:rPr>
        <w:t xml:space="preserve"> structure is damaged due to trauma</w:t>
      </w:r>
      <w:r w:rsidR="00392F18">
        <w:rPr>
          <w:rFonts w:cs="Times New Roman"/>
          <w:szCs w:val="24"/>
          <w:lang w:val="en-US"/>
        </w:rPr>
        <w:t xml:space="preserve"> </w:t>
      </w:r>
      <w:r w:rsidR="007667E6">
        <w:rPr>
          <w:rFonts w:cs="Times New Roman"/>
          <w:szCs w:val="24"/>
          <w:lang w:val="en-US"/>
        </w:rPr>
        <w:t>leading to</w:t>
      </w:r>
      <w:r w:rsidR="00392F18">
        <w:rPr>
          <w:rFonts w:cs="Times New Roman"/>
          <w:szCs w:val="24"/>
          <w:lang w:val="en-US"/>
        </w:rPr>
        <w:t xml:space="preserve"> chipping or fracturing.</w:t>
      </w:r>
    </w:p>
    <w:p w14:paraId="69E03ACB" w14:textId="604316D1" w:rsidR="00830771" w:rsidRDefault="00420F2C" w:rsidP="00903D53">
      <w:pPr>
        <w:autoSpaceDE w:val="0"/>
        <w:autoSpaceDN w:val="0"/>
        <w:adjustRightInd w:val="0"/>
        <w:spacing w:after="0" w:line="480" w:lineRule="auto"/>
        <w:ind w:firstLine="708"/>
        <w:jc w:val="both"/>
        <w:rPr>
          <w:rFonts w:cs="Times New Roman"/>
          <w:szCs w:val="24"/>
          <w:lang w:val="en-US"/>
        </w:rPr>
      </w:pPr>
      <w:r w:rsidRPr="00F92717">
        <w:rPr>
          <w:rFonts w:cs="Times New Roman"/>
          <w:szCs w:val="24"/>
          <w:lang w:val="en-US"/>
        </w:rPr>
        <w:t xml:space="preserve">Silver diamine fluoride application is the least invasive method of carious lesion treatment. Silver diamine fluoride is a liquid clinically applied to the cavitated lesion in dentin. </w:t>
      </w:r>
      <w:r w:rsidR="00F71461">
        <w:rPr>
          <w:rFonts w:cs="Times New Roman"/>
          <w:szCs w:val="24"/>
          <w:lang w:val="en-US"/>
        </w:rPr>
        <w:t xml:space="preserve">The sealant is applied to the tooth and light cured. </w:t>
      </w:r>
      <w:r w:rsidRPr="00F92717">
        <w:rPr>
          <w:rFonts w:cs="Times New Roman"/>
          <w:szCs w:val="24"/>
          <w:lang w:val="en-US"/>
        </w:rPr>
        <w:t xml:space="preserve">It halts the progression of the disease and increases the potential of remineralization of the tooth. One side effect from this treatment is the infected tooth will be stained brown; however, only the </w:t>
      </w:r>
      <w:r w:rsidR="007667E6">
        <w:rPr>
          <w:rFonts w:cs="Times New Roman"/>
          <w:szCs w:val="24"/>
          <w:lang w:val="en-US"/>
        </w:rPr>
        <w:t>treated</w:t>
      </w:r>
      <w:r w:rsidR="007667E6" w:rsidRPr="00F92717">
        <w:rPr>
          <w:rFonts w:cs="Times New Roman"/>
          <w:szCs w:val="24"/>
          <w:lang w:val="en-US"/>
        </w:rPr>
        <w:t xml:space="preserve"> </w:t>
      </w:r>
      <w:r w:rsidR="007667E6">
        <w:rPr>
          <w:rFonts w:cs="Times New Roman"/>
          <w:szCs w:val="24"/>
          <w:lang w:val="en-US"/>
        </w:rPr>
        <w:t>portion</w:t>
      </w:r>
      <w:r w:rsidR="007667E6" w:rsidRPr="00F92717">
        <w:rPr>
          <w:rFonts w:cs="Times New Roman"/>
          <w:szCs w:val="24"/>
          <w:lang w:val="en-US"/>
        </w:rPr>
        <w:t xml:space="preserve"> </w:t>
      </w:r>
      <w:r w:rsidRPr="00F92717">
        <w:rPr>
          <w:rFonts w:cs="Times New Roman"/>
          <w:szCs w:val="24"/>
          <w:lang w:val="en-US"/>
        </w:rPr>
        <w:t xml:space="preserve">of the tooth will be stained permanently. </w:t>
      </w:r>
    </w:p>
    <w:p w14:paraId="79681255" w14:textId="581A21BB" w:rsidR="00413D6B" w:rsidRDefault="007667E6" w:rsidP="00980711">
      <w:pPr>
        <w:autoSpaceDE w:val="0"/>
        <w:autoSpaceDN w:val="0"/>
        <w:adjustRightInd w:val="0"/>
        <w:spacing w:after="0" w:line="480" w:lineRule="auto"/>
        <w:ind w:firstLine="708"/>
        <w:jc w:val="both"/>
        <w:rPr>
          <w:rFonts w:cs="Times New Roman"/>
          <w:szCs w:val="24"/>
          <w:lang w:val="en-US"/>
        </w:rPr>
      </w:pPr>
      <w:r>
        <w:rPr>
          <w:rFonts w:cs="Times New Roman"/>
          <w:szCs w:val="24"/>
          <w:lang w:val="en-US"/>
        </w:rPr>
        <w:t>The removal of the carious lesions using rotary instruments is the most common approach used in dentistry followed by the placement of a restorative material (metal, polymer or ceramic) to restore the function and the esthetics of the tissue lost to the lesion. Composite resin restorations are</w:t>
      </w:r>
      <w:r w:rsidR="00980711">
        <w:rPr>
          <w:rFonts w:cs="Times New Roman"/>
          <w:szCs w:val="24"/>
          <w:lang w:val="en-US"/>
        </w:rPr>
        <w:t xml:space="preserve"> mercury-free materials that are</w:t>
      </w:r>
      <w:r>
        <w:rPr>
          <w:rFonts w:cs="Times New Roman"/>
          <w:szCs w:val="24"/>
          <w:lang w:val="en-US"/>
        </w:rPr>
        <w:t xml:space="preserve"> </w:t>
      </w:r>
      <w:r w:rsidR="00980711">
        <w:rPr>
          <w:rFonts w:cs="Times New Roman"/>
          <w:szCs w:val="24"/>
          <w:lang w:val="en-US"/>
        </w:rPr>
        <w:t>used in</w:t>
      </w:r>
      <w:r>
        <w:rPr>
          <w:rFonts w:cs="Times New Roman"/>
          <w:szCs w:val="24"/>
          <w:lang w:val="en-US"/>
        </w:rPr>
        <w:t xml:space="preserve"> minimally invasive and ultraconservative treatments</w:t>
      </w:r>
      <w:r w:rsidR="00577C18">
        <w:rPr>
          <w:rFonts w:cs="Times New Roman"/>
          <w:szCs w:val="24"/>
          <w:lang w:val="en-US"/>
        </w:rPr>
        <w:t xml:space="preserve"> (</w:t>
      </w:r>
      <w:r w:rsidR="00577C18">
        <w:rPr>
          <w:rFonts w:cs="Times New Roman"/>
          <w:szCs w:val="24"/>
          <w:lang w:val="en-US"/>
        </w:rPr>
        <w:fldChar w:fldCharType="begin"/>
      </w:r>
      <w:r w:rsidR="00577C18">
        <w:rPr>
          <w:rFonts w:cs="Times New Roman"/>
          <w:szCs w:val="24"/>
          <w:lang w:val="en-US"/>
        </w:rPr>
        <w:instrText xml:space="preserve"> REF _Ref45047516 \h </w:instrText>
      </w:r>
      <w:r w:rsidR="00577C18">
        <w:rPr>
          <w:rFonts w:cs="Times New Roman"/>
          <w:szCs w:val="24"/>
          <w:lang w:val="en-US"/>
        </w:rPr>
      </w:r>
      <w:r w:rsidR="00577C18">
        <w:rPr>
          <w:rFonts w:cs="Times New Roman"/>
          <w:szCs w:val="24"/>
          <w:lang w:val="en-US"/>
        </w:rPr>
        <w:fldChar w:fldCharType="separate"/>
      </w:r>
      <w:r w:rsidR="0008188F" w:rsidRPr="00BD76D2">
        <w:rPr>
          <w:lang w:val="en-US"/>
        </w:rPr>
        <w:t xml:space="preserve">Figure </w:t>
      </w:r>
      <w:r w:rsidR="0008188F">
        <w:rPr>
          <w:noProof/>
          <w:lang w:val="en-US"/>
        </w:rPr>
        <w:t>1</w:t>
      </w:r>
      <w:r w:rsidR="00577C18">
        <w:rPr>
          <w:rFonts w:cs="Times New Roman"/>
          <w:szCs w:val="24"/>
          <w:lang w:val="en-US"/>
        </w:rPr>
        <w:fldChar w:fldCharType="end"/>
      </w:r>
      <w:r w:rsidR="00577C18">
        <w:rPr>
          <w:rFonts w:cs="Times New Roman"/>
          <w:szCs w:val="24"/>
          <w:lang w:val="en-US"/>
        </w:rPr>
        <w:t>)</w:t>
      </w:r>
      <w:r w:rsidR="00980711">
        <w:rPr>
          <w:rFonts w:cs="Times New Roman"/>
          <w:szCs w:val="24"/>
          <w:lang w:val="en-US"/>
        </w:rPr>
        <w:t xml:space="preserve">. These types of materials do not require extensive removal of sound tissues and are typically bonded to the tooth structure using a dental adhesive resin that is micromechanically attached to the tooth structure. Ideally, the adhesive resin should completely </w:t>
      </w:r>
      <w:r w:rsidR="00420F2C">
        <w:rPr>
          <w:rFonts w:cs="Times New Roman"/>
          <w:szCs w:val="24"/>
          <w:lang w:val="en-US"/>
        </w:rPr>
        <w:t xml:space="preserve">fill the crevices in the tooth to prevent future bacterial infiltration. </w:t>
      </w:r>
      <w:r w:rsidR="00330F97">
        <w:rPr>
          <w:rFonts w:cs="Times New Roman"/>
          <w:szCs w:val="24"/>
          <w:lang w:val="en-US"/>
        </w:rPr>
        <w:t xml:space="preserve">If the adhesive from the filling fails to completely adhere to the tooth structure due to polymerization shrinkage, incomplete enveloping of exposed collagen fibrils and phase separation of hydrophilic and hydrophobic components, bacteria are allowed to penetrate the adhesive interface, form biofilms and produce secondary caries. </w:t>
      </w:r>
    </w:p>
    <w:p w14:paraId="557DD024" w14:textId="7977864C" w:rsidR="00420F2C" w:rsidRDefault="00001399" w:rsidP="00903D53">
      <w:pPr>
        <w:autoSpaceDE w:val="0"/>
        <w:autoSpaceDN w:val="0"/>
        <w:adjustRightInd w:val="0"/>
        <w:spacing w:after="0" w:line="480" w:lineRule="auto"/>
        <w:ind w:firstLine="708"/>
        <w:jc w:val="both"/>
        <w:rPr>
          <w:rFonts w:cs="Times New Roman"/>
          <w:szCs w:val="24"/>
          <w:lang w:val="en-US"/>
        </w:rPr>
      </w:pPr>
      <w:r w:rsidRPr="00001399">
        <w:rPr>
          <w:rFonts w:cs="Times New Roman"/>
          <w:noProof/>
          <w:szCs w:val="24"/>
          <w:lang w:val="en-US"/>
        </w:rPr>
        <w:drawing>
          <wp:inline distT="0" distB="0" distL="0" distR="0" wp14:anchorId="27591BB1" wp14:editId="49855AAA">
            <wp:extent cx="4856621" cy="163830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5314" r="1173" b="5058"/>
                    <a:stretch/>
                  </pic:blipFill>
                  <pic:spPr bwMode="auto">
                    <a:xfrm>
                      <a:off x="0" y="0"/>
                      <a:ext cx="4875380" cy="1644628"/>
                    </a:xfrm>
                    <a:prstGeom prst="rect">
                      <a:avLst/>
                    </a:prstGeom>
                    <a:ln>
                      <a:noFill/>
                    </a:ln>
                    <a:extLst>
                      <a:ext uri="{53640926-AAD7-44D8-BBD7-CCE9431645EC}">
                        <a14:shadowObscured xmlns:a14="http://schemas.microsoft.com/office/drawing/2010/main"/>
                      </a:ext>
                    </a:extLst>
                  </pic:spPr>
                </pic:pic>
              </a:graphicData>
            </a:graphic>
          </wp:inline>
        </w:drawing>
      </w:r>
    </w:p>
    <w:p w14:paraId="791AAC2F" w14:textId="4713D0F4" w:rsidR="00001399" w:rsidRDefault="00001399" w:rsidP="00001399">
      <w:pPr>
        <w:pStyle w:val="Caption"/>
        <w:rPr>
          <w:rFonts w:cs="Times New Roman"/>
          <w:szCs w:val="24"/>
          <w:lang w:val="en-US"/>
        </w:rPr>
      </w:pPr>
      <w:bookmarkStart w:id="6" w:name="_Ref45047516"/>
      <w:bookmarkStart w:id="7" w:name="_Toc45837572"/>
      <w:r w:rsidRPr="00BD76D2">
        <w:rPr>
          <w:lang w:val="en-US"/>
        </w:rPr>
        <w:t xml:space="preserve">Figure </w:t>
      </w:r>
      <w:r>
        <w:fldChar w:fldCharType="begin"/>
      </w:r>
      <w:r w:rsidRPr="00BD76D2">
        <w:rPr>
          <w:lang w:val="en-US"/>
        </w:rPr>
        <w:instrText xml:space="preserve"> SEQ Figure \* ARABIC </w:instrText>
      </w:r>
      <w:r>
        <w:fldChar w:fldCharType="separate"/>
      </w:r>
      <w:r w:rsidR="0008188F">
        <w:rPr>
          <w:noProof/>
          <w:lang w:val="en-US"/>
        </w:rPr>
        <w:t>1</w:t>
      </w:r>
      <w:r>
        <w:fldChar w:fldCharType="end"/>
      </w:r>
      <w:bookmarkEnd w:id="6"/>
      <w:r w:rsidR="001F18F2">
        <w:rPr>
          <w:rFonts w:cs="Times New Roman"/>
          <w:szCs w:val="24"/>
          <w:lang w:val="en-US"/>
        </w:rPr>
        <w:t xml:space="preserve"> – Diagram of tooth with dental caries</w:t>
      </w:r>
      <w:bookmarkEnd w:id="7"/>
    </w:p>
    <w:p w14:paraId="754F96FE" w14:textId="1C4234DA" w:rsidR="00420F2C" w:rsidRDefault="007C2C9D" w:rsidP="002A7C28">
      <w:pPr>
        <w:autoSpaceDE w:val="0"/>
        <w:autoSpaceDN w:val="0"/>
        <w:adjustRightInd w:val="0"/>
        <w:spacing w:after="0" w:line="240" w:lineRule="auto"/>
        <w:rPr>
          <w:rFonts w:cs="Times New Roman"/>
          <w:szCs w:val="24"/>
          <w:lang w:val="en-US"/>
        </w:rPr>
      </w:pPr>
      <w:r>
        <w:rPr>
          <w:rFonts w:cs="Times New Roman"/>
          <w:szCs w:val="24"/>
          <w:lang w:val="en-US"/>
        </w:rPr>
        <w:t>1) Decayed tooth with cavity. 2) Tooth with decayed area removed. 3) Tooth with adhesive and filling to replace the decayed tooth.</w:t>
      </w:r>
    </w:p>
    <w:p w14:paraId="447C578F" w14:textId="77777777" w:rsidR="002A7C28" w:rsidRDefault="002A7C28" w:rsidP="002A7C28">
      <w:pPr>
        <w:autoSpaceDE w:val="0"/>
        <w:autoSpaceDN w:val="0"/>
        <w:adjustRightInd w:val="0"/>
        <w:spacing w:after="0" w:line="240" w:lineRule="auto"/>
        <w:rPr>
          <w:rFonts w:cs="Times New Roman"/>
          <w:szCs w:val="24"/>
          <w:lang w:val="en-US"/>
        </w:rPr>
      </w:pPr>
    </w:p>
    <w:p w14:paraId="645BF42A" w14:textId="57AAE65D" w:rsidR="00420F2C" w:rsidRDefault="00606405" w:rsidP="00903D53">
      <w:pPr>
        <w:autoSpaceDE w:val="0"/>
        <w:autoSpaceDN w:val="0"/>
        <w:adjustRightInd w:val="0"/>
        <w:spacing w:after="0" w:line="480" w:lineRule="auto"/>
        <w:ind w:firstLine="708"/>
        <w:jc w:val="both"/>
        <w:rPr>
          <w:rFonts w:cs="Times New Roman"/>
          <w:szCs w:val="24"/>
          <w:lang w:val="en-US"/>
        </w:rPr>
      </w:pPr>
      <w:r w:rsidRPr="00F92717">
        <w:rPr>
          <w:rFonts w:cs="Times New Roman"/>
          <w:szCs w:val="24"/>
          <w:lang w:val="en-US"/>
        </w:rPr>
        <w:t xml:space="preserve">Crowns are used if the </w:t>
      </w:r>
      <w:r w:rsidR="002F395E">
        <w:rPr>
          <w:rFonts w:cs="Times New Roman"/>
          <w:szCs w:val="24"/>
          <w:lang w:val="en-US"/>
        </w:rPr>
        <w:t>carious lesion</w:t>
      </w:r>
      <w:r w:rsidR="002F395E" w:rsidRPr="00F92717">
        <w:rPr>
          <w:rFonts w:cs="Times New Roman"/>
          <w:szCs w:val="24"/>
          <w:lang w:val="en-US"/>
        </w:rPr>
        <w:t xml:space="preserve"> </w:t>
      </w:r>
      <w:r w:rsidRPr="00F92717">
        <w:rPr>
          <w:rFonts w:cs="Times New Roman"/>
          <w:szCs w:val="24"/>
          <w:lang w:val="en-US"/>
        </w:rPr>
        <w:t xml:space="preserve">is more severe and </w:t>
      </w:r>
      <w:r w:rsidR="002F395E">
        <w:rPr>
          <w:rFonts w:cs="Times New Roman"/>
          <w:szCs w:val="24"/>
          <w:lang w:val="en-US"/>
        </w:rPr>
        <w:t>involves the removal or one or more cusps.</w:t>
      </w:r>
      <w:r>
        <w:rPr>
          <w:rFonts w:cs="Times New Roman"/>
          <w:szCs w:val="24"/>
          <w:lang w:val="en-US"/>
        </w:rPr>
        <w:t xml:space="preserve"> </w:t>
      </w:r>
      <w:r w:rsidRPr="00F92717">
        <w:rPr>
          <w:rFonts w:cs="Times New Roman"/>
          <w:szCs w:val="24"/>
          <w:lang w:val="en-US"/>
        </w:rPr>
        <w:t>A</w:t>
      </w:r>
      <w:r w:rsidR="002F395E">
        <w:rPr>
          <w:rFonts w:cs="Times New Roman"/>
          <w:szCs w:val="24"/>
          <w:lang w:val="en-US"/>
        </w:rPr>
        <w:t>n onlay or a full</w:t>
      </w:r>
      <w:r w:rsidRPr="00F92717">
        <w:rPr>
          <w:rFonts w:cs="Times New Roman"/>
          <w:szCs w:val="24"/>
          <w:lang w:val="en-US"/>
        </w:rPr>
        <w:t xml:space="preserve"> crown is</w:t>
      </w:r>
      <w:r w:rsidR="002F395E">
        <w:rPr>
          <w:rFonts w:cs="Times New Roman"/>
          <w:szCs w:val="24"/>
          <w:lang w:val="en-US"/>
        </w:rPr>
        <w:t xml:space="preserve"> then</w:t>
      </w:r>
      <w:r w:rsidRPr="00F92717">
        <w:rPr>
          <w:rFonts w:cs="Times New Roman"/>
          <w:szCs w:val="24"/>
          <w:lang w:val="en-US"/>
        </w:rPr>
        <w:t xml:space="preserve"> </w:t>
      </w:r>
      <w:r w:rsidR="002F395E">
        <w:rPr>
          <w:rFonts w:cs="Times New Roman"/>
          <w:szCs w:val="24"/>
          <w:lang w:val="en-US"/>
        </w:rPr>
        <w:t>fabricated</w:t>
      </w:r>
      <w:r w:rsidR="002F395E" w:rsidRPr="00F92717">
        <w:rPr>
          <w:rFonts w:cs="Times New Roman"/>
          <w:szCs w:val="24"/>
          <w:lang w:val="en-US"/>
        </w:rPr>
        <w:t xml:space="preserve"> </w:t>
      </w:r>
      <w:r w:rsidRPr="00F92717">
        <w:rPr>
          <w:rFonts w:cs="Times New Roman"/>
          <w:szCs w:val="24"/>
          <w:lang w:val="en-US"/>
        </w:rPr>
        <w:t xml:space="preserve">and </w:t>
      </w:r>
      <w:r w:rsidR="002F395E">
        <w:rPr>
          <w:rFonts w:cs="Times New Roman"/>
          <w:szCs w:val="24"/>
          <w:lang w:val="en-US"/>
        </w:rPr>
        <w:t>cemented in place</w:t>
      </w:r>
      <w:r w:rsidR="00330F97">
        <w:rPr>
          <w:rFonts w:cs="Times New Roman"/>
          <w:szCs w:val="24"/>
          <w:lang w:val="en-US"/>
        </w:rPr>
        <w:t xml:space="preserve"> to</w:t>
      </w:r>
      <w:r w:rsidR="002F395E" w:rsidRPr="00F92717">
        <w:rPr>
          <w:rFonts w:cs="Times New Roman"/>
          <w:szCs w:val="24"/>
          <w:lang w:val="en-US"/>
        </w:rPr>
        <w:t xml:space="preserve"> </w:t>
      </w:r>
      <w:r w:rsidR="002F395E">
        <w:rPr>
          <w:rFonts w:cs="Times New Roman"/>
          <w:szCs w:val="24"/>
          <w:lang w:val="en-US"/>
        </w:rPr>
        <w:t>restore the function and esthetics of</w:t>
      </w:r>
      <w:r w:rsidRPr="00F92717">
        <w:rPr>
          <w:rFonts w:cs="Times New Roman"/>
          <w:szCs w:val="24"/>
          <w:lang w:val="en-US"/>
        </w:rPr>
        <w:t xml:space="preserve"> the </w:t>
      </w:r>
      <w:r w:rsidR="002F395E">
        <w:rPr>
          <w:rFonts w:cs="Times New Roman"/>
          <w:szCs w:val="24"/>
          <w:lang w:val="en-US"/>
        </w:rPr>
        <w:t>affected</w:t>
      </w:r>
      <w:r w:rsidR="002F395E" w:rsidRPr="00F92717">
        <w:rPr>
          <w:rFonts w:cs="Times New Roman"/>
          <w:szCs w:val="24"/>
          <w:lang w:val="en-US"/>
        </w:rPr>
        <w:t xml:space="preserve"> </w:t>
      </w:r>
      <w:r w:rsidRPr="00F92717">
        <w:rPr>
          <w:rFonts w:cs="Times New Roman"/>
          <w:szCs w:val="24"/>
          <w:lang w:val="en-US"/>
        </w:rPr>
        <w:t>portion</w:t>
      </w:r>
      <w:r w:rsidR="002F395E">
        <w:rPr>
          <w:rFonts w:cs="Times New Roman"/>
          <w:szCs w:val="24"/>
          <w:lang w:val="en-US"/>
        </w:rPr>
        <w:t>s</w:t>
      </w:r>
      <w:r w:rsidRPr="00F92717">
        <w:rPr>
          <w:rFonts w:cs="Times New Roman"/>
          <w:szCs w:val="24"/>
          <w:lang w:val="en-US"/>
        </w:rPr>
        <w:t xml:space="preserve"> of the tooth. A </w:t>
      </w:r>
      <w:r w:rsidR="00420F2C">
        <w:rPr>
          <w:rFonts w:cs="Times New Roman"/>
          <w:szCs w:val="24"/>
          <w:lang w:val="en-US"/>
        </w:rPr>
        <w:t xml:space="preserve">simple </w:t>
      </w:r>
      <w:r w:rsidRPr="00F92717">
        <w:rPr>
          <w:rFonts w:cs="Times New Roman"/>
          <w:szCs w:val="24"/>
          <w:lang w:val="en-US"/>
        </w:rPr>
        <w:t>filling cannot be used on</w:t>
      </w:r>
      <w:r w:rsidR="002F395E">
        <w:rPr>
          <w:rFonts w:cs="Times New Roman"/>
          <w:szCs w:val="24"/>
          <w:lang w:val="en-US"/>
        </w:rPr>
        <w:t xml:space="preserve"> these</w:t>
      </w:r>
      <w:r w:rsidRPr="00F92717">
        <w:rPr>
          <w:rFonts w:cs="Times New Roman"/>
          <w:szCs w:val="24"/>
          <w:lang w:val="en-US"/>
        </w:rPr>
        <w:t xml:space="preserve"> because </w:t>
      </w:r>
      <w:r w:rsidR="002F395E">
        <w:rPr>
          <w:rFonts w:cs="Times New Roman"/>
          <w:szCs w:val="24"/>
          <w:lang w:val="en-US"/>
        </w:rPr>
        <w:t xml:space="preserve">the tooth remnant will not be able to withstand masticatory forces </w:t>
      </w:r>
      <w:r w:rsidR="00C15D57">
        <w:rPr>
          <w:rFonts w:cs="Times New Roman"/>
          <w:szCs w:val="24"/>
          <w:lang w:val="en-US"/>
        </w:rPr>
        <w:t>(</w:t>
      </w:r>
      <w:r w:rsidR="00C15D57">
        <w:rPr>
          <w:rFonts w:cs="Times New Roman"/>
          <w:szCs w:val="24"/>
          <w:lang w:val="en-US"/>
        </w:rPr>
        <w:fldChar w:fldCharType="begin"/>
      </w:r>
      <w:r w:rsidR="00C15D57">
        <w:rPr>
          <w:rFonts w:cs="Times New Roman"/>
          <w:szCs w:val="24"/>
          <w:lang w:val="en-US"/>
        </w:rPr>
        <w:instrText xml:space="preserve"> REF _Ref45571799 \h </w:instrText>
      </w:r>
      <w:r w:rsidR="00413D6B">
        <w:rPr>
          <w:rFonts w:cs="Times New Roman"/>
          <w:szCs w:val="24"/>
          <w:lang w:val="en-US"/>
        </w:rPr>
        <w:instrText xml:space="preserve"> \* MERGEFORMAT </w:instrText>
      </w:r>
      <w:r w:rsidR="00C15D57">
        <w:rPr>
          <w:rFonts w:cs="Times New Roman"/>
          <w:szCs w:val="24"/>
          <w:lang w:val="en-US"/>
        </w:rPr>
      </w:r>
      <w:r w:rsidR="00C15D57">
        <w:rPr>
          <w:rFonts w:cs="Times New Roman"/>
          <w:szCs w:val="24"/>
          <w:lang w:val="en-US"/>
        </w:rPr>
        <w:fldChar w:fldCharType="separate"/>
      </w:r>
      <w:r w:rsidR="0008188F" w:rsidRPr="001F18F2">
        <w:rPr>
          <w:lang w:val="en-US"/>
        </w:rPr>
        <w:t xml:space="preserve">Figure </w:t>
      </w:r>
      <w:r w:rsidR="0008188F">
        <w:rPr>
          <w:noProof/>
          <w:lang w:val="en-US"/>
        </w:rPr>
        <w:t>2</w:t>
      </w:r>
      <w:r w:rsidR="00C15D57">
        <w:rPr>
          <w:rFonts w:cs="Times New Roman"/>
          <w:szCs w:val="24"/>
          <w:lang w:val="en-US"/>
        </w:rPr>
        <w:fldChar w:fldCharType="end"/>
      </w:r>
      <w:r w:rsidR="00C15D57">
        <w:rPr>
          <w:rFonts w:cs="Times New Roman"/>
          <w:szCs w:val="24"/>
          <w:lang w:val="en-US"/>
        </w:rPr>
        <w:t>)</w:t>
      </w:r>
      <w:r w:rsidRPr="00F92717">
        <w:rPr>
          <w:rFonts w:cs="Times New Roman"/>
          <w:szCs w:val="24"/>
          <w:lang w:val="en-US"/>
        </w:rPr>
        <w:t xml:space="preserve">. Crowns are available in various materials including: stainless </w:t>
      </w:r>
      <w:r w:rsidR="002F395E">
        <w:rPr>
          <w:rFonts w:cs="Times New Roman"/>
          <w:szCs w:val="24"/>
          <w:lang w:val="en-US"/>
        </w:rPr>
        <w:t>metals</w:t>
      </w:r>
      <w:r w:rsidRPr="00F92717">
        <w:rPr>
          <w:rFonts w:cs="Times New Roman"/>
          <w:szCs w:val="24"/>
          <w:lang w:val="en-US"/>
        </w:rPr>
        <w:t xml:space="preserve">, </w:t>
      </w:r>
      <w:r w:rsidR="002F395E">
        <w:rPr>
          <w:rFonts w:cs="Times New Roman"/>
          <w:szCs w:val="24"/>
          <w:lang w:val="en-US"/>
        </w:rPr>
        <w:t xml:space="preserve">composite </w:t>
      </w:r>
      <w:r w:rsidR="002F395E" w:rsidRPr="00F92717">
        <w:rPr>
          <w:rFonts w:cs="Times New Roman"/>
          <w:szCs w:val="24"/>
          <w:lang w:val="en-US"/>
        </w:rPr>
        <w:t>resin</w:t>
      </w:r>
      <w:r w:rsidR="002F395E">
        <w:rPr>
          <w:rFonts w:cs="Times New Roman"/>
          <w:szCs w:val="24"/>
          <w:lang w:val="en-US"/>
        </w:rPr>
        <w:t>,</w:t>
      </w:r>
      <w:r w:rsidR="002F395E" w:rsidRPr="00F92717">
        <w:rPr>
          <w:rFonts w:cs="Times New Roman"/>
          <w:szCs w:val="24"/>
          <w:lang w:val="en-US"/>
        </w:rPr>
        <w:t xml:space="preserve"> </w:t>
      </w:r>
      <w:r w:rsidR="002F395E">
        <w:rPr>
          <w:rFonts w:cs="Times New Roman"/>
          <w:szCs w:val="24"/>
          <w:lang w:val="en-US"/>
        </w:rPr>
        <w:t xml:space="preserve">metal-ceramics and </w:t>
      </w:r>
      <w:r w:rsidRPr="00F92717">
        <w:rPr>
          <w:rFonts w:cs="Times New Roman"/>
          <w:szCs w:val="24"/>
          <w:lang w:val="en-US"/>
        </w:rPr>
        <w:t xml:space="preserve">porcelain. </w:t>
      </w:r>
    </w:p>
    <w:p w14:paraId="080125E8" w14:textId="2577E5C1" w:rsidR="00420F2C" w:rsidRDefault="00C317EE" w:rsidP="00C2778A">
      <w:pPr>
        <w:autoSpaceDE w:val="0"/>
        <w:autoSpaceDN w:val="0"/>
        <w:adjustRightInd w:val="0"/>
        <w:spacing w:after="0" w:line="480" w:lineRule="auto"/>
        <w:jc w:val="center"/>
        <w:rPr>
          <w:rFonts w:cs="Times New Roman"/>
          <w:szCs w:val="24"/>
          <w:lang w:val="en-US"/>
        </w:rPr>
      </w:pPr>
      <w:r>
        <w:rPr>
          <w:rFonts w:cs="Times New Roman"/>
          <w:noProof/>
          <w:szCs w:val="24"/>
          <w:lang w:val="en-US"/>
        </w:rPr>
        <w:drawing>
          <wp:inline distT="0" distB="0" distL="0" distR="0" wp14:anchorId="03B5E7F8" wp14:editId="7490DA2D">
            <wp:extent cx="4578350" cy="28829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8350" cy="2882900"/>
                    </a:xfrm>
                    <a:prstGeom prst="rect">
                      <a:avLst/>
                    </a:prstGeom>
                    <a:noFill/>
                  </pic:spPr>
                </pic:pic>
              </a:graphicData>
            </a:graphic>
          </wp:inline>
        </w:drawing>
      </w:r>
    </w:p>
    <w:p w14:paraId="7D70C086" w14:textId="1C30D784" w:rsidR="00C15D57" w:rsidRDefault="00C15D57">
      <w:pPr>
        <w:pStyle w:val="Caption"/>
        <w:rPr>
          <w:rFonts w:cs="Times New Roman"/>
          <w:szCs w:val="24"/>
          <w:lang w:val="en-US"/>
        </w:rPr>
      </w:pPr>
      <w:bookmarkStart w:id="8" w:name="_Ref45571799"/>
      <w:bookmarkStart w:id="9" w:name="_Toc45837573"/>
      <w:r w:rsidRPr="001F18F2">
        <w:rPr>
          <w:lang w:val="en-US"/>
        </w:rPr>
        <w:t xml:space="preserve">Figure </w:t>
      </w:r>
      <w:r>
        <w:fldChar w:fldCharType="begin"/>
      </w:r>
      <w:r w:rsidRPr="001F18F2">
        <w:rPr>
          <w:lang w:val="en-US"/>
        </w:rPr>
        <w:instrText xml:space="preserve"> SEQ Figure \* ARABIC </w:instrText>
      </w:r>
      <w:r>
        <w:fldChar w:fldCharType="separate"/>
      </w:r>
      <w:r w:rsidR="0008188F">
        <w:rPr>
          <w:noProof/>
          <w:lang w:val="en-US"/>
        </w:rPr>
        <w:t>2</w:t>
      </w:r>
      <w:r>
        <w:fldChar w:fldCharType="end"/>
      </w:r>
      <w:bookmarkEnd w:id="8"/>
      <w:r w:rsidR="001F18F2" w:rsidRPr="001F18F2">
        <w:rPr>
          <w:rFonts w:cs="Times New Roman"/>
          <w:szCs w:val="24"/>
          <w:lang w:val="en-US"/>
        </w:rPr>
        <w:t xml:space="preserve"> </w:t>
      </w:r>
      <w:r w:rsidR="001F18F2">
        <w:rPr>
          <w:rFonts w:cs="Times New Roman"/>
          <w:szCs w:val="24"/>
          <w:lang w:val="en-US"/>
        </w:rPr>
        <w:t>– Diagram of crown</w:t>
      </w:r>
      <w:bookmarkEnd w:id="9"/>
    </w:p>
    <w:p w14:paraId="44AD9C1D" w14:textId="07650BE5" w:rsidR="00420F2C" w:rsidRDefault="007C2C9D" w:rsidP="00903D53">
      <w:pPr>
        <w:autoSpaceDE w:val="0"/>
        <w:autoSpaceDN w:val="0"/>
        <w:adjustRightInd w:val="0"/>
        <w:spacing w:after="0" w:line="240" w:lineRule="auto"/>
        <w:contextualSpacing/>
        <w:jc w:val="both"/>
        <w:rPr>
          <w:rFonts w:cs="Times New Roman"/>
          <w:szCs w:val="24"/>
          <w:lang w:val="en-US"/>
        </w:rPr>
      </w:pPr>
      <w:r>
        <w:rPr>
          <w:rFonts w:cs="Times New Roman"/>
          <w:szCs w:val="24"/>
          <w:lang w:val="en-US"/>
        </w:rPr>
        <w:t>1) Tooth is chipped</w:t>
      </w:r>
      <w:r w:rsidR="00C317EE">
        <w:rPr>
          <w:rFonts w:cs="Times New Roman"/>
          <w:szCs w:val="24"/>
          <w:lang w:val="en-US"/>
        </w:rPr>
        <w:t>,</w:t>
      </w:r>
      <w:r>
        <w:rPr>
          <w:rFonts w:cs="Times New Roman"/>
          <w:szCs w:val="24"/>
          <w:lang w:val="en-US"/>
        </w:rPr>
        <w:t xml:space="preserve"> damaged</w:t>
      </w:r>
      <w:r w:rsidR="00C317EE">
        <w:rPr>
          <w:rFonts w:cs="Times New Roman"/>
          <w:szCs w:val="24"/>
          <w:lang w:val="en-US"/>
        </w:rPr>
        <w:t xml:space="preserve"> or broken</w:t>
      </w:r>
      <w:r>
        <w:rPr>
          <w:rFonts w:cs="Times New Roman"/>
          <w:szCs w:val="24"/>
          <w:lang w:val="en-US"/>
        </w:rPr>
        <w:t xml:space="preserve">. 2) Tooth is </w:t>
      </w:r>
      <w:r w:rsidR="00C317EE">
        <w:rPr>
          <w:rFonts w:cs="Times New Roman"/>
          <w:szCs w:val="24"/>
          <w:lang w:val="en-US"/>
        </w:rPr>
        <w:t>reshaped to accept the crown</w:t>
      </w:r>
      <w:r>
        <w:rPr>
          <w:rFonts w:cs="Times New Roman"/>
          <w:szCs w:val="24"/>
          <w:lang w:val="en-US"/>
        </w:rPr>
        <w:t xml:space="preserve">. 3) </w:t>
      </w:r>
      <w:r w:rsidR="00C317EE">
        <w:rPr>
          <w:rFonts w:cs="Times New Roman"/>
          <w:szCs w:val="24"/>
          <w:lang w:val="en-US"/>
        </w:rPr>
        <w:t>The c</w:t>
      </w:r>
      <w:r>
        <w:rPr>
          <w:rFonts w:cs="Times New Roman"/>
          <w:szCs w:val="24"/>
          <w:lang w:val="en-US"/>
        </w:rPr>
        <w:t xml:space="preserve">rown is cemented into place on </w:t>
      </w:r>
      <w:r w:rsidR="00C317EE">
        <w:rPr>
          <w:rFonts w:cs="Times New Roman"/>
          <w:szCs w:val="24"/>
          <w:lang w:val="en-US"/>
        </w:rPr>
        <w:t xml:space="preserve">reshaped </w:t>
      </w:r>
      <w:r>
        <w:rPr>
          <w:rFonts w:cs="Times New Roman"/>
          <w:szCs w:val="24"/>
          <w:lang w:val="en-US"/>
        </w:rPr>
        <w:t>tooth.</w:t>
      </w:r>
    </w:p>
    <w:p w14:paraId="4F10A71B" w14:textId="77777777" w:rsidR="007C2C9D" w:rsidRDefault="007C2C9D" w:rsidP="00903D53">
      <w:pPr>
        <w:autoSpaceDE w:val="0"/>
        <w:autoSpaceDN w:val="0"/>
        <w:adjustRightInd w:val="0"/>
        <w:spacing w:after="0" w:line="240" w:lineRule="auto"/>
        <w:contextualSpacing/>
        <w:jc w:val="both"/>
        <w:rPr>
          <w:rFonts w:cs="Times New Roman"/>
          <w:szCs w:val="24"/>
          <w:lang w:val="en-US"/>
        </w:rPr>
      </w:pPr>
    </w:p>
    <w:p w14:paraId="07EC0DBA" w14:textId="7A6EA01D" w:rsidR="00420F2C" w:rsidRDefault="002F395E" w:rsidP="00903D53">
      <w:pPr>
        <w:autoSpaceDE w:val="0"/>
        <w:autoSpaceDN w:val="0"/>
        <w:adjustRightInd w:val="0"/>
        <w:spacing w:after="0" w:line="480" w:lineRule="auto"/>
        <w:ind w:firstLine="708"/>
        <w:jc w:val="both"/>
        <w:rPr>
          <w:rFonts w:cs="Times New Roman"/>
          <w:szCs w:val="24"/>
          <w:lang w:val="en-US"/>
        </w:rPr>
      </w:pPr>
      <w:r>
        <w:rPr>
          <w:rFonts w:cs="Times New Roman"/>
          <w:szCs w:val="24"/>
          <w:lang w:val="en-US"/>
        </w:rPr>
        <w:t>Radical endodontic treatments</w:t>
      </w:r>
      <w:r w:rsidR="00606405" w:rsidRPr="00F92717">
        <w:rPr>
          <w:rFonts w:cs="Times New Roman"/>
          <w:szCs w:val="24"/>
          <w:lang w:val="en-US"/>
        </w:rPr>
        <w:t xml:space="preserve"> are </w:t>
      </w:r>
      <w:r>
        <w:rPr>
          <w:rFonts w:cs="Times New Roman"/>
          <w:szCs w:val="24"/>
          <w:lang w:val="en-US"/>
        </w:rPr>
        <w:t xml:space="preserve">performed </w:t>
      </w:r>
      <w:r w:rsidR="00606405" w:rsidRPr="00F92717">
        <w:rPr>
          <w:rFonts w:cs="Times New Roman"/>
          <w:szCs w:val="24"/>
          <w:lang w:val="en-US"/>
        </w:rPr>
        <w:t xml:space="preserve">if the carious lesion has infected the pulp </w:t>
      </w:r>
      <w:r>
        <w:rPr>
          <w:rFonts w:cs="Times New Roman"/>
          <w:szCs w:val="24"/>
          <w:lang w:val="en-US"/>
        </w:rPr>
        <w:t>complex</w:t>
      </w:r>
      <w:r w:rsidR="008A71BA">
        <w:rPr>
          <w:rFonts w:cs="Times New Roman"/>
          <w:szCs w:val="24"/>
          <w:lang w:val="en-US"/>
        </w:rPr>
        <w:t xml:space="preserve">. In </w:t>
      </w:r>
      <w:r>
        <w:rPr>
          <w:rFonts w:cs="Times New Roman"/>
          <w:szCs w:val="24"/>
          <w:lang w:val="en-US"/>
        </w:rPr>
        <w:t xml:space="preserve">more serious </w:t>
      </w:r>
      <w:r w:rsidR="008A71BA">
        <w:rPr>
          <w:rFonts w:cs="Times New Roman"/>
          <w:szCs w:val="24"/>
          <w:lang w:val="en-US"/>
        </w:rPr>
        <w:t xml:space="preserve">cases, </w:t>
      </w:r>
      <w:r>
        <w:rPr>
          <w:rFonts w:cs="Times New Roman"/>
          <w:szCs w:val="24"/>
          <w:lang w:val="en-US"/>
        </w:rPr>
        <w:t>necrotic</w:t>
      </w:r>
      <w:r w:rsidR="008A71BA">
        <w:rPr>
          <w:rFonts w:cs="Times New Roman"/>
          <w:szCs w:val="24"/>
          <w:lang w:val="en-US"/>
        </w:rPr>
        <w:t xml:space="preserve"> pulp </w:t>
      </w:r>
      <w:r>
        <w:rPr>
          <w:rFonts w:cs="Times New Roman"/>
          <w:szCs w:val="24"/>
          <w:lang w:val="en-US"/>
        </w:rPr>
        <w:t xml:space="preserve">is associated with the formation of a periapical </w:t>
      </w:r>
      <w:r w:rsidR="008A71BA">
        <w:rPr>
          <w:rFonts w:cs="Times New Roman"/>
          <w:szCs w:val="24"/>
          <w:lang w:val="en-US"/>
        </w:rPr>
        <w:t>abscess</w:t>
      </w:r>
      <w:r w:rsidR="00606405" w:rsidRPr="00F92717">
        <w:rPr>
          <w:rFonts w:cs="Times New Roman"/>
          <w:szCs w:val="24"/>
          <w:lang w:val="en-US"/>
        </w:rPr>
        <w:t xml:space="preserve">. </w:t>
      </w:r>
      <w:r>
        <w:rPr>
          <w:rFonts w:cs="Times New Roman"/>
          <w:szCs w:val="24"/>
          <w:lang w:val="en-US"/>
        </w:rPr>
        <w:t>The objective of the radical endodontic treatment is to</w:t>
      </w:r>
      <w:r w:rsidR="00606405" w:rsidRPr="00F92717">
        <w:rPr>
          <w:rFonts w:cs="Times New Roman"/>
          <w:szCs w:val="24"/>
          <w:lang w:val="en-US"/>
        </w:rPr>
        <w:t xml:space="preserve"> remove the </w:t>
      </w:r>
      <w:r w:rsidR="00B8087C">
        <w:rPr>
          <w:rFonts w:cs="Times New Roman"/>
          <w:szCs w:val="24"/>
          <w:lang w:val="en-US"/>
        </w:rPr>
        <w:t>infected</w:t>
      </w:r>
      <w:r w:rsidR="00606405" w:rsidRPr="00F92717">
        <w:rPr>
          <w:rFonts w:cs="Times New Roman"/>
          <w:szCs w:val="24"/>
          <w:lang w:val="en-US"/>
        </w:rPr>
        <w:t xml:space="preserve"> pulp </w:t>
      </w:r>
      <w:r>
        <w:rPr>
          <w:rFonts w:cs="Times New Roman"/>
          <w:szCs w:val="24"/>
          <w:lang w:val="en-US"/>
        </w:rPr>
        <w:t xml:space="preserve">and open a channel of communication to deliver treatment to periapical regions where </w:t>
      </w:r>
      <w:r w:rsidR="008A71BA">
        <w:rPr>
          <w:rFonts w:cs="Times New Roman"/>
          <w:szCs w:val="24"/>
          <w:lang w:val="en-US"/>
        </w:rPr>
        <w:t>abscess</w:t>
      </w:r>
      <w:r>
        <w:rPr>
          <w:rFonts w:cs="Times New Roman"/>
          <w:szCs w:val="24"/>
          <w:lang w:val="en-US"/>
        </w:rPr>
        <w:t>es might be present</w:t>
      </w:r>
      <w:r w:rsidR="001F18F2">
        <w:rPr>
          <w:rFonts w:cs="Times New Roman"/>
          <w:szCs w:val="24"/>
          <w:lang w:val="en-US"/>
        </w:rPr>
        <w:t xml:space="preserve"> (</w:t>
      </w:r>
      <w:r w:rsidR="001F18F2">
        <w:rPr>
          <w:rFonts w:cs="Times New Roman"/>
          <w:szCs w:val="24"/>
          <w:lang w:val="en-US"/>
        </w:rPr>
        <w:fldChar w:fldCharType="begin"/>
      </w:r>
      <w:r w:rsidR="001F18F2">
        <w:rPr>
          <w:rFonts w:cs="Times New Roman"/>
          <w:szCs w:val="24"/>
          <w:lang w:val="en-US"/>
        </w:rPr>
        <w:instrText xml:space="preserve"> REF _Ref45571891 \h </w:instrText>
      </w:r>
      <w:r w:rsidR="00413D6B">
        <w:rPr>
          <w:rFonts w:cs="Times New Roman"/>
          <w:szCs w:val="24"/>
          <w:lang w:val="en-US"/>
        </w:rPr>
        <w:instrText xml:space="preserve"> \* MERGEFORMAT </w:instrText>
      </w:r>
      <w:r w:rsidR="001F18F2">
        <w:rPr>
          <w:rFonts w:cs="Times New Roman"/>
          <w:szCs w:val="24"/>
          <w:lang w:val="en-US"/>
        </w:rPr>
      </w:r>
      <w:r w:rsidR="001F18F2">
        <w:rPr>
          <w:rFonts w:cs="Times New Roman"/>
          <w:szCs w:val="24"/>
          <w:lang w:val="en-US"/>
        </w:rPr>
        <w:fldChar w:fldCharType="separate"/>
      </w:r>
      <w:r w:rsidR="0008188F" w:rsidRPr="001F18F2">
        <w:rPr>
          <w:lang w:val="en-US"/>
        </w:rPr>
        <w:t xml:space="preserve">Figure </w:t>
      </w:r>
      <w:r w:rsidR="0008188F">
        <w:rPr>
          <w:noProof/>
          <w:lang w:val="en-US"/>
        </w:rPr>
        <w:t>3</w:t>
      </w:r>
      <w:r w:rsidR="001F18F2">
        <w:rPr>
          <w:rFonts w:cs="Times New Roman"/>
          <w:szCs w:val="24"/>
          <w:lang w:val="en-US"/>
        </w:rPr>
        <w:fldChar w:fldCharType="end"/>
      </w:r>
      <w:r w:rsidR="001F18F2">
        <w:rPr>
          <w:rFonts w:cs="Times New Roman"/>
          <w:szCs w:val="24"/>
          <w:lang w:val="en-US"/>
        </w:rPr>
        <w:t>)</w:t>
      </w:r>
      <w:r w:rsidR="00B8087C">
        <w:rPr>
          <w:rFonts w:cs="Times New Roman"/>
          <w:szCs w:val="24"/>
          <w:lang w:val="en-US"/>
        </w:rPr>
        <w:t xml:space="preserve">. </w:t>
      </w:r>
      <w:r w:rsidR="00444715">
        <w:rPr>
          <w:rFonts w:cs="Times New Roman"/>
          <w:szCs w:val="24"/>
          <w:lang w:val="en-US"/>
        </w:rPr>
        <w:t xml:space="preserve">After the infection has been successfully treated, a permanent obturation material (gutta percha) in place to obliterate the entire root canal space. </w:t>
      </w:r>
      <w:r w:rsidR="00B8087C">
        <w:rPr>
          <w:rFonts w:cs="Times New Roman"/>
          <w:szCs w:val="24"/>
          <w:lang w:val="en-US"/>
        </w:rPr>
        <w:t xml:space="preserve">The </w:t>
      </w:r>
      <w:r w:rsidR="00444715">
        <w:rPr>
          <w:rFonts w:cs="Times New Roman"/>
          <w:szCs w:val="24"/>
          <w:lang w:val="en-US"/>
        </w:rPr>
        <w:t>clinical crown of the</w:t>
      </w:r>
      <w:r w:rsidR="00B8087C">
        <w:rPr>
          <w:rFonts w:cs="Times New Roman"/>
          <w:szCs w:val="24"/>
          <w:lang w:val="en-US"/>
        </w:rPr>
        <w:t xml:space="preserve"> tooth is</w:t>
      </w:r>
      <w:r w:rsidR="00444715">
        <w:rPr>
          <w:rFonts w:cs="Times New Roman"/>
          <w:szCs w:val="24"/>
          <w:lang w:val="en-US"/>
        </w:rPr>
        <w:t xml:space="preserve"> then</w:t>
      </w:r>
      <w:r w:rsidR="00B8087C">
        <w:rPr>
          <w:rFonts w:cs="Times New Roman"/>
          <w:szCs w:val="24"/>
          <w:lang w:val="en-US"/>
        </w:rPr>
        <w:t xml:space="preserve"> filled with</w:t>
      </w:r>
      <w:r w:rsidR="00444715">
        <w:rPr>
          <w:rFonts w:cs="Times New Roman"/>
          <w:szCs w:val="24"/>
          <w:lang w:val="en-US"/>
        </w:rPr>
        <w:t xml:space="preserve"> a direct or indirect restorative material with or without the utilization of an intracanal</w:t>
      </w:r>
      <w:r w:rsidR="00B8087C">
        <w:rPr>
          <w:rFonts w:cs="Times New Roman"/>
          <w:szCs w:val="24"/>
          <w:lang w:val="en-US"/>
        </w:rPr>
        <w:t xml:space="preserve"> post </w:t>
      </w:r>
      <w:r w:rsidR="00444715">
        <w:rPr>
          <w:rFonts w:cs="Times New Roman"/>
          <w:szCs w:val="24"/>
          <w:lang w:val="en-US"/>
        </w:rPr>
        <w:t xml:space="preserve">used </w:t>
      </w:r>
      <w:r w:rsidR="00B8087C">
        <w:rPr>
          <w:rFonts w:cs="Times New Roman"/>
          <w:szCs w:val="24"/>
          <w:lang w:val="en-US"/>
        </w:rPr>
        <w:t>for structural support. Then a crown is cemented onto the</w:t>
      </w:r>
      <w:r w:rsidR="00554C0D">
        <w:rPr>
          <w:rFonts w:cs="Times New Roman"/>
          <w:szCs w:val="24"/>
          <w:lang w:val="en-US"/>
        </w:rPr>
        <w:t xml:space="preserve"> core fabricated and the anatomy and esthetics of the</w:t>
      </w:r>
      <w:r w:rsidR="00B8087C">
        <w:rPr>
          <w:rFonts w:cs="Times New Roman"/>
          <w:szCs w:val="24"/>
          <w:lang w:val="en-US"/>
        </w:rPr>
        <w:t xml:space="preserve"> rebuilt tooth.</w:t>
      </w:r>
      <w:r w:rsidR="00C317EE">
        <w:rPr>
          <w:rFonts w:cs="Times New Roman"/>
          <w:szCs w:val="24"/>
          <w:lang w:val="en-US"/>
        </w:rPr>
        <w:t xml:space="preserve"> Adhesive is used to fill the gaps to prevent bacteria from infiltration the tooth again.</w:t>
      </w:r>
    </w:p>
    <w:p w14:paraId="38124087" w14:textId="0D546A55" w:rsidR="00420F2C" w:rsidRDefault="00562572" w:rsidP="00903D53">
      <w:pPr>
        <w:autoSpaceDE w:val="0"/>
        <w:autoSpaceDN w:val="0"/>
        <w:adjustRightInd w:val="0"/>
        <w:spacing w:after="0" w:line="480" w:lineRule="auto"/>
        <w:jc w:val="both"/>
        <w:rPr>
          <w:rFonts w:cs="Times New Roman"/>
          <w:szCs w:val="24"/>
          <w:lang w:val="en-US"/>
        </w:rPr>
      </w:pPr>
      <w:r w:rsidRPr="00562572">
        <w:rPr>
          <w:rFonts w:cs="Times New Roman"/>
          <w:noProof/>
          <w:szCs w:val="24"/>
          <w:lang w:val="en-US"/>
        </w:rPr>
        <w:drawing>
          <wp:inline distT="0" distB="0" distL="0" distR="0" wp14:anchorId="7A7FFC64" wp14:editId="1217456D">
            <wp:extent cx="5264150" cy="1290586"/>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594" r="1851"/>
                    <a:stretch/>
                  </pic:blipFill>
                  <pic:spPr bwMode="auto">
                    <a:xfrm>
                      <a:off x="0" y="0"/>
                      <a:ext cx="5296196" cy="1298443"/>
                    </a:xfrm>
                    <a:prstGeom prst="rect">
                      <a:avLst/>
                    </a:prstGeom>
                    <a:ln>
                      <a:noFill/>
                    </a:ln>
                    <a:extLst>
                      <a:ext uri="{53640926-AAD7-44D8-BBD7-CCE9431645EC}">
                        <a14:shadowObscured xmlns:a14="http://schemas.microsoft.com/office/drawing/2010/main"/>
                      </a:ext>
                    </a:extLst>
                  </pic:spPr>
                </pic:pic>
              </a:graphicData>
            </a:graphic>
          </wp:inline>
        </w:drawing>
      </w:r>
    </w:p>
    <w:p w14:paraId="2A743DEA" w14:textId="083A3297" w:rsidR="001F18F2" w:rsidRDefault="001F18F2">
      <w:pPr>
        <w:pStyle w:val="Caption"/>
        <w:rPr>
          <w:rFonts w:cs="Times New Roman"/>
          <w:szCs w:val="24"/>
          <w:lang w:val="en-US"/>
        </w:rPr>
      </w:pPr>
      <w:bookmarkStart w:id="10" w:name="_Ref45571891"/>
      <w:bookmarkStart w:id="11" w:name="_Toc45837574"/>
      <w:r w:rsidRPr="001F18F2">
        <w:rPr>
          <w:lang w:val="en-US"/>
        </w:rPr>
        <w:t xml:space="preserve">Figure </w:t>
      </w:r>
      <w:r>
        <w:fldChar w:fldCharType="begin"/>
      </w:r>
      <w:r w:rsidRPr="001F18F2">
        <w:rPr>
          <w:lang w:val="en-US"/>
        </w:rPr>
        <w:instrText xml:space="preserve"> SEQ Figure \* ARABIC </w:instrText>
      </w:r>
      <w:r>
        <w:fldChar w:fldCharType="separate"/>
      </w:r>
      <w:r w:rsidR="0008188F">
        <w:rPr>
          <w:noProof/>
          <w:lang w:val="en-US"/>
        </w:rPr>
        <w:t>3</w:t>
      </w:r>
      <w:r>
        <w:fldChar w:fldCharType="end"/>
      </w:r>
      <w:bookmarkEnd w:id="10"/>
      <w:r w:rsidRPr="001F18F2">
        <w:rPr>
          <w:rFonts w:cs="Times New Roman"/>
          <w:szCs w:val="24"/>
          <w:lang w:val="en-US"/>
        </w:rPr>
        <w:t xml:space="preserve"> </w:t>
      </w:r>
      <w:r>
        <w:rPr>
          <w:rFonts w:cs="Times New Roman"/>
          <w:szCs w:val="24"/>
          <w:lang w:val="en-US"/>
        </w:rPr>
        <w:t>– Diagram of root canal</w:t>
      </w:r>
      <w:bookmarkEnd w:id="11"/>
    </w:p>
    <w:p w14:paraId="2EF7C0C2" w14:textId="705C1F81" w:rsidR="00420F2C" w:rsidRDefault="007C2C9D" w:rsidP="00903D53">
      <w:pPr>
        <w:autoSpaceDE w:val="0"/>
        <w:autoSpaceDN w:val="0"/>
        <w:adjustRightInd w:val="0"/>
        <w:spacing w:after="0" w:line="240" w:lineRule="auto"/>
        <w:jc w:val="both"/>
        <w:rPr>
          <w:rFonts w:cs="Times New Roman"/>
          <w:szCs w:val="24"/>
          <w:lang w:val="en-US"/>
        </w:rPr>
      </w:pPr>
      <w:r>
        <w:rPr>
          <w:rFonts w:cs="Times New Roman"/>
          <w:szCs w:val="24"/>
          <w:lang w:val="en-US"/>
        </w:rPr>
        <w:t xml:space="preserve">1) </w:t>
      </w:r>
      <w:r w:rsidR="00B57D17">
        <w:rPr>
          <w:rFonts w:cs="Times New Roman"/>
          <w:szCs w:val="24"/>
          <w:lang w:val="en-US"/>
        </w:rPr>
        <w:t>Decayed t</w:t>
      </w:r>
      <w:r>
        <w:rPr>
          <w:rFonts w:cs="Times New Roman"/>
          <w:szCs w:val="24"/>
          <w:lang w:val="en-US"/>
        </w:rPr>
        <w:t>ooth with</w:t>
      </w:r>
      <w:r w:rsidR="00B57D17">
        <w:rPr>
          <w:rFonts w:cs="Times New Roman"/>
          <w:szCs w:val="24"/>
          <w:lang w:val="en-US"/>
        </w:rPr>
        <w:t xml:space="preserve"> opening experiencing</w:t>
      </w:r>
      <w:r>
        <w:rPr>
          <w:rFonts w:cs="Times New Roman"/>
          <w:szCs w:val="24"/>
          <w:lang w:val="en-US"/>
        </w:rPr>
        <w:t xml:space="preserve"> </w:t>
      </w:r>
      <w:r w:rsidR="00B57D17">
        <w:rPr>
          <w:rFonts w:cs="Times New Roman"/>
          <w:szCs w:val="24"/>
          <w:lang w:val="en-US"/>
        </w:rPr>
        <w:t>infected pulp and abscess. 2) Opening is drilled in tooth. 3) A file is used to remove infected pulp</w:t>
      </w:r>
      <w:r w:rsidR="00C317EE">
        <w:rPr>
          <w:rFonts w:cs="Times New Roman"/>
          <w:szCs w:val="24"/>
          <w:lang w:val="en-US"/>
        </w:rPr>
        <w:t xml:space="preserve"> and clean the tooth</w:t>
      </w:r>
      <w:r w:rsidR="00B57D17">
        <w:rPr>
          <w:rFonts w:cs="Times New Roman"/>
          <w:szCs w:val="24"/>
          <w:lang w:val="en-US"/>
        </w:rPr>
        <w:t>. 4) The open cavity f</w:t>
      </w:r>
      <w:r w:rsidR="00C317EE">
        <w:rPr>
          <w:rFonts w:cs="Times New Roman"/>
          <w:szCs w:val="24"/>
          <w:lang w:val="en-US"/>
        </w:rPr>
        <w:t>rom</w:t>
      </w:r>
      <w:r w:rsidR="00B57D17">
        <w:rPr>
          <w:rFonts w:cs="Times New Roman"/>
          <w:szCs w:val="24"/>
          <w:lang w:val="en-US"/>
        </w:rPr>
        <w:t xml:space="preserve"> the </w:t>
      </w:r>
      <w:r w:rsidR="00C317EE">
        <w:rPr>
          <w:rFonts w:cs="Times New Roman"/>
          <w:szCs w:val="24"/>
          <w:lang w:val="en-US"/>
        </w:rPr>
        <w:t xml:space="preserve">removed infected </w:t>
      </w:r>
      <w:r w:rsidR="00B57D17">
        <w:rPr>
          <w:rFonts w:cs="Times New Roman"/>
          <w:szCs w:val="24"/>
          <w:lang w:val="en-US"/>
        </w:rPr>
        <w:t xml:space="preserve">pulp is filled with gutta-percha rubber and a crown is </w:t>
      </w:r>
      <w:r w:rsidR="00C317EE">
        <w:rPr>
          <w:rFonts w:cs="Times New Roman"/>
          <w:szCs w:val="24"/>
          <w:lang w:val="en-US"/>
        </w:rPr>
        <w:t>cemented</w:t>
      </w:r>
      <w:r w:rsidR="00B57D17">
        <w:rPr>
          <w:rFonts w:cs="Times New Roman"/>
          <w:szCs w:val="24"/>
          <w:lang w:val="en-US"/>
        </w:rPr>
        <w:t xml:space="preserve"> over the opening.</w:t>
      </w:r>
    </w:p>
    <w:p w14:paraId="4DD6B009" w14:textId="77777777" w:rsidR="00B57D17" w:rsidRPr="007C2C9D" w:rsidRDefault="00B57D17" w:rsidP="00903D53">
      <w:pPr>
        <w:autoSpaceDE w:val="0"/>
        <w:autoSpaceDN w:val="0"/>
        <w:adjustRightInd w:val="0"/>
        <w:spacing w:after="0" w:line="240" w:lineRule="auto"/>
        <w:jc w:val="both"/>
        <w:rPr>
          <w:rFonts w:cs="Times New Roman"/>
          <w:szCs w:val="24"/>
          <w:lang w:val="en-US"/>
        </w:rPr>
      </w:pPr>
    </w:p>
    <w:p w14:paraId="0C6A44F5" w14:textId="6827BBF2" w:rsidR="00415269" w:rsidRDefault="00B8087C" w:rsidP="00903D53">
      <w:pPr>
        <w:autoSpaceDE w:val="0"/>
        <w:autoSpaceDN w:val="0"/>
        <w:adjustRightInd w:val="0"/>
        <w:spacing w:after="0" w:line="480" w:lineRule="auto"/>
        <w:ind w:firstLine="708"/>
        <w:jc w:val="both"/>
        <w:rPr>
          <w:rFonts w:cs="Times New Roman"/>
          <w:szCs w:val="24"/>
          <w:lang w:val="en-US"/>
        </w:rPr>
      </w:pPr>
      <w:r w:rsidRPr="00F92717">
        <w:rPr>
          <w:rFonts w:cs="Times New Roman"/>
          <w:szCs w:val="24"/>
          <w:lang w:val="en-US"/>
        </w:rPr>
        <w:t>The treatment for the most severe case of carious lesion is extraction of the complete tooth.</w:t>
      </w:r>
      <w:r w:rsidR="00EA0250">
        <w:rPr>
          <w:rFonts w:cs="Times New Roman"/>
          <w:szCs w:val="24"/>
          <w:lang w:val="en-US"/>
        </w:rPr>
        <w:t xml:space="preserve"> In these cases, a dental implant or a partial prosthesis (removable or fixed) is then fabricated to restore the function of the lost tooth while maintaining the horizontal and vertical relationships between teeth and arches.</w:t>
      </w:r>
      <w:r w:rsidRPr="00F92717">
        <w:rPr>
          <w:rFonts w:cs="Times New Roman"/>
          <w:szCs w:val="24"/>
          <w:lang w:val="en-US"/>
        </w:rPr>
        <w:t xml:space="preserve"> </w:t>
      </w:r>
      <w:r w:rsidR="00606405" w:rsidRPr="00F92717">
        <w:rPr>
          <w:rFonts w:cs="Times New Roman"/>
          <w:szCs w:val="24"/>
          <w:lang w:val="en-US"/>
        </w:rPr>
        <w:t>A</w:t>
      </w:r>
      <w:r w:rsidR="00EA0250">
        <w:rPr>
          <w:rFonts w:cs="Times New Roman"/>
          <w:szCs w:val="24"/>
          <w:lang w:val="en-US"/>
        </w:rPr>
        <w:t xml:space="preserve"> fixed partial prosthesis can be used to restore one or more missing teeth (known as pontics). To that end, the abutment teeth adjacent to the space left by the lost tooth (or teeth) are then prepared using high-speed turbines and different types of diamond burs under copious air/water irrigation to prevent any iatrogenic injuries.</w:t>
      </w:r>
      <w:r w:rsidR="00606405" w:rsidRPr="00F92717">
        <w:rPr>
          <w:rFonts w:cs="Times New Roman"/>
          <w:szCs w:val="24"/>
          <w:lang w:val="en-US"/>
        </w:rPr>
        <w:t xml:space="preserve"> </w:t>
      </w:r>
      <w:r w:rsidR="00EA0250">
        <w:rPr>
          <w:rFonts w:cs="Times New Roman"/>
          <w:szCs w:val="24"/>
          <w:lang w:val="en-US"/>
        </w:rPr>
        <w:t>The treatment-planned preparations are designed specifically to meet the requirements of the restorative material of choice (metal, metal-ceramic or full-ceramic)</w:t>
      </w:r>
      <w:r w:rsidR="005D7255">
        <w:rPr>
          <w:rFonts w:cs="Times New Roman"/>
          <w:szCs w:val="24"/>
          <w:lang w:val="en-US"/>
        </w:rPr>
        <w:t>. After that, the extra-orally fabricated crowns and attached pontics are then cemented onto the abutment teeth using an appropriate dental cement (glass ionomer, zinc oxide and eugenol, etc.)</w:t>
      </w:r>
      <w:r w:rsidR="005D7255" w:rsidDel="005D7255">
        <w:rPr>
          <w:rFonts w:cs="Times New Roman"/>
          <w:szCs w:val="24"/>
          <w:lang w:val="en-US"/>
        </w:rPr>
        <w:t xml:space="preserve"> </w:t>
      </w:r>
      <w:r w:rsidR="005D7255">
        <w:rPr>
          <w:rFonts w:cs="Times New Roman"/>
          <w:szCs w:val="24"/>
          <w:lang w:val="en-US"/>
        </w:rPr>
        <w:t>to fully restore the function and esthetics of the tissues lost to caries</w:t>
      </w:r>
      <w:r w:rsidR="001F18F2">
        <w:rPr>
          <w:rFonts w:cs="Times New Roman"/>
          <w:szCs w:val="24"/>
          <w:lang w:val="en-US"/>
        </w:rPr>
        <w:t xml:space="preserve"> (</w:t>
      </w:r>
      <w:r w:rsidR="001F18F2">
        <w:rPr>
          <w:rFonts w:cs="Times New Roman"/>
          <w:szCs w:val="24"/>
          <w:lang w:val="en-US"/>
        </w:rPr>
        <w:fldChar w:fldCharType="begin"/>
      </w:r>
      <w:r w:rsidR="001F18F2">
        <w:rPr>
          <w:rFonts w:cs="Times New Roman"/>
          <w:szCs w:val="24"/>
          <w:lang w:val="en-US"/>
        </w:rPr>
        <w:instrText xml:space="preserve"> REF _Ref45572009 \h </w:instrText>
      </w:r>
      <w:r w:rsidR="00413D6B">
        <w:rPr>
          <w:rFonts w:cs="Times New Roman"/>
          <w:szCs w:val="24"/>
          <w:lang w:val="en-US"/>
        </w:rPr>
        <w:instrText xml:space="preserve"> \* MERGEFORMAT </w:instrText>
      </w:r>
      <w:r w:rsidR="001F18F2">
        <w:rPr>
          <w:rFonts w:cs="Times New Roman"/>
          <w:szCs w:val="24"/>
          <w:lang w:val="en-US"/>
        </w:rPr>
      </w:r>
      <w:r w:rsidR="001F18F2">
        <w:rPr>
          <w:rFonts w:cs="Times New Roman"/>
          <w:szCs w:val="24"/>
          <w:lang w:val="en-US"/>
        </w:rPr>
        <w:fldChar w:fldCharType="separate"/>
      </w:r>
      <w:r w:rsidR="0008188F" w:rsidRPr="001F18F2">
        <w:rPr>
          <w:lang w:val="en-US"/>
        </w:rPr>
        <w:t xml:space="preserve">Figure </w:t>
      </w:r>
      <w:r w:rsidR="0008188F">
        <w:rPr>
          <w:noProof/>
          <w:lang w:val="en-US"/>
        </w:rPr>
        <w:t>4</w:t>
      </w:r>
      <w:r w:rsidR="001F18F2">
        <w:rPr>
          <w:rFonts w:cs="Times New Roman"/>
          <w:szCs w:val="24"/>
          <w:lang w:val="en-US"/>
        </w:rPr>
        <w:fldChar w:fldCharType="end"/>
      </w:r>
      <w:r w:rsidR="001F18F2">
        <w:rPr>
          <w:rFonts w:cs="Times New Roman"/>
          <w:szCs w:val="24"/>
          <w:lang w:val="en-US"/>
        </w:rPr>
        <w:t>)</w:t>
      </w:r>
      <w:r w:rsidR="00415269" w:rsidRPr="009351C2">
        <w:rPr>
          <w:rFonts w:cs="Times New Roman"/>
          <w:szCs w:val="24"/>
          <w:lang w:val="en-US"/>
        </w:rPr>
        <w:t>.</w:t>
      </w:r>
      <w:r w:rsidR="00415269">
        <w:rPr>
          <w:rFonts w:cs="Times New Roman"/>
          <w:szCs w:val="24"/>
          <w:lang w:val="en-US"/>
        </w:rPr>
        <w:t xml:space="preserve"> </w:t>
      </w:r>
    </w:p>
    <w:p w14:paraId="36F8C73B" w14:textId="727997E2" w:rsidR="00415269" w:rsidRDefault="00670596" w:rsidP="00413D6B">
      <w:pPr>
        <w:spacing w:after="0" w:line="480" w:lineRule="auto"/>
        <w:ind w:firstLine="708"/>
        <w:jc w:val="both"/>
        <w:rPr>
          <w:rFonts w:cs="Times New Roman"/>
          <w:i/>
          <w:iCs/>
          <w:u w:val="single"/>
          <w:lang w:val="en-US"/>
        </w:rPr>
      </w:pPr>
      <w:r>
        <w:rPr>
          <w:rFonts w:cs="Times New Roman"/>
          <w:szCs w:val="24"/>
          <w:lang w:val="en-US"/>
        </w:rPr>
        <w:t>Endosteal dental</w:t>
      </w:r>
      <w:r w:rsidRPr="009351C2">
        <w:rPr>
          <w:rFonts w:cs="Times New Roman"/>
          <w:szCs w:val="24"/>
          <w:lang w:val="en-US"/>
        </w:rPr>
        <w:t xml:space="preserve"> </w:t>
      </w:r>
      <w:r w:rsidR="00415269" w:rsidRPr="009351C2">
        <w:rPr>
          <w:rFonts w:cs="Times New Roman"/>
          <w:szCs w:val="24"/>
          <w:lang w:val="en-US"/>
        </w:rPr>
        <w:t>implants are one of the most efficient and functional methods</w:t>
      </w:r>
      <w:r>
        <w:rPr>
          <w:rFonts w:cs="Times New Roman"/>
          <w:szCs w:val="24"/>
          <w:lang w:val="en-US"/>
        </w:rPr>
        <w:t xml:space="preserve"> to restore teeth because they are capable to fully restore the masticatory function of the lost teeth and have been demonstrated to have long-term service lives and high levels of clinical success</w:t>
      </w:r>
      <w:r w:rsidR="00415269" w:rsidRPr="009351C2">
        <w:rPr>
          <w:rFonts w:cs="Times New Roman"/>
          <w:szCs w:val="24"/>
          <w:lang w:val="en-US"/>
        </w:rPr>
        <w:t xml:space="preserve">. </w:t>
      </w:r>
      <w:r>
        <w:rPr>
          <w:rFonts w:cs="Times New Roman"/>
          <w:szCs w:val="24"/>
          <w:lang w:val="en-US"/>
        </w:rPr>
        <w:t>The implant fixture made of a commercially pure titanium alloys in placed (friction fit or screwed in) the maxillary or mandibular bones. Despite favorable clinical reports and wide spread acceptance by clinicians and patients, recent studies have demonstrated that titanium alloys tend to release ions of vanadium and aluminum that have been correlated with local and systemic inflammation, Al</w:t>
      </w:r>
      <w:r w:rsidR="0092289E">
        <w:rPr>
          <w:rFonts w:cs="Times New Roman"/>
          <w:szCs w:val="24"/>
          <w:lang w:val="en-US"/>
        </w:rPr>
        <w:t>zheimer disease and dementia. In addition, the mismatch between the Young’s modulus of bone (~70 MPa) and the implant fixture (~110 MPa) promotes the death of periphery cells by a stress-shielding mechanism, which impacts implants’ primary stability and leads to the critical failure of the placed implants.</w:t>
      </w:r>
      <w:r w:rsidR="00415269">
        <w:rPr>
          <w:rFonts w:cs="Times New Roman"/>
          <w:szCs w:val="24"/>
          <w:lang w:val="en-US"/>
        </w:rPr>
        <w:fldChar w:fldCharType="begin" w:fldLock="1"/>
      </w:r>
      <w:r w:rsidR="004871C8">
        <w:rPr>
          <w:rFonts w:cs="Times New Roman"/>
          <w:szCs w:val="24"/>
          <w:lang w:val="en-US"/>
        </w:rPr>
        <w:instrText>ADDIN CSL_CITATION {"citationItems":[{"id":"ITEM-1","itemData":{"DOI":"10.1016/j.archoralbio.2013.11.005","ISBN":"1879-1506 (Electronic)\r0003-9969 (Linking)","PMID":"24370187","abstract":"In recent years, scientists in almost every medical sector moved the focus to tissue transplantation and stem cell-based therapies for organ and tissue regeneration. In dentistry, it is of great interest in this regard to restore natural teeth with the help of stem cell-based regeneration of soft tissues and hard tooth structures. Many studies have been published in which structures resembling teeth were constructed using stem cells. In most of these studies, carrier materials (scaffolds) were used, which were colonized with cells and then implanted into an animal. Apart from this, scaffold-free approaches based on cell aggregation have also been published. Although animal studies on tooth regeneration have been very promising, much more research is needed until this can be applied in human.","author":[{"dropping-particle":"","family":"Steindorff","given":"M M","non-dropping-particle":"","parse-names":false,"suffix":""},{"dropping-particle":"","family":"Lehl","given":"H","non-dropping-particle":"","parse-names":false,"suffix":""},{"dropping-particle":"","family":"Winkel","given":"A","non-dropping-particle":"","parse-names":false,"suffix":""},{"dropping-particle":"","family":"Stiesch","given":"M","non-dropping-particle":"","parse-names":false,"suffix":""}],"container-title":"Arch Oral Biol","edition":"2013/12/29","id":"ITEM-1","issue":"2","issued":{"date-parts":[["2014"]]},"note":"Steindorff, Marina M\nLehl, Helena\nWinkel, Andreas\nStiesch, Meike\neng\nReview\nEngland\nArch Oral Biol. 2014 Feb;59(2):158-66. doi: 10.1016/j.archoralbio.2013.11.005. Epub 2013 Nov 18.","page":"158-166","title":"Innovative approaches to regenerate teeth by tissue engineering","type":"article-journal","volume":"59"},"uris":["http://www.mendeley.com/documents/?uuid=491142d3-c75b-4dd9-94fa-19179dbbb75f"]},{"id":"ITEM-2","itemData":{"DOI":"10.1007/s10266-012-0087-9","ISBN":"1618-1255 (Electronic)\r1618-1247 (Linking)","PMID":"23011475","abstract":"In stem cell-based dental tissue engineering, the goal is to create tooth-like structures using scaffold materials to guide the dental stem cells. In this study, the effect of fiber alignment and hydroxyapatite content in biodegradable electrospun PLGA scaffolds have been investigated. Fiber orientation of the scaffolds was random or aligned in bundles. For scaffolds with prefabricated orientation, scaffolds were fabricated from PLGA polymer solution containing 0, 10 or 20 % nano-hydroxyapatite. The scaffolds were seeded with porcine cells isolated from tooth buds (dental mesenchymal, dental epithelial, and mixed dental mesenchymal/epithelial cells). Samples were collected at 1, 3 and 6 weeks. Analyses were performed for cell proliferation, ALP activity, and cell morphology. Fiber alignment showed an effect on cell orientation in the first week after cell seeding, but had no long-term effect on cell alignment or organized calcified matrix deposition once the cells reach confluency. Scaffold porosity was sufficient to allow migration of mesenchymal cells. Hydroxyapatite incorporation did not have a positive effect on cell proliferation, especially of epithelial cells, but seemed to promote differentiation. Concluding, scaffold architecture is important to mesenchymal cell morphology, but has no long-term effect on cell alignment or organized ECM deposition. nHA incorporation does have an effect on cell proliferation, differentiation and ECM production, and should be regarded as a bioactive component of dental bioengineered scaffolds.","author":[{"dropping-particle":"","family":"Manen","given":"E H","non-dropping-particle":"van","parse-names":false,"suffix":""},{"dropping-particle":"","family":"Zhang","given":"W","non-dropping-particle":"","parse-names":false,"suffix":""},{"dropping-particle":"","family":"Walboomers","given":"X F","non-dropping-particle":"","parse-names":false,"suffix":""},{"dropping-particle":"","family":"Vazquez","given":"B","non-dropping-particle":"","parse-names":false,"suffix":""},{"dropping-particle":"","family":"Yang","given":"F","non-dropping-particle":"","parse-names":false,"suffix":""},{"dropping-particle":"","family":"Ji","given":"W","non-dropping-particle":"","parse-names":false,"suffix":""},{"dropping-particle":"","family":"Yu","given":"N","non-dropping-particle":"","parse-names":false,"suffix":""},{"dropping-particle":"","family":"Spear","given":"D J","non-dropping-particle":"","parse-names":false,"suffix":""},{"dropping-particle":"","family":"Jansen","given":"J A","non-dropping-particle":"","parse-names":false,"suffix":""},{"dropping-particle":"","family":"Yelick","given":"P C","non-dropping-particle":"","parse-names":false,"suffix":""}],"container-title":"Odontology","edition":"2012/09/27","id":"ITEM-2","issue":"1","issued":{"date-parts":[["2014"]]},"note":"van Manen, Elisabeth H C\nZhang, Weibo\nWalboomers, X Frank\nVazquez, Betsy\nYang, Fang\nJi, Wei\nYu, Na\nSpear, Daisy J\nJansen, John A\nYelick, Pamela C\neng\nR01 DE016132/DE/NIDCR NIH HHS/\nDE016132-06/DE/NIDCR NIH HHS/\nResearch Support, N.I.H., Extramural\nJapan\nOdontology. 2014 Jan;102(1):14-21. doi: 10.1007/s10266-012-0087-9. Epub 2012 Sep 26.","page":"14-21","title":"The influence of electrospun fibre scaffold orientation and nano-hydroxyapatite content on the development of tooth bud stem cells in vitro","type":"article-journal","volume":"102"},"uris":["http://www.mendeley.com/documents/?uuid=68a86ecc-87ed-4745-ad28-f9cb20c39439"]}],"mendeley":{"formattedCitation":"&lt;sup&gt;9,10&lt;/sup&gt;","plainTextFormattedCitation":"9,10","previouslyFormattedCitation":"&lt;sup&gt;9,10&lt;/sup&gt;"},"properties":{"noteIndex":0},"schema":"https://github.com/citation-style-language/schema/raw/master/csl-citation.json"}</w:instrText>
      </w:r>
      <w:r w:rsidR="00415269">
        <w:rPr>
          <w:rFonts w:cs="Times New Roman"/>
          <w:szCs w:val="24"/>
          <w:lang w:val="en-US"/>
        </w:rPr>
        <w:fldChar w:fldCharType="separate"/>
      </w:r>
      <w:r w:rsidR="00B01517" w:rsidRPr="00B01517">
        <w:rPr>
          <w:rFonts w:cs="Times New Roman"/>
          <w:noProof/>
          <w:szCs w:val="24"/>
          <w:vertAlign w:val="superscript"/>
          <w:lang w:val="en-US"/>
        </w:rPr>
        <w:t>9,10</w:t>
      </w:r>
      <w:r w:rsidR="00415269">
        <w:rPr>
          <w:rFonts w:cs="Times New Roman"/>
          <w:szCs w:val="24"/>
          <w:lang w:val="en-US"/>
        </w:rPr>
        <w:fldChar w:fldCharType="end"/>
      </w:r>
      <w:r w:rsidR="009C035F">
        <w:rPr>
          <w:rFonts w:cs="Times New Roman"/>
          <w:szCs w:val="24"/>
          <w:lang w:val="en-US"/>
        </w:rPr>
        <w:t>.</w:t>
      </w:r>
      <w:r w:rsidR="00415269">
        <w:rPr>
          <w:rFonts w:cs="Times New Roman"/>
          <w:szCs w:val="24"/>
          <w:lang w:val="en-US"/>
        </w:rPr>
        <w:t xml:space="preserve"> </w:t>
      </w:r>
    </w:p>
    <w:p w14:paraId="5006C37D" w14:textId="1B0F29D4" w:rsidR="00606405" w:rsidRPr="00B57D17" w:rsidRDefault="00001399" w:rsidP="00413D6B">
      <w:pPr>
        <w:spacing w:after="0" w:line="480" w:lineRule="auto"/>
        <w:jc w:val="both"/>
        <w:rPr>
          <w:rFonts w:cs="Times New Roman"/>
          <w:lang w:val="en-US"/>
        </w:rPr>
      </w:pPr>
      <w:r>
        <w:rPr>
          <w:rFonts w:cs="Times New Roman"/>
          <w:noProof/>
          <w:lang w:val="en-US"/>
        </w:rPr>
        <w:drawing>
          <wp:inline distT="0" distB="0" distL="0" distR="0" wp14:anchorId="372EA3C7" wp14:editId="3B29A3D6">
            <wp:extent cx="5184798" cy="3225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91806" cy="3230160"/>
                    </a:xfrm>
                    <a:prstGeom prst="rect">
                      <a:avLst/>
                    </a:prstGeom>
                    <a:noFill/>
                  </pic:spPr>
                </pic:pic>
              </a:graphicData>
            </a:graphic>
          </wp:inline>
        </w:drawing>
      </w:r>
    </w:p>
    <w:p w14:paraId="617092C9" w14:textId="129AF73D" w:rsidR="001F18F2" w:rsidRDefault="001F18F2">
      <w:pPr>
        <w:pStyle w:val="Caption"/>
        <w:rPr>
          <w:rFonts w:cs="Times New Roman"/>
          <w:lang w:val="en-US"/>
        </w:rPr>
      </w:pPr>
      <w:bookmarkStart w:id="12" w:name="_Ref45572009"/>
      <w:bookmarkStart w:id="13" w:name="_Toc45837575"/>
      <w:r w:rsidRPr="001F18F2">
        <w:rPr>
          <w:lang w:val="en-US"/>
        </w:rPr>
        <w:t xml:space="preserve">Figure </w:t>
      </w:r>
      <w:r>
        <w:fldChar w:fldCharType="begin"/>
      </w:r>
      <w:r w:rsidRPr="001F18F2">
        <w:rPr>
          <w:lang w:val="en-US"/>
        </w:rPr>
        <w:instrText xml:space="preserve"> SEQ Figure \* ARABIC </w:instrText>
      </w:r>
      <w:r>
        <w:fldChar w:fldCharType="separate"/>
      </w:r>
      <w:r w:rsidR="0008188F">
        <w:rPr>
          <w:noProof/>
          <w:lang w:val="en-US"/>
        </w:rPr>
        <w:t>4</w:t>
      </w:r>
      <w:r>
        <w:fldChar w:fldCharType="end"/>
      </w:r>
      <w:bookmarkEnd w:id="12"/>
      <w:r>
        <w:rPr>
          <w:rFonts w:cs="Times New Roman"/>
          <w:lang w:val="en-US"/>
        </w:rPr>
        <w:t xml:space="preserve"> – Diagram of bridge restoration</w:t>
      </w:r>
      <w:bookmarkEnd w:id="13"/>
    </w:p>
    <w:p w14:paraId="74C91A44" w14:textId="01D56453" w:rsidR="00415269" w:rsidRPr="00B57D17" w:rsidRDefault="00B57D17" w:rsidP="00413D6B">
      <w:pPr>
        <w:spacing w:after="0" w:line="240" w:lineRule="auto"/>
        <w:contextualSpacing/>
        <w:jc w:val="both"/>
        <w:rPr>
          <w:rFonts w:cs="Times New Roman"/>
          <w:lang w:val="en-US"/>
        </w:rPr>
      </w:pPr>
      <w:r>
        <w:rPr>
          <w:rFonts w:cs="Times New Roman"/>
          <w:lang w:val="en-US"/>
        </w:rPr>
        <w:t>1) A tooth is missing. 2) The adjacent teeth are sawed down. 3) A bridge is created to be inserted over sawed teeth and to replace the missing tooth. 4) The bridge is place</w:t>
      </w:r>
      <w:r w:rsidR="00001399">
        <w:rPr>
          <w:rFonts w:cs="Times New Roman"/>
          <w:lang w:val="en-US"/>
        </w:rPr>
        <w:t>d over the two shaved teeth and cemented in place</w:t>
      </w:r>
      <w:r>
        <w:rPr>
          <w:rFonts w:cs="Times New Roman"/>
          <w:lang w:val="en-US"/>
        </w:rPr>
        <w:t>.</w:t>
      </w:r>
    </w:p>
    <w:p w14:paraId="2F38A4A8" w14:textId="77777777" w:rsidR="0092289E" w:rsidRDefault="0092289E" w:rsidP="002003DD">
      <w:pPr>
        <w:pStyle w:val="Heading2"/>
      </w:pPr>
      <w:bookmarkStart w:id="14" w:name="_Toc45837534"/>
    </w:p>
    <w:p w14:paraId="5B9B3A0C" w14:textId="6B8A2EF7" w:rsidR="00B373BB" w:rsidRPr="00D72626" w:rsidRDefault="00A01AFF" w:rsidP="002003DD">
      <w:pPr>
        <w:pStyle w:val="Heading2"/>
      </w:pPr>
      <w:r>
        <w:t>Antibacterial Adhesives</w:t>
      </w:r>
      <w:bookmarkEnd w:id="14"/>
    </w:p>
    <w:p w14:paraId="6102C73C" w14:textId="77777777" w:rsidR="0092289E" w:rsidRDefault="0092289E">
      <w:pPr>
        <w:spacing w:after="0" w:line="480" w:lineRule="auto"/>
        <w:ind w:firstLine="708"/>
        <w:jc w:val="both"/>
        <w:rPr>
          <w:rFonts w:cs="Times New Roman"/>
          <w:szCs w:val="24"/>
          <w:lang w:val="en-US"/>
        </w:rPr>
      </w:pPr>
      <w:r>
        <w:rPr>
          <w:rFonts w:cs="Times New Roman"/>
          <w:szCs w:val="24"/>
          <w:lang w:val="en-US"/>
        </w:rPr>
        <w:t xml:space="preserve">Dental adhesive resins are an integral part of modern esthetic restorative techniques. These polymer-based materials are capable to establish the bond between the tooth structure (hydrophilic) and the composite resin (hydrophobic). Several reports have indicated that the major common cause of failure of these types of restorations is secondary caries between the adhesive resin and the tooth structure (either enamel or dentin). Therefore, the development of novel dental adhesive resins with non-leaching and long-term properties are very relevant for the field of dental biomaterials. </w:t>
      </w:r>
    </w:p>
    <w:p w14:paraId="40F0DF9B" w14:textId="225DBF96" w:rsidR="00A01AFF" w:rsidRDefault="0092289E" w:rsidP="00903D53">
      <w:pPr>
        <w:spacing w:after="0" w:line="480" w:lineRule="auto"/>
        <w:ind w:firstLine="708"/>
        <w:jc w:val="both"/>
        <w:rPr>
          <w:rFonts w:cs="Times New Roman"/>
          <w:szCs w:val="24"/>
          <w:lang w:val="en-US"/>
        </w:rPr>
      </w:pPr>
      <w:r>
        <w:rPr>
          <w:rFonts w:cs="Times New Roman"/>
          <w:szCs w:val="24"/>
          <w:lang w:val="en-US"/>
        </w:rPr>
        <w:t>Ideally, these novel materials would not only display strong antibacterial properties, but also, would be capable to precipitate hydroxyapatite in areas of incomplete enveloping of exposed collagen fibrils to deter the growth of</w:t>
      </w:r>
      <w:r w:rsidR="00A01AFF">
        <w:rPr>
          <w:rFonts w:cs="Times New Roman"/>
          <w:szCs w:val="24"/>
          <w:lang w:val="en-US"/>
        </w:rPr>
        <w:t xml:space="preserve"> </w:t>
      </w:r>
      <w:r>
        <w:rPr>
          <w:rFonts w:cs="Times New Roman"/>
          <w:szCs w:val="24"/>
          <w:lang w:val="en-US"/>
        </w:rPr>
        <w:t>pathogenic bacteria and fill any gaps present in the adhesive layer. In addition, these materials should display adequate surface, mechanical and biological properties</w:t>
      </w:r>
      <w:r w:rsidR="005868E8">
        <w:rPr>
          <w:rFonts w:cs="Times New Roman"/>
          <w:szCs w:val="24"/>
          <w:lang w:val="en-US"/>
        </w:rPr>
        <w:t>.</w:t>
      </w:r>
      <w:r w:rsidR="008A10D7">
        <w:rPr>
          <w:rFonts w:cs="Times New Roman"/>
          <w:szCs w:val="24"/>
          <w:lang w:val="en-US"/>
        </w:rPr>
        <w:t xml:space="preserve"> Th</w:t>
      </w:r>
      <w:r w:rsidR="005868E8">
        <w:rPr>
          <w:rFonts w:cs="Times New Roman"/>
          <w:szCs w:val="24"/>
          <w:lang w:val="en-US"/>
        </w:rPr>
        <w:t>e present</w:t>
      </w:r>
      <w:r w:rsidR="008A10D7">
        <w:rPr>
          <w:rFonts w:cs="Times New Roman"/>
          <w:szCs w:val="24"/>
          <w:lang w:val="en-US"/>
        </w:rPr>
        <w:t xml:space="preserve"> thesis describes research on</w:t>
      </w:r>
      <w:r w:rsidR="005868E8">
        <w:rPr>
          <w:rFonts w:cs="Times New Roman"/>
          <w:szCs w:val="24"/>
          <w:lang w:val="en-US"/>
        </w:rPr>
        <w:t xml:space="preserve"> the</w:t>
      </w:r>
      <w:r w:rsidR="008A10D7">
        <w:rPr>
          <w:rFonts w:cs="Times New Roman"/>
          <w:szCs w:val="24"/>
          <w:lang w:val="en-US"/>
        </w:rPr>
        <w:t xml:space="preserve"> incorporation of nanoparticles</w:t>
      </w:r>
      <w:r w:rsidR="005868E8">
        <w:rPr>
          <w:rFonts w:cs="Times New Roman"/>
          <w:szCs w:val="24"/>
          <w:lang w:val="en-US"/>
        </w:rPr>
        <w:t xml:space="preserve"> and surfactants with well-known antibacterial properties</w:t>
      </w:r>
      <w:r w:rsidR="008A10D7">
        <w:rPr>
          <w:rFonts w:cs="Times New Roman"/>
          <w:szCs w:val="24"/>
          <w:lang w:val="en-US"/>
        </w:rPr>
        <w:t xml:space="preserve"> into</w:t>
      </w:r>
      <w:r w:rsidR="005868E8">
        <w:rPr>
          <w:rFonts w:cs="Times New Roman"/>
          <w:szCs w:val="24"/>
          <w:lang w:val="en-US"/>
        </w:rPr>
        <w:t xml:space="preserve"> commercially available</w:t>
      </w:r>
      <w:r w:rsidR="008A10D7">
        <w:rPr>
          <w:rFonts w:cs="Times New Roman"/>
          <w:szCs w:val="24"/>
          <w:lang w:val="en-US"/>
        </w:rPr>
        <w:t xml:space="preserve"> dental adhesive</w:t>
      </w:r>
      <w:r w:rsidR="005868E8">
        <w:rPr>
          <w:rFonts w:cs="Times New Roman"/>
          <w:szCs w:val="24"/>
          <w:lang w:val="en-US"/>
        </w:rPr>
        <w:t xml:space="preserve"> resin</w:t>
      </w:r>
      <w:r w:rsidR="008A10D7">
        <w:rPr>
          <w:rFonts w:cs="Times New Roman"/>
          <w:szCs w:val="24"/>
          <w:lang w:val="en-US"/>
        </w:rPr>
        <w:t>s</w:t>
      </w:r>
      <w:r w:rsidR="005868E8">
        <w:rPr>
          <w:rFonts w:cs="Times New Roman"/>
          <w:szCs w:val="24"/>
          <w:lang w:val="en-US"/>
        </w:rPr>
        <w:t xml:space="preserve"> to result in experimental materials with</w:t>
      </w:r>
      <w:r w:rsidR="008A10D7">
        <w:rPr>
          <w:rFonts w:cs="Times New Roman"/>
          <w:szCs w:val="24"/>
          <w:lang w:val="en-US"/>
        </w:rPr>
        <w:t xml:space="preserve"> anti</w:t>
      </w:r>
      <w:r w:rsidR="005868E8">
        <w:rPr>
          <w:rFonts w:cs="Times New Roman"/>
          <w:szCs w:val="24"/>
          <w:lang w:val="en-US"/>
        </w:rPr>
        <w:t>bacterial functionalities</w:t>
      </w:r>
      <w:r w:rsidR="00392F18">
        <w:rPr>
          <w:rFonts w:cs="Times New Roman"/>
          <w:szCs w:val="24"/>
          <w:lang w:val="en-US"/>
        </w:rPr>
        <w:fldChar w:fldCharType="begin" w:fldLock="1"/>
      </w:r>
      <w:r w:rsidR="004871C8">
        <w:rPr>
          <w:rFonts w:cs="Times New Roman"/>
          <w:szCs w:val="24"/>
          <w:lang w:val="en-US"/>
        </w:rPr>
        <w:instrText>ADDIN CSL_CITATION {"citationItems":[{"id":"ITEM-1","itemData":{"DOI":"10.1111/j.2042-7158.1990.tb07022.x","ISSN":"0022-3573","abstract":"Abstract? The antimicrobial activity of the homologous series of N,N-dimethylalkylamine oxides (DMAO) was found to be quasi parabolically dependent on alkyl chain length with a maximum at n ? 15 and n ? 12 for Staphylococcus aureus and Escherichia coli, respectively. The physicochemical properties of DMAOs as characterized by critical micelle concentrations, retention times of 1-alkenes generated from DMAOs by gas-liquid chromatography, Rm values in reversed phase chromatography, and bacterial lipid/aqueous phase partition coefficients were found to correlate with the alkyl chain length. The effect of DMAOs on the structure of the model membrane prepared from isolated lipids from Escherichia coli as detected by a spin probe method was maximal for the alkyl chain length n ? 10?12 coinciding with the maximum in the antimicrobial activity observed with Escherichia coli. It is suggested that the cut-off in the DMAO antimicrobial activity is caused by the cut-off in the DMAO perturbing effect on the membrane structure.","author":[{"dropping-particle":"","family":"Devínsky","given":"Ferdinand","non-dropping-particle":"","parse-names":false,"suffix":""},{"dropping-particle":"","family":"Kopecka-Leitmanová","given":"Anna","non-dropping-particle":"","parse-names":false,"suffix":""},{"dropping-particle":"","family":"Šeršeň","given":"František","non-dropping-particle":"","parse-names":false,"suffix":""},{"dropping-particle":"","family":"Balgavý","given":"Pavol","non-dropping-particle":"","parse-names":false,"suffix":""}],"container-title":"Journal of Pharmacy and Pharmacology","id":"ITEM-1","issue":"11","issued":{"date-parts":[["1990","11","1"]]},"note":"doi: 10.1111/j.2042-7158.1990.tb07022.x","page":"790-794","publisher":"John Wiley &amp; Sons, Ltd","title":"Cut-off Effect in Antimicrobial Activity and in Membrane Perturbation Efficiency of the Homologous Series of N,N-Dimethylalkylamine Oxides†","type":"article-journal","volume":"42"},"uris":["http://www.mendeley.com/documents/?uuid=49c24dbf-ce06-488e-a5c7-dbb3c1b60e47"]}],"mendeley":{"formattedCitation":"&lt;sup&gt;11&lt;/sup&gt;","plainTextFormattedCitation":"11","previouslyFormattedCitation":"&lt;sup&gt;11&lt;/sup&gt;"},"properties":{"noteIndex":0},"schema":"https://github.com/citation-style-language/schema/raw/master/csl-citation.json"}</w:instrText>
      </w:r>
      <w:r w:rsidR="00392F18">
        <w:rPr>
          <w:rFonts w:cs="Times New Roman"/>
          <w:szCs w:val="24"/>
          <w:lang w:val="en-US"/>
        </w:rPr>
        <w:fldChar w:fldCharType="separate"/>
      </w:r>
      <w:r w:rsidR="00B01517" w:rsidRPr="00B01517">
        <w:rPr>
          <w:rFonts w:cs="Times New Roman"/>
          <w:noProof/>
          <w:szCs w:val="24"/>
          <w:vertAlign w:val="superscript"/>
          <w:lang w:val="en-US"/>
        </w:rPr>
        <w:t>11</w:t>
      </w:r>
      <w:r w:rsidR="00392F18">
        <w:rPr>
          <w:rFonts w:cs="Times New Roman"/>
          <w:szCs w:val="24"/>
          <w:lang w:val="en-US"/>
        </w:rPr>
        <w:fldChar w:fldCharType="end"/>
      </w:r>
      <w:r w:rsidR="00B01517">
        <w:rPr>
          <w:rFonts w:cs="Times New Roman"/>
          <w:szCs w:val="24"/>
          <w:lang w:val="en-US"/>
        </w:rPr>
        <w:t>.</w:t>
      </w:r>
      <w:r w:rsidR="005868E8">
        <w:rPr>
          <w:rFonts w:cs="Times New Roman"/>
          <w:szCs w:val="24"/>
          <w:lang w:val="en-US"/>
        </w:rPr>
        <w:t xml:space="preserve"> The present thesis also investigated the potential synergistic effect between nanoparticles and surfactants against </w:t>
      </w:r>
      <w:r w:rsidR="005868E8">
        <w:rPr>
          <w:rFonts w:cs="Times New Roman"/>
          <w:i/>
          <w:szCs w:val="24"/>
          <w:lang w:val="en-US"/>
        </w:rPr>
        <w:t>S. mutans</w:t>
      </w:r>
      <w:r w:rsidR="005868E8">
        <w:rPr>
          <w:rFonts w:cs="Times New Roman"/>
          <w:szCs w:val="24"/>
          <w:lang w:val="en-US"/>
        </w:rPr>
        <w:t xml:space="preserve"> (planktonic suspensions and non-disrupted biofilms).</w:t>
      </w:r>
      <w:r w:rsidR="00F61E96">
        <w:rPr>
          <w:rFonts w:cs="Times New Roman"/>
          <w:szCs w:val="24"/>
          <w:lang w:val="en-US"/>
        </w:rPr>
        <w:t xml:space="preserve"> </w:t>
      </w:r>
      <w:r w:rsidR="008A10D7">
        <w:rPr>
          <w:rFonts w:cs="Times New Roman"/>
          <w:szCs w:val="24"/>
          <w:lang w:val="en-US"/>
        </w:rPr>
        <w:t xml:space="preserve"> </w:t>
      </w:r>
      <w:r w:rsidR="005868E8">
        <w:rPr>
          <w:rFonts w:cs="Times New Roman"/>
          <w:szCs w:val="24"/>
          <w:lang w:val="en-US"/>
        </w:rPr>
        <w:t xml:space="preserve">Nanoparticles’ surface </w:t>
      </w:r>
      <w:r w:rsidR="008A10D7">
        <w:rPr>
          <w:rFonts w:cs="Times New Roman"/>
          <w:szCs w:val="24"/>
          <w:lang w:val="en-US"/>
        </w:rPr>
        <w:t xml:space="preserve">properties </w:t>
      </w:r>
      <w:r w:rsidR="005868E8">
        <w:rPr>
          <w:rFonts w:cs="Times New Roman"/>
          <w:szCs w:val="24"/>
          <w:lang w:val="en-US"/>
        </w:rPr>
        <w:t>were investigated, using a modified drop penetration method and surface energy components to allow</w:t>
      </w:r>
      <w:r w:rsidR="008A10D7">
        <w:rPr>
          <w:rFonts w:cs="Times New Roman"/>
          <w:szCs w:val="24"/>
          <w:lang w:val="en-US"/>
        </w:rPr>
        <w:t xml:space="preserve"> for </w:t>
      </w:r>
      <w:r w:rsidR="005868E8">
        <w:rPr>
          <w:rFonts w:cs="Times New Roman"/>
          <w:szCs w:val="24"/>
          <w:lang w:val="en-US"/>
        </w:rPr>
        <w:t>their functionalization in multifunctional methacrylates as demonstrated</w:t>
      </w:r>
      <w:r w:rsidR="008A10D7">
        <w:rPr>
          <w:rFonts w:cs="Times New Roman"/>
          <w:szCs w:val="24"/>
          <w:lang w:val="en-US"/>
        </w:rPr>
        <w:t xml:space="preserve"> in Chapter 2.  </w:t>
      </w:r>
      <w:r w:rsidR="00F61E96">
        <w:rPr>
          <w:rFonts w:cs="Times New Roman"/>
          <w:szCs w:val="24"/>
          <w:lang w:val="en-US"/>
        </w:rPr>
        <w:t>In Chapter 3,</w:t>
      </w:r>
      <w:r w:rsidR="00392F18">
        <w:rPr>
          <w:rFonts w:cs="Times New Roman"/>
          <w:szCs w:val="24"/>
          <w:lang w:val="en-US"/>
        </w:rPr>
        <w:t xml:space="preserve"> the antibacterial properties of nanoparticles and surfactants are examined against </w:t>
      </w:r>
      <w:r w:rsidR="005868E8">
        <w:rPr>
          <w:rFonts w:cs="Times New Roman"/>
          <w:i/>
          <w:szCs w:val="24"/>
          <w:lang w:val="en-US"/>
        </w:rPr>
        <w:t>S. mutans</w:t>
      </w:r>
      <w:r w:rsidR="005868E8">
        <w:rPr>
          <w:rFonts w:cs="Times New Roman"/>
          <w:szCs w:val="24"/>
          <w:lang w:val="en-US"/>
        </w:rPr>
        <w:t xml:space="preserve"> (planktonic suspensions and non-disrupted biofilms) using the CFU/mL and a recently developed and validated bioluminescence assay</w:t>
      </w:r>
      <w:r w:rsidR="00B01517">
        <w:rPr>
          <w:rFonts w:cs="Times New Roman"/>
          <w:szCs w:val="24"/>
          <w:lang w:val="en-US"/>
        </w:rPr>
        <w:fldChar w:fldCharType="begin" w:fldLock="1"/>
      </w:r>
      <w:r w:rsidR="004871C8">
        <w:rPr>
          <w:rFonts w:cs="Times New Roman"/>
          <w:szCs w:val="24"/>
          <w:lang w:val="en-US"/>
        </w:rPr>
        <w:instrText>ADDIN CSL_CITATION {"citationItems":[{"id":"ITEM-1","itemData":{"DOI":"10.1016/j.dental.2016.07.010","ISBN":"0109-5641","PMID":"27515531","abstract":"OBJECTIVE: The release of unpolymerized monomers and by-products of resin composites influences biofilm growth and confounds the measurement of metabolic activity. Current assays to measure biofilm viability have critical limitations and are typically not performed on relevant substrates. The objective of the present study was to determine the utility of firefly luciferase assay for quantification of the viability of intact biofilms on a resin composite substrate, and correlate the results with a standard method (viable colony counts). METHODS: Disk-shaped specimens of a dental resin composite were fabricated, wet-polished, UV-sterilized, and stored in water. Biofilms of Streptococcus mutans (strain UA159 modified by insertion of constitutively expressed firefly luc gene) were grown (1:500 dilution; anaerobic conditions, 24h, 37 degrees C) in two media concentrations (0.35x and 0.65x THY medium supplemented with 0.1% sucrose; n=15/group). An additional group of specimens with biofilms grown in 0.65x+sucrose media was treated with chlorhexidine gluconate solution to serve as the control group. Bioluminescence measurements of non-disrupted biofilms were obtained after addition of d-Luciferin substrate. The adherent biofilms were removed by sonication, and bioluminescence of sonicated bacteria was then measured. Viable colony counts were performed after plating sonicated bacteria on THY agar plates supplemented with spectinomycin. Bioluminescence values and cell counts were correlated using Spearman correlation tests (alpha=0.05). RESULTS: Strong positive correlations between viable colony counts and bioluminescence values, both before- and after-sonication, validated the utility of this assay. SIGNIFICANCE: A novel non-disruptive, real-time bioluminescence assay is presented for quantification of intact S. mutans biofilms grown on a resin composite, and potentially on antibacterial materials and other types of dental biomaterials.","author":[{"dropping-particle":"","family":"Esteban Florez","given":"F L","non-dropping-particle":"","parse-names":false,"suffix":""},{"dropping-particle":"","family":"Hiers","given":"R D","non-dropping-particle":"","parse-names":false,"suffix":""},{"dropping-particle":"","family":"Smart","given":"K","non-dropping-particle":"","parse-names":false,"suffix":""},{"dropping-particle":"","family":"Kreth","given":"J","non-dropping-particle":"","parse-names":false,"suffix":""},{"dropping-particle":"","family":"Qi","given":"F","non-dropping-particle":"","parse-names":false,"suffix":""},{"dropping-particle":"","family":"Merritt","given":"J","non-dropping-particle":"","parse-names":false,"suffix":""},{"dropping-particle":"","family":"Khajotia","given":"S S","non-dropping-particle":"","parse-names":false,"suffix":""}],"container-title":"Dent Mater","edition":"2016/08/16","id":"ITEM-1","issue":"10","issued":{"date-parts":[["2016"]]},"language":"eng","note":"1879-0097\nEsteban Florez, Fernando Luis\nHiers, Rochelle Denise\nSmart, Kristin\nKreth, Jens\nQi, Fengxia\nMerritt, Justin\nKhajotia, Sharukh Soli\nR01 DE018893/DE/NIDCR NIH HHS/United States\nR01 DE021726/DE/NIDCR NIH HHS/United States\nR01 DE022083/DE/NIDCR NIH HHS/United States\nR15 DE019566/DE/NIDCR NIH HHS/United States\nJournal Article\nResearch Support, N.I.H., Extramural\nEngland\nDent Mater. 2016 Oct;32(10):1263-1269. doi: 10.1016/j.dental.2016.07.010. Epub 2016 Aug 8.","page":"1263-1269","title":"Real-time assessment of Streptococcus mutans biofilm metabolism on resin composite","type":"article-journal","volume":"32"},"uris":["http://www.mendeley.com/documents/?uuid=06aa1059-c63c-4ea7-be08-d736a71f397f"]}],"mendeley":{"formattedCitation":"&lt;sup&gt;12&lt;/sup&gt;","plainTextFormattedCitation":"12","previouslyFormattedCitation":"&lt;sup&gt;12&lt;/sup&gt;"},"properties":{"noteIndex":0},"schema":"https://github.com/citation-style-language/schema/raw/master/csl-citation.json"}</w:instrText>
      </w:r>
      <w:r w:rsidR="00B01517">
        <w:rPr>
          <w:rFonts w:cs="Times New Roman"/>
          <w:szCs w:val="24"/>
          <w:lang w:val="en-US"/>
        </w:rPr>
        <w:fldChar w:fldCharType="separate"/>
      </w:r>
      <w:r w:rsidR="00B01517" w:rsidRPr="00B01517">
        <w:rPr>
          <w:rFonts w:cs="Times New Roman"/>
          <w:noProof/>
          <w:szCs w:val="24"/>
          <w:vertAlign w:val="superscript"/>
          <w:lang w:val="en-US"/>
        </w:rPr>
        <w:t>12</w:t>
      </w:r>
      <w:r w:rsidR="00B01517">
        <w:rPr>
          <w:rFonts w:cs="Times New Roman"/>
          <w:szCs w:val="24"/>
          <w:lang w:val="en-US"/>
        </w:rPr>
        <w:fldChar w:fldCharType="end"/>
      </w:r>
      <w:r w:rsidR="00392F18">
        <w:rPr>
          <w:rFonts w:cs="Times New Roman"/>
          <w:szCs w:val="24"/>
          <w:lang w:val="en-US"/>
        </w:rPr>
        <w:t xml:space="preserve">. </w:t>
      </w:r>
    </w:p>
    <w:p w14:paraId="104E8F8E" w14:textId="3DC3D49B" w:rsidR="00830771" w:rsidRDefault="00A01AFF" w:rsidP="00903D53">
      <w:pPr>
        <w:spacing w:after="0" w:line="480" w:lineRule="auto"/>
        <w:ind w:firstLine="708"/>
        <w:jc w:val="both"/>
        <w:rPr>
          <w:rFonts w:cs="Times New Roman"/>
          <w:szCs w:val="24"/>
          <w:lang w:val="en-US"/>
        </w:rPr>
      </w:pPr>
      <w:r>
        <w:rPr>
          <w:rFonts w:cs="Times New Roman"/>
          <w:szCs w:val="24"/>
          <w:lang w:val="en-US"/>
        </w:rPr>
        <w:t xml:space="preserve"> </w:t>
      </w:r>
      <w:r w:rsidR="000F44F0">
        <w:rPr>
          <w:rFonts w:cs="Times New Roman"/>
          <w:szCs w:val="24"/>
          <w:lang w:val="en-US"/>
        </w:rPr>
        <w:t>Metal</w:t>
      </w:r>
      <w:r w:rsidR="000F44F0" w:rsidRPr="009B4DC4">
        <w:rPr>
          <w:rFonts w:cs="Times New Roman"/>
          <w:szCs w:val="24"/>
          <w:lang w:val="en-US"/>
        </w:rPr>
        <w:t xml:space="preserve"> oxid</w:t>
      </w:r>
      <w:r w:rsidR="000F44F0">
        <w:rPr>
          <w:rFonts w:cs="Times New Roman"/>
          <w:szCs w:val="24"/>
          <w:lang w:val="en-US"/>
        </w:rPr>
        <w:t>es</w:t>
      </w:r>
      <w:r w:rsidR="004D1898">
        <w:rPr>
          <w:rFonts w:cs="Times New Roman"/>
          <w:szCs w:val="24"/>
          <w:lang w:val="en-US"/>
        </w:rPr>
        <w:t xml:space="preserve"> have shown</w:t>
      </w:r>
      <w:r w:rsidR="009B4DC4" w:rsidRPr="009B4DC4">
        <w:rPr>
          <w:rFonts w:cs="Times New Roman"/>
          <w:szCs w:val="24"/>
          <w:lang w:val="en-US"/>
        </w:rPr>
        <w:t xml:space="preserve"> antibacterial properties when used in biological studies</w:t>
      </w:r>
      <w:r w:rsidR="00F8313E">
        <w:rPr>
          <w:rFonts w:cs="Times New Roman"/>
          <w:szCs w:val="24"/>
          <w:lang w:val="en-US"/>
        </w:rPr>
        <w:fldChar w:fldCharType="begin" w:fldLock="1"/>
      </w:r>
      <w:r w:rsidR="004871C8">
        <w:rPr>
          <w:rFonts w:cs="Times New Roman"/>
          <w:szCs w:val="24"/>
          <w:lang w:val="en-US"/>
        </w:rPr>
        <w:instrText>ADDIN CSL_CITATION {"citationItems":[{"id":"ITEM-1","itemData":{"DOI":"https://doi.org/10.1016/j.nano.2008.04.005","ISSN":"1549-9634","abstract":"Dental caries is a worldwide public health problem for which Streptococcus mutans has been identified as the possible infectious etiology. In recent years nanotechnology has permitted the development of new properties of materials. The objective of this study was to compare the bactericidal and bacteriostatic effects of nanoparticles of silver, zinc oxide, and gold on S. mutans. We used the liquid dilution method to find the minimum inhibitory concentrations (MICs) and with subcultures obtained the minimum bactericidal concentrations (MBCs). For silver the results showed an average MIC of 4.86 ± 2.71 μg/mL and MBC of 6.25 μg/mL; for zinc the MIC was 500 ± 306.18 μg/mL and MBC of 500 μg/mL; the gold nanoparticles demonstrated an effect only at an initial concentration of 197 μg/mL. We established a higher antimicrobial effect against S. mutans of silver nanoparticles at lower concentrations than gold or zinc, which would allow achieving important clinical effects with a reduced toxicity.","author":[{"dropping-particle":"","family":"Hernández-Sierra","given":"Juan Francisco","non-dropping-particle":"","parse-names":false,"suffix":""},{"dropping-particle":"","family":"Ruiz","given":"Facundo","non-dropping-particle":"","parse-names":false,"suffix":""},{"dropping-particle":"","family":"Cruz Pena","given":"Diana Corina","non-dropping-particle":"","parse-names":false,"suffix":""},{"dropping-particle":"","family":"Martínez-Gutiérrez","given":"Fidel","non-dropping-particle":"","parse-names":false,"suffix":""},{"dropping-particle":"","family":"Martínez","given":"Alberto Emilio","non-dropping-particle":"","parse-names":false,"suffix":""},{"dropping-particle":"","family":"Jesús Pozos Guillén","given":"Amaury","non-dropping-particle":"de","parse-names":false,"suffix":""},{"dropping-particle":"","family":"Tapia-Pérez","given":"Humberto","non-dropping-particle":"","parse-names":false,"suffix":""},{"dropping-particle":"","family":"Martínez Castañón","given":"Gabriel","non-dropping-particle":"","parse-names":false,"suffix":""}],"container-title":"Nanomedicine: Nanotechnology, Biology and Medicine","id":"ITEM-1","issue":"3","issued":{"date-parts":[["2008"]]},"page":"237-240","title":"The antimicrobial sensitivity of Streptococcus mutans to nanoparticles of silver, zinc oxide, and gold","type":"article-journal","volume":"4"},"uris":["http://www.mendeley.com/documents/?uuid=4ec3d748-192a-4621-8008-cd6b9432f363"]},{"id":"ITEM-2","itemData":{"ISSN":"2190-4286","abstract":"This paper reports the structural and optical properties and comparative photocatalytic activity of TiO2 and Ag-doped TiO2 nanoparticles against different bacterial strains under visible-light irradiation. The TiO2 and Ag-doped TiO2 photocatalysts were synthesized by acid catalyzed sol–gel technique and characterized by X-ray diffraction (XRD), transmission electron microscopy (TEM), UV–vis spectroscopy and photoluminescence (PL). The XRD pattern revealed that the annealed sample of TiO2 has both anatase and rutile phases while only an anatase phase was found in Ag-doped TiO2 nanoparticles. The decreased band-gap energy of Ag-doped TiO2 nanoparticles in comparison to TiO2 nanoparticles was investigated by UV–vis spectroscopy. The rate of recombination and transfer behaviour of the photoexcited electron–hole pairs in the semiconductors was recorded by photoluminescence. The antimicrobial activity of TiO2 and Ag-doped TiO2 nanoparticles (3% and 7%) was investigated against both gram positive (Staphylococcus aureus) and gram negative (Pseudomonas aeruginosa, Escherichia coli) bacteria. As a result, the viability of all three microorganisms was reduced to zero at 60 mg/30 mL culture in the case of both (3% and 7% doping) concentrations of Ag-doped TiO2 nanoparticles. Annealed TiO2 showed zero viability at 80 mg/30 mL whereas doped Ag-TiO2 7% showed zero viability at 40 mg/30 mL culture in the case of P. aeruginosa only.","author":[{"dropping-particle":"","family":"Gupta","given":"Kiran","non-dropping-particle":"","parse-names":false,"suffix":""},{"dropping-particle":"","family":"Singh","given":"R P","non-dropping-particle":"","parse-names":false,"suffix":""},{"dropping-particle":"","family":"Pandey","given":"Ashutosh","non-dropping-particle":"","parse-names":false,"suffix":""},{"dropping-particle":"","family":"Pandey","given":"Anjana","non-dropping-particle":"","parse-names":false,"suffix":""}],"container-title":"Beilstein Journal of Nanotechnology","id":"ITEM-2","issued":{"date-parts":[["2013"]]},"page":"345-351","title":"Photocatalytic antibacterial performance of TiO2 and Ag-doped TiO2 against S. aureus. P. aeruginosa and E. coli","type":"article-journal","volume":"4"},"uris":["http://www.mendeley.com/documents/?uuid=bcb7b2b1-c1b0-43ff-9871-843ff8c8bcf4"]},{"id":"ITEM-3","itemData":{"DOI":"https://doi.org/10.1016/j.msec.2018.08.060","ISSN":"0928-4931","abstract":"The development of dental adhesive resins with long-lasting antibacterial properties is a possible solution to overcome the problem of secondary caries in modern adhesive dentistry. Objectives (i) Synthesis and characterization of nitrogen-doped titanium dioxide nanoparticles (N_TiO2), (ii) topographical, compositional and wettability characterization of thin-films (unaltered and experimental) and, (iii) antibacterial efficacy of N_TiO2-containing dental adhesives against Streptococcus mutans biofilms. Materials and methods Nanoparticles were synthesized and characterized using different techniques. Specimens (diameter = 12 mm, thickness </w:instrText>
      </w:r>
      <w:r w:rsidR="004871C8">
        <w:rPr>
          <w:rFonts w:ascii="Cambria Math" w:hAnsi="Cambria Math" w:cs="Cambria Math"/>
          <w:szCs w:val="24"/>
          <w:lang w:val="en-US"/>
        </w:rPr>
        <w:instrText>≅</w:instrText>
      </w:r>
      <w:r w:rsidR="004871C8">
        <w:rPr>
          <w:rFonts w:cs="Times New Roman"/>
          <w:szCs w:val="24"/>
          <w:lang w:val="en-US"/>
        </w:rPr>
        <w:instrText> 15 μm) of OptiBond Solo Plus (Kerr Corp., USA) and experimental adhesives [50, 67 and 80% (v/v)] were fabricated, photopolymerized (1000 mW/cm2, 1 min) and UV-sterilized (254 nm, 800,000 μJ/cm2) for microscopy, spectroscopy, wettability and antibacterial testing. Wettability was assessed with a contact angle goniometer by dispensing water droplets (2 μL) onto four random locations of each specimen (16 drops/group). Drop profiles were recorded (1 min, 25 frames/s, 37 °C) and contact angles were calculated at time = 0 s (θINITIAL) and time = 59 s (θFINAL). Antibacterial testing was performed by growing S. mutans (UA159-ldh, JM10) biofilms for either 3 or 24 h (anaerobic conditions, 37 °C) with or without continuous light irradiation (410 ± 10 nm, 3 h = 38.75 J/cm2, 24 h = 310.07 J/cm2) against the surfaces of sterile specimens. Results N_TiO2 was successfully prepared using solvothermal methods. Doped-nanoparticles displayed higher light absorption levels when compared to undoped titania. Experimental adhesives demonstrated superior antibacterial efficacy in dark conditions. Conclusions The findings presented herein suggest that N_TiO2 is a feasible antibacterial agent against cariogenic biofilms.","author":[{"dropping-particle":"","family":"Esteban Florez","given":"Fernando Luis","non-dropping-particle":"","parse-names":false,"suffix":""},{"dropping-particle":"","family":"Hiers","given":"Rochelle Denise","non-dropping-particle":"","parse-names":false,"suffix":""},{"dropping-particle":"","family":"Larson","given":"Preston","non-dropping-particle":"","parse-names":false,"suffix":""},{"dropping-particle":"","family":"Johnson","given":"Matthew","non-dropping-particle":"","parse-names":false,"suffix":""},{"dropping-particle":"","family":"O'Rear","given":"Edgar","non-dropping-particle":"","parse-names":false,"suffix":""},{"dropping-particle":"","family":"Rondinone","given":"Adam J","non-dropping-particle":"","parse-names":false,"suffix":""},{"dropping-particle":"","family":"Khajotia","given":"Sharukh Soli","non-dropping-particle":"","parse-names":false,"suffix":""}],"container-title":"Materials Science and Engineering: C","id":"ITEM-3","issued":{"date-parts":[["2018"]]},"page":"931-943","title":"Antibacterial dental adhesive resins containing nitrogen-doped titanium dioxide nanoparticles","type":"article-journal","volume":"93"},"uris":["http://www.mendeley.com/documents/?uuid=3e5643df-cf74-4808-9f8f-cbe8f309b04a"]},{"id":"ITEM-4","itemData":{"DOI":"10.2147/IJN.S35347","ISSN":"1178-2013","abstract":"BACKGROUND: Nanomaterials have unique properties compared to their bulk counterparts. For this reason, nanotechnology has attracted a great deal of attention from the scientific community. Metal oxide nanomaterials like ZnO and CuO have been used industrially for several purposes, including cosmetics, paints, plastics, and textiles. A common feature that these nanoparticles exhibit is their antimicrobial behavior against pathogenic bacteria. In this report, we demonstrate the antimicrobial activity of ZnO, CuO, and Fe(2)O(3) nanoparticles against Gram-positive and Gram-negative bacteria. METHODS AND RESULTS: Nanosized particles of three metal oxides (ZnO, CuO, and Fe(2)O(3)) were synthesized by a sol-gel combustion route and characterized by X-ray diffraction, Fourier-transform infrared spectroscopy, and transmission electron microscopy techniques. X-ray diffraction results confirmed the single-phase formation of all three nanomaterials. The particle sizes were observed to be 18, 22, and 28 nm for ZnO, CuO, and Fe(2)O(3), respectively. We used these nanomaterials to evaluate their antibacterial activity against both Gram-negative (Escherichia coli and Pseudomonas aeruginosa) and Gram-positive (Staphylococcus aureus and Bacillus subtilis) bacteria. CONCLUSION: Among the three metal oxide nanomaterials, ZnO showed greatest antimicrobial activity against both Gram-positive and Gram-negative bacteria used in this study. It was observed that ZnO nanoparticles have excellent bactericidal potential, while Fe(2)O(3) nanoparticles exhibited the least bactericidal activity. The order of antibacterial activity was demonstrated to be the following: ZnO &gt; CuO &gt; Fe(2)O(3).","author":[{"dropping-particle":"","family":"Azam","given":"Ameer","non-dropping-particle":"","parse-names":false,"suffix":""},{"dropping-particle":"","family":"Ahmed","given":"Arham S","non-dropping-particle":"","parse-names":false,"suffix":""},{"dropping-particle":"","family":"Oves","given":"Mohammad","non-dropping-particle":"","parse-names":false,"suffix":""},{"dropping-particle":"","family":"Khan","given":"Mohammad S","non-dropping-particle":"","parse-names":false,"suffix":""},{"dropping-particle":"","family":"Habib","given":"Sami S","non-dropping-particle":"","parse-names":false,"suffix":""},{"dropping-particle":"","family":"Memic","given":"Adnan","non-dropping-particle":"","parse-names":false,"suffix":""}],"container-title":"International journal of nanomedicine","edition":"2012/12/05","id":"ITEM-4","issued":{"date-parts":[["2012"]]},"language":"eng","page":"6003-6009","publisher":"Dove Medical Press","title":"Antimicrobial activity of metal oxide nanoparticles against Gram-positive and Gram-negative bacteria: a comparative study","type":"article-journal","volume":"7"},"uris":["http://www.mendeley.com/documents/?uuid=77f254be-1131-4c68-9dfe-6d0bff96e1c1"]},{"id":"ITEM-5","itemData":{"DOI":"10.1186/1556-276X-9-98","ISSN":"1556-276X","abstract":"To research the relationship of micro-structures and antibacterial properties of the titanium-doped ZnO powders and probe their antibacterial mechanism, titanium-doped ZnO powders with different shapes and sizes were prepared from different zinc salts by alcohothermal method. The ZnO powders were characterized by X-ray powder diffraction (XRD), Fourier transform infrared spectroscopy (FT-IR), ultraviolet-visible spectroscopy (UV-vis), scanning electron microscopy (SEM), transmission electron microscopy (TEM), and selected area electron diffraction (SAED), and the antibacterial activities of titanium-doped ZnO powders on Escherichia coli and Staphylococcus aureus were evaluated. Furthermore, the tested strains were characterized by SEM, and the electrical conductance variation trend of the bacterial suspension was characterized. The results indicate that the morphologies of the powders are different due to preparation from different zinc salts. The XRD results manifest that the samples synthesized from zinc acetate, zinc nitrate, and zinc chloride are zincite ZnO, and the sample synthesized from zinc sulfate is the mixture of ZnO, ZnTiO3, and ZnSO4 · 3Zn (OH)2 crystal. UV-vis spectra show that the absorption edges of the titanium-doped ZnO powders are red shifted to more than 400 nm which are prepared from zinc acetate, zinc nitrate, and zinc chloride. The antibacterial activity of titanium-doped ZnO powders synthesized from zinc chloride is optimal, and its minimum inhibitory concentration (MIC) and minimum bactericidal concentration (MBC) are lower than 0.25 g L−1. Likewise, when the bacteria are treated by ZnO powders synthesized from zinc chloride, the bacterial cells are damaged most seriously, and the electrical conductance increment of bacterial suspension is slightly high. It can be inferred that the antibacterial properties of the titanium-doped ZnO powders are relevant to the microstructure, particle size, and the crystal. The powders can damage the cell walls; thus, the electrolyte is leaked from cells.","author":[{"dropping-particle":"","family":"Sun","given":"Tong","non-dropping-particle":"","parse-names":false,"suffix":""},{"dropping-particle":"","family":"Hao","given":"Han","non-dropping-particle":"","parse-names":false,"suffix":""},{"dropping-particle":"","family":"Hao","given":"Wen-ting","non-dropping-particle":"","parse-names":false,"suffix":""},{"dropping-particle":"","family":"Yi","given":"Shu-min","non-dropping-particle":"","parse-names":false,"suffix":""},{"dropping-particle":"","family":"Li","given":"Xue-peng","non-dropping-particle":"","parse-names":false,"suffix":""},{"dropping-particle":"","family":"Li","given":"Jian-rong","non-dropping-particle":"","parse-names":false,"suffix":""}],"container-title":"Nanoscale Research Letters","id":"ITEM-5","issue":"1","issued":{"date-parts":[["2014"]]},"page":"98","title":"Preparation and antibacterial properties of titanium-doped ZnO from different zinc salts","type":"article-journal","volume":"9"},"uris":["http://www.mendeley.com/documents/?uuid=14aeabce-0564-47cf-854b-d25819651150"]}],"mendeley":{"formattedCitation":"&lt;sup&gt;13–17&lt;/sup&gt;","plainTextFormattedCitation":"13–17","previouslyFormattedCitation":"&lt;sup&gt;13–17&lt;/sup&gt;"},"properties":{"noteIndex":0},"schema":"https://github.com/citation-style-language/schema/raw/master/csl-citation.json"}</w:instrText>
      </w:r>
      <w:r w:rsidR="00F8313E">
        <w:rPr>
          <w:rFonts w:cs="Times New Roman"/>
          <w:szCs w:val="24"/>
          <w:lang w:val="en-US"/>
        </w:rPr>
        <w:fldChar w:fldCharType="separate"/>
      </w:r>
      <w:r w:rsidR="00B01517" w:rsidRPr="00B01517">
        <w:rPr>
          <w:rFonts w:cs="Times New Roman"/>
          <w:noProof/>
          <w:szCs w:val="24"/>
          <w:vertAlign w:val="superscript"/>
          <w:lang w:val="en-US"/>
        </w:rPr>
        <w:t>13–17</w:t>
      </w:r>
      <w:r w:rsidR="00F8313E">
        <w:rPr>
          <w:rFonts w:cs="Times New Roman"/>
          <w:szCs w:val="24"/>
          <w:lang w:val="en-US"/>
        </w:rPr>
        <w:fldChar w:fldCharType="end"/>
      </w:r>
      <w:r w:rsidR="00781EBB">
        <w:rPr>
          <w:rFonts w:cs="Times New Roman"/>
          <w:szCs w:val="24"/>
          <w:lang w:val="en-US"/>
        </w:rPr>
        <w:t>.</w:t>
      </w:r>
      <w:r w:rsidR="009B4DC4" w:rsidRPr="009B4DC4">
        <w:rPr>
          <w:rFonts w:cs="Times New Roman"/>
          <w:szCs w:val="24"/>
          <w:lang w:val="en-US"/>
        </w:rPr>
        <w:t xml:space="preserve"> </w:t>
      </w:r>
      <w:r w:rsidR="00775046">
        <w:rPr>
          <w:rFonts w:cs="Times New Roman"/>
          <w:szCs w:val="24"/>
          <w:lang w:val="en-US"/>
        </w:rPr>
        <w:t xml:space="preserve">The incorporation of </w:t>
      </w:r>
      <w:r w:rsidR="000F44F0">
        <w:rPr>
          <w:rFonts w:cs="Times New Roman"/>
          <w:szCs w:val="24"/>
          <w:lang w:val="en-US"/>
        </w:rPr>
        <w:t>metal oxides</w:t>
      </w:r>
      <w:r w:rsidR="00775046">
        <w:rPr>
          <w:rFonts w:cs="Times New Roman"/>
          <w:szCs w:val="24"/>
          <w:lang w:val="en-US"/>
        </w:rPr>
        <w:t xml:space="preserve"> into dental</w:t>
      </w:r>
      <w:r w:rsidR="005868E8">
        <w:rPr>
          <w:rFonts w:cs="Times New Roman"/>
          <w:szCs w:val="24"/>
          <w:lang w:val="en-US"/>
        </w:rPr>
        <w:t xml:space="preserve"> adhesive</w:t>
      </w:r>
      <w:r w:rsidR="00775046">
        <w:rPr>
          <w:rFonts w:cs="Times New Roman"/>
          <w:szCs w:val="24"/>
          <w:lang w:val="en-US"/>
        </w:rPr>
        <w:t xml:space="preserve"> resins </w:t>
      </w:r>
      <w:r w:rsidR="005868E8">
        <w:rPr>
          <w:rFonts w:cs="Times New Roman"/>
          <w:szCs w:val="24"/>
          <w:lang w:val="en-US"/>
        </w:rPr>
        <w:t xml:space="preserve">were demonstrated to result in experimental materials displaying promising antibacterial </w:t>
      </w:r>
      <w:r w:rsidR="00775046">
        <w:rPr>
          <w:rFonts w:cs="Times New Roman"/>
          <w:szCs w:val="24"/>
          <w:lang w:val="en-US"/>
        </w:rPr>
        <w:t>properties against important microorganisms present in</w:t>
      </w:r>
      <w:r w:rsidR="005868E8">
        <w:rPr>
          <w:rFonts w:cs="Times New Roman"/>
          <w:szCs w:val="24"/>
          <w:lang w:val="en-US"/>
        </w:rPr>
        <w:t xml:space="preserve"> dental</w:t>
      </w:r>
      <w:r w:rsidR="00775046">
        <w:rPr>
          <w:rFonts w:cs="Times New Roman"/>
          <w:szCs w:val="24"/>
          <w:lang w:val="en-US"/>
        </w:rPr>
        <w:t xml:space="preserve"> caries</w:t>
      </w:r>
      <w:r w:rsidR="005868E8">
        <w:rPr>
          <w:rFonts w:cs="Times New Roman"/>
          <w:szCs w:val="24"/>
          <w:lang w:val="en-US"/>
        </w:rPr>
        <w:t xml:space="preserve">, thereby indicating the utility to arrest the development of </w:t>
      </w:r>
      <w:r w:rsidR="00775046">
        <w:rPr>
          <w:rFonts w:cs="Times New Roman"/>
          <w:szCs w:val="24"/>
          <w:lang w:val="en-US"/>
        </w:rPr>
        <w:t>secondar</w:t>
      </w:r>
      <w:r w:rsidR="00D12E6B">
        <w:rPr>
          <w:rFonts w:cs="Times New Roman"/>
          <w:szCs w:val="24"/>
          <w:lang w:val="en-US"/>
        </w:rPr>
        <w:t>y</w:t>
      </w:r>
      <w:r w:rsidR="00775046">
        <w:rPr>
          <w:rFonts w:cs="Times New Roman"/>
          <w:szCs w:val="24"/>
          <w:lang w:val="en-US"/>
        </w:rPr>
        <w:t xml:space="preserve"> caries</w:t>
      </w:r>
      <w:r w:rsidR="00775046">
        <w:rPr>
          <w:rFonts w:cs="Times New Roman"/>
          <w:szCs w:val="24"/>
          <w:lang w:val="en-US"/>
        </w:rPr>
        <w:fldChar w:fldCharType="begin" w:fldLock="1"/>
      </w:r>
      <w:r w:rsidR="004871C8">
        <w:rPr>
          <w:rFonts w:cs="Times New Roman"/>
          <w:szCs w:val="24"/>
          <w:lang w:val="en-US"/>
        </w:rPr>
        <w:instrText>ADDIN CSL_CITATION {"citationItems":[{"id":"ITEM-1","itemData":{"DOI":"10.5395/rde.2014.39.2.109","author":[{"dropping-particle":"","family":"Kasraei","given":"Shahin","non-dropping-particle":"","parse-names":false,"suffix":""},{"dropping-particle":"","family":"Sami","given":"Lida","non-dropping-particle":"","parse-names":false,"suffix":""},{"dropping-particle":"","family":"Hendi","given":"Seyedeh Sareh","non-dropping-particle":"","parse-names":false,"suffix":""},{"dropping-particle":"","family":"Alikhani","given":"Mohammad","non-dropping-particle":"","parse-names":false,"suffix":""},{"dropping-particle":"","family":"Rezaei-Soufi","given":"Loghman","non-dropping-particle":"","parse-names":false,"suffix":""},{"dropping-particle":"","family":"Khamverdi","given":"Zahra","non-dropping-particle":"","parse-names":false,"suffix":""}],"container-title":"Restorative dentistry &amp; endodontics","id":"ITEM-1","issued":{"date-parts":[["2014","5","1"]]},"page":"109-114","title":"Antibacterial properties of composite resins incorporating silver and zinc oxide nanoparticles on Streptococcus mutans and Lactobacillus","type":"article-journal","volume":"39"},"uris":["http://www.mendeley.com/documents/?uuid=3d9243c5-71b9-4c08-a0ee-71048b3c6d0f"]}],"mendeley":{"formattedCitation":"&lt;sup&gt;18&lt;/sup&gt;","plainTextFormattedCitation":"18","previouslyFormattedCitation":"&lt;sup&gt;18&lt;/sup&gt;"},"properties":{"noteIndex":0},"schema":"https://github.com/citation-style-language/schema/raw/master/csl-citation.json"}</w:instrText>
      </w:r>
      <w:r w:rsidR="00775046">
        <w:rPr>
          <w:rFonts w:cs="Times New Roman"/>
          <w:szCs w:val="24"/>
          <w:lang w:val="en-US"/>
        </w:rPr>
        <w:fldChar w:fldCharType="separate"/>
      </w:r>
      <w:r w:rsidR="00B01517" w:rsidRPr="00B01517">
        <w:rPr>
          <w:rFonts w:cs="Times New Roman"/>
          <w:noProof/>
          <w:szCs w:val="24"/>
          <w:vertAlign w:val="superscript"/>
          <w:lang w:val="en-US"/>
        </w:rPr>
        <w:t>18</w:t>
      </w:r>
      <w:r w:rsidR="00775046">
        <w:rPr>
          <w:rFonts w:cs="Times New Roman"/>
          <w:szCs w:val="24"/>
          <w:lang w:val="en-US"/>
        </w:rPr>
        <w:fldChar w:fldCharType="end"/>
      </w:r>
      <w:r w:rsidR="00775046">
        <w:rPr>
          <w:rFonts w:cs="Times New Roman"/>
          <w:szCs w:val="24"/>
          <w:lang w:val="en-US"/>
        </w:rPr>
        <w:t>.</w:t>
      </w:r>
      <w:r w:rsidR="00D12E6B">
        <w:rPr>
          <w:rFonts w:cs="Times New Roman"/>
          <w:szCs w:val="24"/>
          <w:lang w:val="en-US"/>
        </w:rPr>
        <w:t xml:space="preserve"> </w:t>
      </w:r>
      <w:r w:rsidR="00930441">
        <w:rPr>
          <w:rFonts w:cs="Times New Roman"/>
          <w:szCs w:val="24"/>
          <w:lang w:val="en-US"/>
        </w:rPr>
        <w:t>Metal</w:t>
      </w:r>
      <w:r w:rsidR="005868E8">
        <w:rPr>
          <w:rFonts w:cs="Times New Roman"/>
          <w:szCs w:val="24"/>
          <w:lang w:val="en-US"/>
        </w:rPr>
        <w:t>lic</w:t>
      </w:r>
      <w:r w:rsidR="00930441">
        <w:rPr>
          <w:rFonts w:cs="Times New Roman"/>
          <w:szCs w:val="24"/>
          <w:lang w:val="en-US"/>
        </w:rPr>
        <w:t xml:space="preserve"> nanoparticles can</w:t>
      </w:r>
      <w:r w:rsidR="005868E8">
        <w:rPr>
          <w:rFonts w:cs="Times New Roman"/>
          <w:szCs w:val="24"/>
          <w:lang w:val="en-US"/>
        </w:rPr>
        <w:t xml:space="preserve"> be easily</w:t>
      </w:r>
      <w:r w:rsidR="00930441">
        <w:rPr>
          <w:rFonts w:cs="Times New Roman"/>
          <w:szCs w:val="24"/>
          <w:lang w:val="en-US"/>
        </w:rPr>
        <w:t xml:space="preserve"> disperse</w:t>
      </w:r>
      <w:r w:rsidR="005868E8">
        <w:rPr>
          <w:rFonts w:cs="Times New Roman"/>
          <w:szCs w:val="24"/>
          <w:lang w:val="en-US"/>
        </w:rPr>
        <w:t>d</w:t>
      </w:r>
      <w:r w:rsidR="00930441">
        <w:rPr>
          <w:rFonts w:cs="Times New Roman"/>
          <w:szCs w:val="24"/>
          <w:lang w:val="en-US"/>
        </w:rPr>
        <w:t xml:space="preserve"> into other materials while retaining the</w:t>
      </w:r>
      <w:r w:rsidR="005868E8">
        <w:rPr>
          <w:rFonts w:cs="Times New Roman"/>
          <w:szCs w:val="24"/>
          <w:lang w:val="en-US"/>
        </w:rPr>
        <w:t>ir</w:t>
      </w:r>
      <w:r w:rsidR="00930441">
        <w:rPr>
          <w:rFonts w:cs="Times New Roman"/>
          <w:szCs w:val="24"/>
          <w:lang w:val="en-US"/>
        </w:rPr>
        <w:t xml:space="preserve"> antibacterial properties. </w:t>
      </w:r>
      <w:r w:rsidR="005868E8">
        <w:rPr>
          <w:rFonts w:cs="Times New Roman"/>
          <w:szCs w:val="24"/>
          <w:lang w:val="en-US"/>
        </w:rPr>
        <w:t xml:space="preserve">Even though the antibacterial mechanism </w:t>
      </w:r>
      <w:r w:rsidR="00AE4931">
        <w:rPr>
          <w:rFonts w:cs="Times New Roman"/>
          <w:szCs w:val="24"/>
          <w:lang w:val="en-US"/>
        </w:rPr>
        <w:t xml:space="preserve">of </w:t>
      </w:r>
      <w:r w:rsidR="00CD3FA7">
        <w:rPr>
          <w:rFonts w:cs="Times New Roman"/>
          <w:szCs w:val="24"/>
          <w:lang w:val="en-US"/>
        </w:rPr>
        <w:t>metal oxide</w:t>
      </w:r>
      <w:r w:rsidR="00AE4931">
        <w:rPr>
          <w:rFonts w:cs="Times New Roman"/>
          <w:szCs w:val="24"/>
          <w:lang w:val="en-US"/>
        </w:rPr>
        <w:t xml:space="preserve"> nanoparticles has not been fully discovered, it is believed that their major mechanism of action is based on the generation of </w:t>
      </w:r>
      <w:r w:rsidR="003406A9">
        <w:rPr>
          <w:rFonts w:cs="Times New Roman"/>
          <w:szCs w:val="24"/>
          <w:lang w:val="en-US"/>
        </w:rPr>
        <w:t>reactive oxygen species</w:t>
      </w:r>
      <w:r w:rsidR="00AE4931">
        <w:rPr>
          <w:rFonts w:cs="Times New Roman"/>
          <w:szCs w:val="24"/>
          <w:lang w:val="en-US"/>
        </w:rPr>
        <w:t xml:space="preserve"> (ROS) and due to lipid peroxidation</w:t>
      </w:r>
      <w:r w:rsidR="004871C8">
        <w:rPr>
          <w:rFonts w:cs="Times New Roman"/>
          <w:szCs w:val="24"/>
          <w:lang w:val="en-US"/>
        </w:rPr>
        <w:fldChar w:fldCharType="begin" w:fldLock="1"/>
      </w:r>
      <w:r w:rsidR="0004327C">
        <w:rPr>
          <w:rFonts w:cs="Times New Roman"/>
          <w:szCs w:val="24"/>
          <w:lang w:val="en-US"/>
        </w:rPr>
        <w:instrText>ADDIN CSL_CITATION {"citationItems":[{"id":"ITEM-1","itemData":{"DOI":"10.1038/nrmicro3028","ISSN":"1740-1534","abstract":"The field of metal toxicology is vast, and although a wealth of information exists to account for bacterial resistance mechanisms towards metals, much less is known about the molecular and cellular targets of toxic metals in microorganisms.Every metal atom has chemical properties that give rise to characteristic interactions with donor ligands, including reduction potential and metal speciation, both within cells and in the extracellular environment. These are key determinants of microbial toxicity.Metal uptake is an important first step for poisoning. Bacterial uptake of non-essential metals occurs through routes normally reserved for essential organic and inorganic ions, and transporters from several families are now known to be involved.Recent advances have begun to define the mechanisms of antimicrobial metal toxicity. These include the production of reactive oxygen species and free radicals, and the depletion of antioxidants; protein dysfunction and loss of enzyme activity; damage to cellular membranes and disruption of electron transport; interference with nutrient acquisition; and genotoxicity.Our increased understanding of microbial metal toxicology is ushering in a new era for the rational design of metal-based antimicrobial agents. New innovations include antibacterial metal nanoparticles, abiotic metal surfaces and coatings, and the use of siderophores as delivery vehicles for toxic metals.Metal-based antimicrobial therapies hold great promise as alternatives to antibiotics, but their potential for toxicity limits their applications. Care should be taken to protect human health and to minimize the damage that might occur to natural ecosystems as a result of the commercial use of metal-based antimicrobial technology.","author":[{"dropping-particle":"","family":"Lemire","given":"Joseph A","non-dropping-particle":"","parse-names":false,"suffix":""},{"dropping-particle":"","family":"Harrison","given":"Joe J","non-dropping-particle":"","parse-names":false,"suffix":""},{"dropping-particle":"","family":"Turner","given":"Raymond J","non-dropping-particle":"","parse-names":false,"suffix":""}],"container-title":"Nature Reviews Microbiology","id":"ITEM-1","issue":"6","issued":{"date-parts":[["2013"]]},"page":"371-384","title":"Antimicrobial activity of metals: mechanisms, molecular targets and applications","type":"article-journal","volume":"11"},"uris":["http://www.mendeley.com/documents/?uuid=89bb9c5c-4e9b-492d-bd64-e037de52a2c3"]}],"mendeley":{"formattedCitation":"&lt;sup&gt;19&lt;/sup&gt;","plainTextFormattedCitation":"19","previouslyFormattedCitation":"&lt;sup&gt;19&lt;/sup&gt;"},"properties":{"noteIndex":0},"schema":"https://github.com/citation-style-language/schema/raw/master/csl-citation.json"}</w:instrText>
      </w:r>
      <w:r w:rsidR="004871C8">
        <w:rPr>
          <w:rFonts w:cs="Times New Roman"/>
          <w:szCs w:val="24"/>
          <w:lang w:val="en-US"/>
        </w:rPr>
        <w:fldChar w:fldCharType="separate"/>
      </w:r>
      <w:r w:rsidR="004871C8" w:rsidRPr="004871C8">
        <w:rPr>
          <w:rFonts w:cs="Times New Roman"/>
          <w:noProof/>
          <w:szCs w:val="24"/>
          <w:vertAlign w:val="superscript"/>
          <w:lang w:val="en-US"/>
        </w:rPr>
        <w:t>19</w:t>
      </w:r>
      <w:r w:rsidR="004871C8">
        <w:rPr>
          <w:rFonts w:cs="Times New Roman"/>
          <w:szCs w:val="24"/>
          <w:lang w:val="en-US"/>
        </w:rPr>
        <w:fldChar w:fldCharType="end"/>
      </w:r>
      <w:r w:rsidR="003406A9">
        <w:rPr>
          <w:rFonts w:cs="Times New Roman"/>
          <w:szCs w:val="24"/>
          <w:lang w:val="en-US"/>
        </w:rPr>
        <w:t>. The</w:t>
      </w:r>
      <w:r w:rsidR="00AE4931">
        <w:rPr>
          <w:rFonts w:cs="Times New Roman"/>
          <w:szCs w:val="24"/>
          <w:lang w:val="en-US"/>
        </w:rPr>
        <w:t>se</w:t>
      </w:r>
      <w:r w:rsidR="003406A9">
        <w:rPr>
          <w:rFonts w:cs="Times New Roman"/>
          <w:szCs w:val="24"/>
          <w:lang w:val="en-US"/>
        </w:rPr>
        <w:t xml:space="preserve"> </w:t>
      </w:r>
      <w:r w:rsidR="00AE4931">
        <w:rPr>
          <w:rFonts w:cs="Times New Roman"/>
          <w:szCs w:val="24"/>
          <w:lang w:val="en-US"/>
        </w:rPr>
        <w:t xml:space="preserve">short-lived and high reactive molecules are capable of oxidizing numerous organic components such as the bacterial membrane, </w:t>
      </w:r>
      <w:r w:rsidR="003406A9">
        <w:rPr>
          <w:rFonts w:cs="Times New Roman"/>
          <w:szCs w:val="24"/>
          <w:lang w:val="en-US"/>
        </w:rPr>
        <w:t>DNA damage</w:t>
      </w:r>
      <w:r w:rsidR="008048F3">
        <w:rPr>
          <w:rFonts w:cs="Times New Roman"/>
          <w:szCs w:val="24"/>
          <w:lang w:val="en-US"/>
        </w:rPr>
        <w:t>,</w:t>
      </w:r>
      <w:r w:rsidR="003406A9">
        <w:rPr>
          <w:rFonts w:cs="Times New Roman"/>
          <w:szCs w:val="24"/>
          <w:lang w:val="en-US"/>
        </w:rPr>
        <w:t xml:space="preserve"> and inhibition of certain</w:t>
      </w:r>
      <w:r w:rsidR="00AE4931">
        <w:rPr>
          <w:rFonts w:cs="Times New Roman"/>
          <w:szCs w:val="24"/>
          <w:lang w:val="en-US"/>
        </w:rPr>
        <w:t xml:space="preserve"> intracellular</w:t>
      </w:r>
      <w:r w:rsidR="003406A9">
        <w:rPr>
          <w:rFonts w:cs="Times New Roman"/>
          <w:szCs w:val="24"/>
          <w:lang w:val="en-US"/>
        </w:rPr>
        <w:t xml:space="preserve"> enzyme activities that are vital for</w:t>
      </w:r>
      <w:r w:rsidR="00AE4931">
        <w:rPr>
          <w:rFonts w:cs="Times New Roman"/>
          <w:szCs w:val="24"/>
          <w:lang w:val="en-US"/>
        </w:rPr>
        <w:t xml:space="preserve"> the viability and growth of</w:t>
      </w:r>
      <w:r w:rsidR="003406A9">
        <w:rPr>
          <w:rFonts w:cs="Times New Roman"/>
          <w:szCs w:val="24"/>
          <w:lang w:val="en-US"/>
        </w:rPr>
        <w:t xml:space="preserve"> cell</w:t>
      </w:r>
      <w:r w:rsidR="00AE4931">
        <w:rPr>
          <w:rFonts w:cs="Times New Roman"/>
          <w:szCs w:val="24"/>
          <w:lang w:val="en-US"/>
        </w:rPr>
        <w:t>s</w:t>
      </w:r>
      <w:r w:rsidR="003406A9">
        <w:rPr>
          <w:rFonts w:cs="Times New Roman"/>
          <w:szCs w:val="24"/>
          <w:lang w:val="en-US"/>
        </w:rPr>
        <w:fldChar w:fldCharType="begin" w:fldLock="1"/>
      </w:r>
      <w:r w:rsidR="0004327C">
        <w:rPr>
          <w:rFonts w:cs="Times New Roman"/>
          <w:szCs w:val="24"/>
          <w:lang w:val="en-US"/>
        </w:rPr>
        <w:instrText>ADDIN CSL_CITATION {"citationItems":[{"id":"ITEM-1","itemData":{"DOI":"10.1146/annurev.micro.57.030502.090938","ISSN":"0066-4227","abstract":"? Abstract?The phenomenon of oxygen toxicity is universal, but only recently have we begun to understand its basis in molecular terms. Redox enzymes are notoriously nonspecific, transferring electrons to any good acceptor with which they make electronic contact. This poses a problem for aerobic organisms, since molecular oxygen is small enough to penetrate all but the most shielded active sites of redox enzymes. Adventitious electron transfers to oxygen create superoxide and hydrogen peroxide, which are partially reduced species that can oxidize biomolecules with which oxygen itself reacts poorly. This review attempts to present our still-incomplete understanding of how reactive oxygen species are formed inside cells and the mechanisms by which they damage specific target molecules. The vulnerability of cells to oxidation lies at the root of obligate anaerobiosis, spontaneous mutagenesis, and the use of oxidative stress as a biological weapon.","author":[{"dropping-particle":"","family":"Imlay","given":"James A","non-dropping-particle":"","parse-names":false,"suffix":""}],"container-title":"Annual Review of Microbiology","id":"ITEM-1","issue":"1","issued":{"date-parts":[["2003","10","1"]]},"note":"doi: 10.1146/annurev.micro.57.030502.090938","page":"395-418","publisher":"Annual Reviews","title":"Pathways of Oxidative Damage","type":"article-journal","volume":"57"},"uris":["http://www.mendeley.com/documents/?uuid=92ac0232-6f1c-4143-a6dc-cd48f54b1f7c"]}],"mendeley":{"formattedCitation":"&lt;sup&gt;20&lt;/sup&gt;","plainTextFormattedCitation":"20","previouslyFormattedCitation":"&lt;sup&gt;20&lt;/sup&gt;"},"properties":{"noteIndex":0},"schema":"https://github.com/citation-style-language/schema/raw/master/csl-citation.json"}</w:instrText>
      </w:r>
      <w:r w:rsidR="003406A9">
        <w:rPr>
          <w:rFonts w:cs="Times New Roman"/>
          <w:szCs w:val="24"/>
          <w:lang w:val="en-US"/>
        </w:rPr>
        <w:fldChar w:fldCharType="separate"/>
      </w:r>
      <w:r w:rsidR="004871C8" w:rsidRPr="004871C8">
        <w:rPr>
          <w:rFonts w:cs="Times New Roman"/>
          <w:noProof/>
          <w:szCs w:val="24"/>
          <w:vertAlign w:val="superscript"/>
          <w:lang w:val="en-US"/>
        </w:rPr>
        <w:t>20</w:t>
      </w:r>
      <w:r w:rsidR="003406A9">
        <w:rPr>
          <w:rFonts w:cs="Times New Roman"/>
          <w:szCs w:val="24"/>
          <w:lang w:val="en-US"/>
        </w:rPr>
        <w:fldChar w:fldCharType="end"/>
      </w:r>
      <w:r w:rsidR="003406A9">
        <w:rPr>
          <w:rFonts w:cs="Times New Roman"/>
          <w:szCs w:val="24"/>
          <w:lang w:val="en-US"/>
        </w:rPr>
        <w:t>.</w:t>
      </w:r>
    </w:p>
    <w:p w14:paraId="00D38303" w14:textId="3268A732" w:rsidR="00830771" w:rsidRDefault="00830771" w:rsidP="00903D53">
      <w:pPr>
        <w:pStyle w:val="Heading3"/>
        <w:jc w:val="both"/>
      </w:pPr>
      <w:bookmarkStart w:id="15" w:name="_Toc45837535"/>
      <w:r>
        <w:t>Zinc Oxide</w:t>
      </w:r>
      <w:r w:rsidRPr="00830771">
        <w:t xml:space="preserve"> </w:t>
      </w:r>
      <w:r>
        <w:t>Nanoparticles</w:t>
      </w:r>
      <w:bookmarkEnd w:id="15"/>
    </w:p>
    <w:p w14:paraId="7CD953B1" w14:textId="44F7320B" w:rsidR="006C6ED2" w:rsidRDefault="00496ACE" w:rsidP="00903D53">
      <w:pPr>
        <w:spacing w:after="0" w:line="480" w:lineRule="auto"/>
        <w:ind w:firstLine="708"/>
        <w:jc w:val="both"/>
        <w:rPr>
          <w:lang w:val="en-US"/>
        </w:rPr>
      </w:pPr>
      <w:r>
        <w:rPr>
          <w:rFonts w:cs="Times New Roman"/>
          <w:szCs w:val="24"/>
          <w:lang w:val="en-US"/>
        </w:rPr>
        <w:t xml:space="preserve">Zinc oxide nanoparticles are </w:t>
      </w:r>
      <w:r w:rsidR="00A200A1">
        <w:rPr>
          <w:rFonts w:cs="Times New Roman"/>
          <w:szCs w:val="24"/>
          <w:lang w:val="en-US"/>
        </w:rPr>
        <w:t xml:space="preserve">studied and used </w:t>
      </w:r>
      <w:r>
        <w:rPr>
          <w:rFonts w:cs="Times New Roman"/>
          <w:szCs w:val="24"/>
          <w:lang w:val="en-US"/>
        </w:rPr>
        <w:t xml:space="preserve">for many different purposes including their potential for </w:t>
      </w:r>
      <w:r w:rsidR="00A60DCC">
        <w:rPr>
          <w:rFonts w:cs="Times New Roman"/>
          <w:szCs w:val="24"/>
          <w:lang w:val="en-US"/>
        </w:rPr>
        <w:t>bacterial</w:t>
      </w:r>
      <w:r>
        <w:rPr>
          <w:rFonts w:cs="Times New Roman"/>
          <w:szCs w:val="24"/>
          <w:lang w:val="en-US"/>
        </w:rPr>
        <w:t xml:space="preserve"> inhibition. </w:t>
      </w:r>
      <w:r w:rsidR="00930441">
        <w:rPr>
          <w:rFonts w:cs="Times New Roman"/>
          <w:szCs w:val="24"/>
          <w:lang w:val="en-US"/>
        </w:rPr>
        <w:t xml:space="preserve">Many studies have reported incorporation of zinc oxide nanoparticles into materials for antibacterial purposes. </w:t>
      </w:r>
      <w:r w:rsidR="00C50312">
        <w:rPr>
          <w:rFonts w:cs="Times New Roman"/>
          <w:szCs w:val="24"/>
          <w:lang w:val="en-US"/>
        </w:rPr>
        <w:t xml:space="preserve">A study conducted by Kasraei et al. found that zinc oxide nanoparticles exhibited </w:t>
      </w:r>
      <w:r w:rsidR="002F4BD1">
        <w:rPr>
          <w:rFonts w:cs="Times New Roman"/>
          <w:szCs w:val="24"/>
          <w:lang w:val="en-US"/>
        </w:rPr>
        <w:t>antibacterial properties. The control</w:t>
      </w:r>
      <w:r w:rsidR="00672438">
        <w:rPr>
          <w:rFonts w:cs="Times New Roman"/>
          <w:szCs w:val="24"/>
          <w:lang w:val="en-US"/>
        </w:rPr>
        <w:t xml:space="preserve"> blood</w:t>
      </w:r>
      <w:r w:rsidR="002F4BD1">
        <w:rPr>
          <w:rFonts w:cs="Times New Roman"/>
          <w:szCs w:val="24"/>
          <w:lang w:val="en-US"/>
        </w:rPr>
        <w:t xml:space="preserve"> agar plate showed a mean number of 126 ± 29.47</w:t>
      </w:r>
      <w:r w:rsidR="00672438">
        <w:rPr>
          <w:rFonts w:cs="Times New Roman"/>
          <w:szCs w:val="24"/>
          <w:lang w:val="en-US"/>
        </w:rPr>
        <w:t xml:space="preserve"> </w:t>
      </w:r>
      <w:r w:rsidR="00672438" w:rsidRPr="00903D53">
        <w:rPr>
          <w:rFonts w:cs="Times New Roman"/>
          <w:i/>
          <w:iCs/>
          <w:szCs w:val="24"/>
          <w:lang w:val="en-US"/>
        </w:rPr>
        <w:t>Streptococcus mutans</w:t>
      </w:r>
      <w:r w:rsidR="002F4BD1">
        <w:rPr>
          <w:rFonts w:cs="Times New Roman"/>
          <w:szCs w:val="24"/>
          <w:lang w:val="en-US"/>
        </w:rPr>
        <w:t xml:space="preserve"> colonies on the surface while the blood agar plate with composite zinc oxide at 1% concentration resulted in a mean number of 0.93 ± 1.53 </w:t>
      </w:r>
      <w:r w:rsidR="00672438">
        <w:rPr>
          <w:rFonts w:cs="Times New Roman"/>
          <w:szCs w:val="24"/>
          <w:lang w:val="en-US"/>
        </w:rPr>
        <w:t>Streptococcus mutans</w:t>
      </w:r>
      <w:r w:rsidR="002F4BD1">
        <w:rPr>
          <w:rFonts w:cs="Times New Roman"/>
          <w:szCs w:val="24"/>
          <w:lang w:val="en-US"/>
        </w:rPr>
        <w:t xml:space="preserve"> conlonies</w:t>
      </w:r>
      <w:r w:rsidR="002F4BD1">
        <w:rPr>
          <w:rFonts w:cs="Times New Roman"/>
          <w:szCs w:val="24"/>
          <w:lang w:val="en-US"/>
        </w:rPr>
        <w:fldChar w:fldCharType="begin" w:fldLock="1"/>
      </w:r>
      <w:r w:rsidR="004871C8">
        <w:rPr>
          <w:rFonts w:cs="Times New Roman"/>
          <w:szCs w:val="24"/>
          <w:lang w:val="en-US"/>
        </w:rPr>
        <w:instrText>ADDIN CSL_CITATION {"citationItems":[{"id":"ITEM-1","itemData":{"DOI":"10.5395/rde.2014.39.2.109","author":[{"dropping-particle":"","family":"Kasraei","given":"Shahin","non-dropping-particle":"","parse-names":false,"suffix":""},{"dropping-particle":"","family":"Sami","given":"Lida","non-dropping-particle":"","parse-names":false,"suffix":""},{"dropping-particle":"","family":"Hendi","given":"Seyedeh Sareh","non-dropping-particle":"","parse-names":false,"suffix":""},{"dropping-particle":"","family":"Alikhani","given":"Mohammad","non-dropping-particle":"","parse-names":false,"suffix":""},{"dropping-particle":"","family":"Rezaei-Soufi","given":"Loghman","non-dropping-particle":"","parse-names":false,"suffix":""},{"dropping-particle":"","family":"Khamverdi","given":"Zahra","non-dropping-particle":"","parse-names":false,"suffix":""}],"container-title":"Restorative dentistry &amp; endodontics","id":"ITEM-1","issued":{"date-parts":[["2014","5","1"]]},"page":"109-114","title":"Antibacterial properties of composite resins incorporating silver and zinc oxide nanoparticles on Streptococcus mutans and Lactobacillus","type":"article-journal","volume":"39"},"uris":["http://www.mendeley.com/documents/?uuid=3d9243c5-71b9-4c08-a0ee-71048b3c6d0f"]}],"mendeley":{"formattedCitation":"&lt;sup&gt;18&lt;/sup&gt;","plainTextFormattedCitation":"18","previouslyFormattedCitation":"&lt;sup&gt;18&lt;/sup&gt;"},"properties":{"noteIndex":0},"schema":"https://github.com/citation-style-language/schema/raw/master/csl-citation.json"}</w:instrText>
      </w:r>
      <w:r w:rsidR="002F4BD1">
        <w:rPr>
          <w:rFonts w:cs="Times New Roman"/>
          <w:szCs w:val="24"/>
          <w:lang w:val="en-US"/>
        </w:rPr>
        <w:fldChar w:fldCharType="separate"/>
      </w:r>
      <w:r w:rsidR="00B01517" w:rsidRPr="00B01517">
        <w:rPr>
          <w:rFonts w:cs="Times New Roman"/>
          <w:noProof/>
          <w:szCs w:val="24"/>
          <w:vertAlign w:val="superscript"/>
          <w:lang w:val="en-US"/>
        </w:rPr>
        <w:t>18</w:t>
      </w:r>
      <w:r w:rsidR="002F4BD1">
        <w:rPr>
          <w:rFonts w:cs="Times New Roman"/>
          <w:szCs w:val="24"/>
          <w:lang w:val="en-US"/>
        </w:rPr>
        <w:fldChar w:fldCharType="end"/>
      </w:r>
      <w:r w:rsidR="002F4BD1">
        <w:rPr>
          <w:rFonts w:cs="Times New Roman"/>
          <w:szCs w:val="24"/>
          <w:lang w:val="en-US"/>
        </w:rPr>
        <w:t xml:space="preserve">. </w:t>
      </w:r>
      <w:r w:rsidR="008D120D">
        <w:rPr>
          <w:rFonts w:cs="Times New Roman"/>
          <w:szCs w:val="24"/>
          <w:lang w:val="en-US"/>
        </w:rPr>
        <w:t>Zinc oxide has shown antibacterial properties against</w:t>
      </w:r>
      <w:r w:rsidR="002F375D">
        <w:rPr>
          <w:rFonts w:cs="Times New Roman"/>
          <w:szCs w:val="24"/>
          <w:lang w:val="en-US"/>
        </w:rPr>
        <w:t xml:space="preserve"> both</w:t>
      </w:r>
      <w:r w:rsidR="008D120D">
        <w:rPr>
          <w:rFonts w:cs="Times New Roman"/>
          <w:szCs w:val="24"/>
          <w:lang w:val="en-US"/>
        </w:rPr>
        <w:t xml:space="preserve"> gram-positive and gram-negative bacteria</w:t>
      </w:r>
      <w:r w:rsidR="008D120D">
        <w:rPr>
          <w:rFonts w:cs="Times New Roman"/>
          <w:szCs w:val="24"/>
          <w:lang w:val="en-US"/>
        </w:rPr>
        <w:fldChar w:fldCharType="begin" w:fldLock="1"/>
      </w:r>
      <w:r w:rsidR="0004327C">
        <w:rPr>
          <w:rFonts w:cs="Times New Roman"/>
          <w:szCs w:val="24"/>
          <w:lang w:val="en-US"/>
        </w:rPr>
        <w:instrText xml:space="preserve">ADDIN CSL_CITATION {"citationItems":[{"id":"ITEM-1","itemData":{"DOI":"https://doi.org/10.1016/j.apsusc.2009.04.198","ISSN":"0169-4332","abstract":"Zinc oxide (ZnO) nanoparticles were synthesized and deposited on the surface of glass slides using ultrasound irradiation. The structure and morphology of the nanoparticles were studied as a function of the synthesis time. The deposited film was analyzed using characterization methods such as XRD, SEM, AFM, and optical spectroscopy. Zinc oxide submicron crystals with an average diameter of </w:instrText>
      </w:r>
      <w:r w:rsidR="0004327C">
        <w:rPr>
          <w:rFonts w:ascii="Cambria Math" w:hAnsi="Cambria Math" w:cs="Cambria Math"/>
          <w:szCs w:val="24"/>
          <w:lang w:val="en-US"/>
        </w:rPr>
        <w:instrText>∼</w:instrText>
      </w:r>
      <w:r w:rsidR="0004327C">
        <w:rPr>
          <w:rFonts w:cs="Times New Roman"/>
          <w:szCs w:val="24"/>
          <w:lang w:val="en-US"/>
        </w:rPr>
        <w:instrText>300nm strongly adhered to the glass surface. This method is fast, simple, convenient, economical, and environmentally friendly. The antibacterial activities of the ZnO–glass composites were tested against Escherichia coli (Gram negative) and Staphylococcus aureus (Gram positive) cultures. A significant bactericidal effect, even in a 0.13% coated glass (wt.%), was demonstrated.","author":[{"dropping-particle":"","family":"Applerot","given":"Guy","non-dropping-particle":"","parse-names":false,"suffix":""},{"dropping-particle":"","family":"Perkas","given":"Nina","non-dropping-particle":"","parse-names":false,"suffix":""},{"dropping-particle":"","family":"Amirian","given":"Galina","non-dropping-particle":"","parse-names":false,"suffix":""},{"dropping-particle":"","family":"Girshevitz","given":"Olga","non-dropping-particle":"","parse-names":false,"suffix":""},{"dropping-particle":"","family":"Gedanken","given":"Aharon","non-dropping-particle":"","parse-names":false,"suffix":""}],"container-title":"Applied Surface Science","id":"ITEM-1","issue":"3, Supplement ","issued":{"date-parts":[["2009"]]},"page":"S3-S8","title":"Coating of glass with ZnO via ultrasonic irradiation and a study of its antibacterial properties","type":"article-journal","volume":"256"},"uris":["http://www.mendeley.com/documents/?uuid=ee61f582-1914-4022-b96a-8b2bac105a79"]},{"id":"ITEM-2","itemData":{"DOI":"10.1186/s40104-017-0156-6","ISSN":"2049-1891","abstract":"A series of modified montmorillonites (Mt) including zinc-loaded Mt (Zn-Mt), copper-loaded Mt (Cu-Mt), copper/zinc-loaded Mt with different Cu/Zn ratio (Cu/Zn-Mt-1, Cu/Zn-Mt-2, Cu/Zn-Mt-3) were prepared by an ion-exchange reaction, and characterized using X-ray diffraction (XRD), fourier transformed infrared spectroscopy (FTIR) and transmission electron microscopy (TEM). The specific surface areas, antimicrobial activity and cytotoxicity of the modified Mt were investigated.","author":[{"dropping-particle":"","family":"Jiao","given":"Lefei","non-dropping-particle":"","parse-names":false,"suffix":""},{"dropping-particle":"","family":"Lin","given":"Fanghui","non-dropping-particle":"","parse-names":false,"suffix":""},{"dropping-particle":"","family":"Cao","given":"Shuting","non-dropping-particle":"","parse-names":false,"suffix":""},{"dropping-particle":"","family":"Wang","given":"Chunchun","non-dropping-particle":"","parse-names":false,"suffix":""},{"dropping-particle":"","family":"Wu","given":"Huan","non-dropping-particle":"","parse-names":false,"suffix":""},{"dropping-particle":"","family":"Shu","given":"Miaoan","non-dropping-particle":"","parse-names":false,"suffix":""},{"dropping-particle":"","family":"Hu","given":"Caihong","non-dropping-particle":"","parse-names":false,"suffix":""}],"container-title":"Journal of Animal Science and Biotechnology","id":"ITEM-2","issue":"1","issued":{"date-parts":[["2017"]]},"page":"27","title":"Preparation, characterization, antimicrobial and cytotoxicity studies of copper/zinc- loaded montmorillonite","type":"article-journal","volume":"8"},"uris":["http://www.mendeley.com/documents/?uuid=98476d4e-f6ae-4744-bbe0-e48e46b5f124"]},{"id":"ITEM-3","itemData":{"DOI":"10.5395/rde.2014.39.2.109","author":[{"dropping-particle":"","family":"Kasraei","given":"Shahin","non-dropping-particle":"","parse-names":false,"suffix":""},{"dropping-particle":"","family":"Sami","given":"Lida","non-dropping-particle":"","parse-names":false,"suffix":""},{"dropping-particle":"","family":"Hendi","given":"Seyedeh Sareh","non-dropping-particle":"","parse-names":false,"suffix":""},{"dropping-particle":"","family":"Alikhani","given":"Mohammad","non-dropping-particle":"","parse-names":false,"suffix":""},{"dropping-particle":"","family":"Rezaei-Soufi","given":"Loghman","non-dropping-particle":"","parse-names":false,"suffix":""},{"dropping-particle":"","family":"Khamverdi","given":"Zahra","non-dropping-particle":"","parse-names":false,"suffix":""}],"container-title":"Restorative dentistry &amp; endodontics","id":"ITEM-3","issued":{"date-parts":[["2014","5","1"]]},"page":"109-114","title":"Antibacterial properties of composite resins incorporating silver and zinc oxide nanoparticles on Streptococcus mutans and Lactobacillus","type":"article-journal","volume":"39"},"uris":["http://www.mendeley.com/documents/?uuid=3d9243c5-71b9-4c08-a0ee-71048b3c6d0f"]},{"id":"ITEM-4","itemData":{"DOI":"doi:10.1002/jbm.b.31620","abstract":"Abstract The resin‐based dental composites commonly used in restorations result in more plaque accumulation than other materials. Bacterial biofilm growth contributes to secondary caries and failure of resin‐based dental composites. Methods to inhibit biofilm growth on dental composites have been sought for several decades. It is demonstrated here that zinc oxide nanoparticles (ZnO‐NPs) blended at 10% (w/w) fraction into dental composites display antimicrobial activity and reduce growth of bacterial biofilms by roughly 80% for a single‐species model dental biofilm. Antibacterial effectiveness of ZnO‐NPs was assessed against Streptococcus sobrinus ATCC 27352 grown both planktonically and as biofilms on composites. Direct contact inhibition was observed by scanning electron microscopy and confocal laser scanning microscopy while biofilm formation was quantified by viable counts. An 80% reduction in bacterial counts was observed with 10% ZnO‐NP‐containing composites compared with their unmodified counterpart, indicating a statistically significant suppression of biofilm growth. Although, 20% of the bacterial population survived and could form a biofilm layer again, 10% ZnO‐NP‐containing composites maintained at least some inhibitory activity even after the third generation of biofilm growth. Microscopy demonstrated continuous biofilm formation for unmodified composites after 1‐day growth, but only sparsely distributed biofilms formed on 10% ZnO‐NP‐containing composites. The minimum inhibitory concentration of ZnO‐NPs suspended in S. sobrinus planktonic culture was 50 μg mL−1. ZnO‐NP‐containing composites (10%) qualitatively showed less biofilm after 1‐day‐anaerobic growth of a three‐species initial colonizer biofilm after being compared with unmodified composites, but did not significantly reduce growth after 3 days. © 2010 Wiley Periodicals, Inc. J Biomed Mater Res Part B: Appl Biomater, 2010.","author":[{"dropping-particle":"","family":"Berdan","given":"Aydin Sevinç","non-dropping-particle":"","parse-names":false,"suffix":""},{"dropping-particle":"","family":"Luke","given":"Hanley","non-dropping-particle":"","parse-names":false,"suffix":""}],"container-title":"Journal of Biomedical Materials Research Part B: Applied Biomaterials","id":"ITEM-4","issue":"1","issued":{"date-parts":[["2010"]]},"page":"22-31","title":"Antibacterial activity of dental composites containing zinc oxide nanoparticles","type":"article-journal","volume":"94B"},"uris":["http://www.mendeley.com/documents/?uuid=0024277f-9e3f-4a0a-9168-0142e8c34b3f"]}],"mendeley":{"formattedCitation":"&lt;sup&gt;4,18,21,22&lt;/sup&gt;","plainTextFormattedCitation":"4,18,21,22","previouslyFormattedCitation":"&lt;sup&gt;4,18,21,22&lt;/sup&gt;"},"properties":{"noteIndex":0},"schema":"https://github.com/citation-style-language/schema/raw/master/csl-citation.json"}</w:instrText>
      </w:r>
      <w:r w:rsidR="008D120D">
        <w:rPr>
          <w:rFonts w:cs="Times New Roman"/>
          <w:szCs w:val="24"/>
          <w:lang w:val="en-US"/>
        </w:rPr>
        <w:fldChar w:fldCharType="separate"/>
      </w:r>
      <w:r w:rsidR="004871C8" w:rsidRPr="004871C8">
        <w:rPr>
          <w:rFonts w:cs="Times New Roman"/>
          <w:noProof/>
          <w:szCs w:val="24"/>
          <w:vertAlign w:val="superscript"/>
          <w:lang w:val="en-US"/>
        </w:rPr>
        <w:t>4,18,21,22</w:t>
      </w:r>
      <w:r w:rsidR="008D120D">
        <w:rPr>
          <w:rFonts w:cs="Times New Roman"/>
          <w:szCs w:val="24"/>
          <w:lang w:val="en-US"/>
        </w:rPr>
        <w:fldChar w:fldCharType="end"/>
      </w:r>
      <w:r w:rsidR="008D120D">
        <w:rPr>
          <w:rFonts w:cs="Times New Roman"/>
          <w:szCs w:val="24"/>
          <w:lang w:val="en-US"/>
        </w:rPr>
        <w:t>.</w:t>
      </w:r>
      <w:r w:rsidR="009C5C4D">
        <w:rPr>
          <w:rFonts w:cs="Times New Roman"/>
          <w:szCs w:val="24"/>
          <w:lang w:val="en-US"/>
        </w:rPr>
        <w:t xml:space="preserve"> </w:t>
      </w:r>
      <w:r w:rsidR="00A60DCC">
        <w:rPr>
          <w:rFonts w:cs="Times New Roman"/>
          <w:szCs w:val="24"/>
          <w:lang w:val="en-US"/>
        </w:rPr>
        <w:t>Zinc oxide has been incorporated into many dental applications which is why</w:t>
      </w:r>
      <w:r w:rsidR="009C5C4D">
        <w:rPr>
          <w:rFonts w:cs="Times New Roman"/>
          <w:szCs w:val="24"/>
          <w:lang w:val="en-US"/>
        </w:rPr>
        <w:t xml:space="preserve"> this study</w:t>
      </w:r>
      <w:r w:rsidR="00A60DCC">
        <w:rPr>
          <w:rFonts w:cs="Times New Roman"/>
          <w:szCs w:val="24"/>
          <w:lang w:val="en-US"/>
        </w:rPr>
        <w:t xml:space="preserve"> is </w:t>
      </w:r>
      <w:r w:rsidR="009C5C4D">
        <w:rPr>
          <w:rFonts w:cs="Times New Roman"/>
          <w:szCs w:val="24"/>
          <w:lang w:val="en-US"/>
        </w:rPr>
        <w:t>interest</w:t>
      </w:r>
      <w:r w:rsidR="00A60DCC">
        <w:rPr>
          <w:rFonts w:cs="Times New Roman"/>
          <w:szCs w:val="24"/>
          <w:lang w:val="en-US"/>
        </w:rPr>
        <w:t>ed</w:t>
      </w:r>
      <w:r w:rsidR="009C5C4D">
        <w:rPr>
          <w:rFonts w:cs="Times New Roman"/>
          <w:szCs w:val="24"/>
          <w:lang w:val="en-US"/>
        </w:rPr>
        <w:t xml:space="preserve"> i</w:t>
      </w:r>
      <w:r w:rsidR="00A60DCC">
        <w:rPr>
          <w:rFonts w:cs="Times New Roman"/>
          <w:szCs w:val="24"/>
          <w:lang w:val="en-US"/>
        </w:rPr>
        <w:t>n</w:t>
      </w:r>
      <w:r w:rsidR="009C5C4D">
        <w:rPr>
          <w:rFonts w:cs="Times New Roman"/>
          <w:szCs w:val="24"/>
          <w:lang w:val="en-US"/>
        </w:rPr>
        <w:t xml:space="preserve"> utilizing zinc oxide nanoparticles to inhibit the growth of bacteria on teeth that may lead to carious lesions. </w:t>
      </w:r>
      <w:r w:rsidR="002908F9">
        <w:rPr>
          <w:lang w:val="en-US"/>
        </w:rPr>
        <w:t>One immediate concern associated with certain meta</w:t>
      </w:r>
      <w:r w:rsidR="00A44985">
        <w:rPr>
          <w:lang w:val="en-US"/>
        </w:rPr>
        <w:t>l</w:t>
      </w:r>
      <w:r w:rsidR="002908F9">
        <w:rPr>
          <w:lang w:val="en-US"/>
        </w:rPr>
        <w:t xml:space="preserve"> oxides</w:t>
      </w:r>
      <w:r w:rsidR="00C84596">
        <w:rPr>
          <w:lang w:val="en-US"/>
        </w:rPr>
        <w:t>,</w:t>
      </w:r>
      <w:r w:rsidR="002908F9">
        <w:rPr>
          <w:lang w:val="en-US"/>
        </w:rPr>
        <w:t xml:space="preserve"> specifically zinc oxide</w:t>
      </w:r>
      <w:r w:rsidR="00C84596">
        <w:rPr>
          <w:lang w:val="en-US"/>
        </w:rPr>
        <w:t>,</w:t>
      </w:r>
      <w:r w:rsidR="009C5C4D">
        <w:rPr>
          <w:lang w:val="en-US"/>
        </w:rPr>
        <w:t xml:space="preserve"> when being introduced to the oral cavity</w:t>
      </w:r>
      <w:r w:rsidR="002908F9">
        <w:rPr>
          <w:lang w:val="en-US"/>
        </w:rPr>
        <w:t xml:space="preserve"> is toxicity. </w:t>
      </w:r>
      <w:r w:rsidR="00CF0218">
        <w:rPr>
          <w:lang w:val="en-US"/>
        </w:rPr>
        <w:t>In some studies, it was found that when nanoparticles are ingested into the body, they can be dispersed easier to different regions because of their small size which can induce oxidative stress and cause overall damage to liver and kidney cells</w:t>
      </w:r>
      <w:r w:rsidR="00CF0218">
        <w:rPr>
          <w:lang w:val="en-US"/>
        </w:rPr>
        <w:fldChar w:fldCharType="begin" w:fldLock="1"/>
      </w:r>
      <w:r w:rsidR="0004327C">
        <w:rPr>
          <w:lang w:val="en-US"/>
        </w:rPr>
        <w:instrText>ADDIN CSL_CITATION {"citationItems":[{"id":"ITEM-1","itemData":{"DOI":"https://doi.org/10.1016/j.mrgentox.2011.12.009","ISSN":"1383-5718","abstract":"Zinc oxide (ZnO) nanoparticles are finding applications in a wide range of products including cosmetics, food packaging, imaging, etc. This increases the likelihood of human exposure to these nanoparticles through dermal, inhalation and oral routes. Presently, the majority of the studies concerning ZnO nanoparticle toxicity have been conducted using in vitro systems which lack the complex cell–cell, cell–matrix interactions and hormonal effects found in the in vivo scenario. The present in vivo study in mice was aimed at investigating the oral toxicity of ZnO nanoparticles. Our results showed a significant accumulation of nanoparticles in the liver leading to cellular injury after sub-acute oral exposure of ZnO nanoparticles (300mg/kg) for 14 consecutive days. This was evident by the elevated alanine aminotransferase (ALT) and alkaline phosphatase (ALP) serum levels and pathological lesions in the liver. ZnO nanoparticles were also found to induce oxidative stress indicated by an increase in lipid peroxidation. The DNA damage in the liver and kidney cells of mice was evaluated by the Fpg-modified Comet assay which revealed a significant (p&lt;0.05) increase in the Fpg-specific DNA lesions in liver indicating oxidative stress as the cause of DNA damage. The TUNEL assay revealed an induction of apoptosis in the liver of mice exposed to ZnO nanoparticles compared to the control. Our results conclusively demonstrate that sub-acute oral exposure to ZnO nanoparticles in mice leads to an accumulation of nanoparticles in the liver causing oxidative stress mediated DNA damage and apoptosis. These results also suggest the need for a complete risk assessment of any new engineered nanoparticle before its arrival into the consumer market.","author":[{"dropping-particle":"","family":"Sharma","given":"Vyom","non-dropping-particle":"","parse-names":false,"suffix":""},{"dropping-particle":"","family":"Singh","given":"Poonam","non-dropping-particle":"","parse-names":false,"suffix":""},{"dropping-particle":"","family":"Pandey","given":"Alok K","non-dropping-particle":"","parse-names":false,"suffix":""},{"dropping-particle":"","family":"Dhawan","given":"Alok","non-dropping-particle":"","parse-names":false,"suffix":""}],"container-title":"Mutation Research/Genetic Toxicology and Environmental Mutagenesis","id":"ITEM-1","issue":"1","issued":{"date-parts":[["2012"]]},"page":"84-91","title":"Induction of oxidative stress, DNA damage and apoptosis in mouse liver after sub-acute oral exposure to zinc oxide nanoparticles","type":"article-journal","volume":"745"},"uris":["http://www.mendeley.com/documents/?uuid=1aa33d4f-2c8d-4d79-805d-75b46bcaf802"]},{"id":"ITEM-2","itemData":{"DOI":"10.3109/17435390.2011.620717","ISSN":"1743-5390","author":[{"dropping-particle":"","family":"Li","given":"Ching-Hao","non-dropping-particle":"","parse-names":false,"suffix":""},{"dropping-particle":"","family":"Shen","given":"Chuan-Chou","non-dropping-particle":"","parse-names":false,"suffix":""},{"dropping-particle":"","family":"Cheng","given":"Yu-Wen","non-dropping-particle":"","parse-names":false,"suffix":""},{"dropping-particle":"","family":"Huang","given":"Shih-Hsuan","non-dropping-particle":"","parse-names":false,"suffix":""},{"dropping-particle":"","family":"Wu","given":"Chung-Che","non-dropping-particle":"","parse-names":false,"suffix":""},{"dropping-particle":"","family":"Kao","given":"Chen-Chieh","non-dropping-particle":"","parse-names":false,"suffix":""},{"dropping-particle":"","family":"Liao","given":"Jiunn-Wang","non-dropping-particle":"","parse-names":false,"suffix":""},{"dropping-particle":"","family":"Kang","given":"Jaw-Jou","non-dropping-particle":"","parse-names":false,"suffix":""}],"container-title":"Nanotoxicology","id":"ITEM-2","issue":"7","issued":{"date-parts":[["2012","11","1"]]},"note":"doi: 10.3109/17435390.2011.620717","page":"746-756","publisher":"Taylor &amp; Francis","title":"Organ biodistribution, clearance, and genotoxicity of orally administered zinc oxide nanoparticles in mice","type":"article-journal","volume":"6"},"uris":["http://www.mendeley.com/documents/?uuid=b27c8c0c-d531-42f7-a65d-6d1acb1515ad"]}],"mendeley":{"formattedCitation":"&lt;sup&gt;23,24&lt;/sup&gt;","plainTextFormattedCitation":"23,24","previouslyFormattedCitation":"&lt;sup&gt;23,24&lt;/sup&gt;"},"properties":{"noteIndex":0},"schema":"https://github.com/citation-style-language/schema/raw/master/csl-citation.json"}</w:instrText>
      </w:r>
      <w:r w:rsidR="00CF0218">
        <w:rPr>
          <w:lang w:val="en-US"/>
        </w:rPr>
        <w:fldChar w:fldCharType="separate"/>
      </w:r>
      <w:r w:rsidR="004871C8" w:rsidRPr="004871C8">
        <w:rPr>
          <w:noProof/>
          <w:vertAlign w:val="superscript"/>
          <w:lang w:val="en-US"/>
        </w:rPr>
        <w:t>23,24</w:t>
      </w:r>
      <w:r w:rsidR="00CF0218">
        <w:rPr>
          <w:lang w:val="en-US"/>
        </w:rPr>
        <w:fldChar w:fldCharType="end"/>
      </w:r>
      <w:r w:rsidR="00CF0218">
        <w:rPr>
          <w:lang w:val="en-US"/>
        </w:rPr>
        <w:t>.</w:t>
      </w:r>
      <w:r w:rsidR="00B00A66">
        <w:rPr>
          <w:lang w:val="en-US"/>
        </w:rPr>
        <w:t xml:space="preserve"> The same mechanism that could prove harmful to healthy cells is used to kill the harmful bacteria that comes in contact with the metal</w:t>
      </w:r>
      <w:r w:rsidR="00EA336F">
        <w:rPr>
          <w:lang w:val="en-US"/>
        </w:rPr>
        <w:t xml:space="preserve"> oxide</w:t>
      </w:r>
      <w:r w:rsidR="00EA336F">
        <w:rPr>
          <w:lang w:val="en-US"/>
        </w:rPr>
        <w:fldChar w:fldCharType="begin" w:fldLock="1"/>
      </w:r>
      <w:r w:rsidR="0004327C">
        <w:rPr>
          <w:lang w:val="en-US"/>
        </w:rPr>
        <w:instrText>ADDIN CSL_CITATION {"citationItems":[{"id":"ITEM-1","itemData":{"DOI":"10.1038/nrmicro3028","ISSN":"1740-1534","abstract":"The field of metal toxicology is vast, and although a wealth of information exists to account for bacterial resistance mechanisms towards metals, much less is known about the molecular and cellular targets of toxic metals in microorganisms.Every metal atom has chemical properties that give rise to characteristic interactions with donor ligands, including reduction potential and metal speciation, both within cells and in the extracellular environment. These are key determinants of microbial toxicity.Metal uptake is an important first step for poisoning. Bacterial uptake of non-essential metals occurs through routes normally reserved for essential organic and inorganic ions, and transporters from several families are now known to be involved.Recent advances have begun to define the mechanisms of antimicrobial metal toxicity. These include the production of reactive oxygen species and free radicals, and the depletion of antioxidants; protein dysfunction and loss of enzyme activity; damage to cellular membranes and disruption of electron transport; interference with nutrient acquisition; and genotoxicity.Our increased understanding of microbial metal toxicology is ushering in a new era for the rational design of metal-based antimicrobial agents. New innovations include antibacterial metal nanoparticles, abiotic metal surfaces and coatings, and the use of siderophores as delivery vehicles for toxic metals.Metal-based antimicrobial therapies hold great promise as alternatives to antibiotics, but their potential for toxicity limits their applications. Care should be taken to protect human health and to minimize the damage that might occur to natural ecosystems as a result of the commercial use of metal-based antimicrobial technology.","author":[{"dropping-particle":"","family":"Lemire","given":"Joseph A","non-dropping-particle":"","parse-names":false,"suffix":""},{"dropping-particle":"","family":"Harrison","given":"Joe J","non-dropping-particle":"","parse-names":false,"suffix":""},{"dropping-particle":"","family":"Turner","given":"Raymond J","non-dropping-particle":"","parse-names":false,"suffix":""}],"container-title":"Nature Reviews Microbiology","id":"ITEM-1","issue":"6","issued":{"date-parts":[["2013"]]},"page":"371-384","title":"Antimicrobial activity of metals: mechanisms, molecular targets and applications","type":"article-journal","volume":"11"},"uris":["http://www.mendeley.com/documents/?uuid=89bb9c5c-4e9b-492d-bd64-e037de52a2c3"]}],"mendeley":{"formattedCitation":"&lt;sup&gt;19&lt;/sup&gt;","plainTextFormattedCitation":"19","previouslyFormattedCitation":"&lt;sup&gt;19&lt;/sup&gt;"},"properties":{"noteIndex":0},"schema":"https://github.com/citation-style-language/schema/raw/master/csl-citation.json"}</w:instrText>
      </w:r>
      <w:r w:rsidR="00EA336F">
        <w:rPr>
          <w:lang w:val="en-US"/>
        </w:rPr>
        <w:fldChar w:fldCharType="separate"/>
      </w:r>
      <w:r w:rsidR="004871C8" w:rsidRPr="004871C8">
        <w:rPr>
          <w:noProof/>
          <w:vertAlign w:val="superscript"/>
          <w:lang w:val="en-US"/>
        </w:rPr>
        <w:t>19</w:t>
      </w:r>
      <w:r w:rsidR="00EA336F">
        <w:rPr>
          <w:lang w:val="en-US"/>
        </w:rPr>
        <w:fldChar w:fldCharType="end"/>
      </w:r>
      <w:r w:rsidR="00EA336F">
        <w:rPr>
          <w:lang w:val="en-US"/>
        </w:rPr>
        <w:t>.</w:t>
      </w:r>
      <w:r w:rsidR="00CF0218">
        <w:rPr>
          <w:lang w:val="en-US"/>
        </w:rPr>
        <w:t xml:space="preserve"> </w:t>
      </w:r>
      <w:r w:rsidR="002908F9">
        <w:rPr>
          <w:lang w:val="en-US"/>
        </w:rPr>
        <w:t>It can be noted that low concentration of metal oxides have been found to not exhibit detrimental toxicity to humans</w:t>
      </w:r>
      <w:r w:rsidR="008333CF">
        <w:rPr>
          <w:lang w:val="en-US"/>
        </w:rPr>
        <w:fldChar w:fldCharType="begin" w:fldLock="1"/>
      </w:r>
      <w:r w:rsidR="0004327C">
        <w:rPr>
          <w:lang w:val="en-US"/>
        </w:rPr>
        <w:instrText xml:space="preserve">ADDIN CSL_CITATION {"citationItems":[{"id":"ITEM-1","itemData":{"DOI":"10.1002/jbm.820140511","ISSN":"0021-9304","abstract":"Abstract The effect of 16 pure metals on the in vitro growth of a form of dental caries producing Streptococcus mutans was studied under both aerobic and anaerobic conditions. Cobalt and copper were consistently observed to be inhibitory. With less consistency nickel, titanium, iron, and vanadium also exhibited ability to inhibit growth of the organism. Bacteriostasis apparently is contingent upon the presence of a corrosion process. The bacteriostatic agent is of uncertain identity and could be a corrosion product or a process secondary to the occurrence of corrosion. Concentrations of metals after 6 days of electrochemical dissolution in the growth medium were measured via electron microprobe analysis and compared with the amount of inhibition which resulted. Threshold concentrations above which growth did not occur were identified. As measured by threshold concentrations, wide variability between metals exists in the ability to inhibit the growth, with cobalt being particularly effective at small concentrations. This implies a sensitivity on the part of the organism that is different for different metals. The threshold concentration varied between aerobic and anaerobic conditions. Streptococcus mutans appeared more resistant to the effects of the metals under anaerobic conditions even though little difference in the amount of corrosion was detected.","author":[{"dropping-particle":"","family":"Bundy","given":"K J","non-dropping-particle":"","parse-names":false,"suffix":""},{"dropping-particle":"","family":"Butler","given":"M F","non-dropping-particle":"","parse-names":false,"suffix":""},{"dropping-particle":"","family":"Hochman","given":"R F","non-dropping-particle":"","parse-names":false,"suffix":""}],"container-title":"Journal of Biomedical Materials Research","id":"ITEM-1","issue":"5","issued":{"date-parts":[["1980","9","1"]]},"note":"doi: 10.1002/jbm.820140511","page":"653-663","publisher":"John Wiley &amp; Sons, Ltd","title":"An investigation of the bacteriostatic properties of pure metals","type":"article-journal","volume":"14"},"uris":["http://www.mendeley.com/documents/?uuid=5d113b66-fb3f-43b9-8eaa-f5eb48a4f582"]},{"id":"ITEM-2","itemData":{"DOI":"10.1186/s40104-017-0156-6","ISSN":"2049-1891","abstract":"A series of modified montmorillonites (Mt) including zinc-loaded Mt (Zn-Mt), copper-loaded Mt (Cu-Mt), copper/zinc-loaded Mt with different Cu/Zn ratio (Cu/Zn-Mt-1, Cu/Zn-Mt-2, Cu/Zn-Mt-3) were prepared by an ion-exchange reaction, and characterized using X-ray diffraction (XRD), fourier transformed infrared spectroscopy (FTIR) and transmission electron microscopy (TEM). The specific surface areas, antimicrobial activity and cytotoxicity of the modified Mt were investigated.","author":[{"dropping-particle":"","family":"Jiao","given":"Lefei","non-dropping-particle":"","parse-names":false,"suffix":""},{"dropping-particle":"","family":"Lin","given":"Fanghui","non-dropping-particle":"","parse-names":false,"suffix":""},{"dropping-particle":"","family":"Cao","given":"Shuting","non-dropping-particle":"","parse-names":false,"suffix":""},{"dropping-particle":"","family":"Wang","given":"Chunchun","non-dropping-particle":"","parse-names":false,"suffix":""},{"dropping-particle":"","family":"Wu","given":"Huan","non-dropping-particle":"","parse-names":false,"suffix":""},{"dropping-particle":"","family":"Shu","given":"Miaoan","non-dropping-particle":"","parse-names":false,"suffix":""},{"dropping-particle":"","family":"Hu","given":"Caihong","non-dropping-particle":"","parse-names":false,"suffix":""}],"container-title":"Journal of Animal Science and Biotechnology","id":"ITEM-2","issue":"1","issued":{"date-parts":[["2017"]]},"page":"27","title":"Preparation, characterization, antimicrobial and cytotoxicity studies of copper/zinc- loaded montmorillonite","type":"article-journal","volume":"8"},"uris":["http://www.mendeley.com/documents/?uuid=98476d4e-f6ae-4744-bbe0-e48e46b5f124"]},{"id":"ITEM-3","itemData":{"DOI":"https://doi.org/10.1016/j.apsusc.2009.04.198","ISSN":"0169-4332","abstract":"Zinc oxide (ZnO) nanoparticles were synthesized and deposited on the surface of glass slides using ultrasound irradiation. The structure and morphology of the nanoparticles were studied as a function of the synthesis time. The deposited film was analyzed using characterization methods such as XRD, SEM, AFM, and optical spectroscopy. Zinc oxide submicron crystals with an average diameter of </w:instrText>
      </w:r>
      <w:r w:rsidR="0004327C">
        <w:rPr>
          <w:rFonts w:ascii="Cambria Math" w:hAnsi="Cambria Math" w:cs="Cambria Math"/>
          <w:lang w:val="en-US"/>
        </w:rPr>
        <w:instrText>∼</w:instrText>
      </w:r>
      <w:r w:rsidR="0004327C">
        <w:rPr>
          <w:lang w:val="en-US"/>
        </w:rPr>
        <w:instrText>300nm strongly adhered to the glass surface. This method is fast, simple, convenient, economical, and environmentally friendly. The antibacterial activities of the ZnO</w:instrText>
      </w:r>
      <w:r w:rsidR="0004327C">
        <w:rPr>
          <w:rFonts w:cs="Times New Roman"/>
          <w:lang w:val="en-US"/>
        </w:rPr>
        <w:instrText>–</w:instrText>
      </w:r>
      <w:r w:rsidR="0004327C">
        <w:rPr>
          <w:lang w:val="en-US"/>
        </w:rPr>
        <w:instrText>glass composites were tested against Escherichia coli (Gram negative) and Staphylococcus aureus (Gram positive) cultures. A significant bactericidal effect, even in a 0.13% coated glass (wt.%), was demonstrated.","author":[{"dropping-particle":"","family":"Applerot","given":"Guy","non-dropping-particle":"","parse-names":false,"suffix":""},{"dropping-particle":"","family":"Perkas","given":"Nina","non-dropping-particle":"","parse-names":false,"suffix":""},{"dropping-particle":"","family":"Amirian","given":"Galina","non-dropping-particle":"","parse-names":false,"suffix":""},{"dropping-particle":"","family":"Girshevitz","given":"Olga","non-dropping-particle":"","parse-names":false,"suffix":""},{"dropping-particle":"","family":"Gedanken","given":"Aharon","non-dropping-particle":"","parse-names":false,"suffix":""}],"container-title":"Applied Surface Science","id":"ITEM-3","issue":"3, Supplement ","issued":{"date-parts":[["2009"]]},"page":"S3-S8","title":"Coating of glass with ZnO via ultrasonic irradiation and a study of its antibacterial properties","type":"article-journal","volume":"256"},"uris":["http://www.mendeley.com/documents/?uuid=ee61f582-1914-4022-b96a-8b2bac105a79"]}],"mendeley":{"formattedCitation":"&lt;sup&gt;21,22,25&lt;/sup&gt;","plainTextFormattedCitation":"21,22,25","previouslyFormattedCitation":"&lt;sup&gt;21,22,25&lt;/sup&gt;"},"properties":{"noteIndex":0},"schema":"https://github.com/citation-style-language/schema/raw/master/csl-citation.json"}</w:instrText>
      </w:r>
      <w:r w:rsidR="008333CF">
        <w:rPr>
          <w:lang w:val="en-US"/>
        </w:rPr>
        <w:fldChar w:fldCharType="separate"/>
      </w:r>
      <w:r w:rsidR="004871C8" w:rsidRPr="004871C8">
        <w:rPr>
          <w:noProof/>
          <w:vertAlign w:val="superscript"/>
          <w:lang w:val="en-US"/>
        </w:rPr>
        <w:t>21,22,25</w:t>
      </w:r>
      <w:r w:rsidR="008333CF">
        <w:rPr>
          <w:lang w:val="en-US"/>
        </w:rPr>
        <w:fldChar w:fldCharType="end"/>
      </w:r>
      <w:r w:rsidR="002908F9">
        <w:rPr>
          <w:lang w:val="en-US"/>
        </w:rPr>
        <w:t>.</w:t>
      </w:r>
      <w:r w:rsidR="00B00A66">
        <w:rPr>
          <w:lang w:val="en-US"/>
        </w:rPr>
        <w:t xml:space="preserve"> </w:t>
      </w:r>
    </w:p>
    <w:p w14:paraId="01B06BE1" w14:textId="3CFAD56F" w:rsidR="00830771" w:rsidRDefault="00830771" w:rsidP="00903D53">
      <w:pPr>
        <w:pStyle w:val="Heading3"/>
        <w:jc w:val="both"/>
      </w:pPr>
      <w:bookmarkStart w:id="16" w:name="_Toc45837536"/>
      <w:r>
        <w:t>Titanium Dioxide Nanoparticles</w:t>
      </w:r>
      <w:bookmarkEnd w:id="16"/>
    </w:p>
    <w:p w14:paraId="34396455" w14:textId="430D69BD" w:rsidR="002D5271" w:rsidRDefault="00415269" w:rsidP="00903D53">
      <w:pPr>
        <w:spacing w:line="480" w:lineRule="auto"/>
        <w:jc w:val="both"/>
        <w:rPr>
          <w:lang w:val="en-US"/>
        </w:rPr>
      </w:pPr>
      <w:r>
        <w:rPr>
          <w:lang w:val="en-US"/>
        </w:rPr>
        <w:tab/>
      </w:r>
      <w:r w:rsidR="00040020">
        <w:rPr>
          <w:lang w:val="en-US"/>
        </w:rPr>
        <w:t>The metal titanium has been used for many years in the medical and dental fields for implants due to its antibacterial properties and high biocompa</w:t>
      </w:r>
      <w:r w:rsidR="00563B0D">
        <w:rPr>
          <w:lang w:val="en-US"/>
        </w:rPr>
        <w:t>tibility</w:t>
      </w:r>
      <w:r w:rsidR="00040020">
        <w:rPr>
          <w:lang w:val="en-US"/>
        </w:rPr>
        <w:fldChar w:fldCharType="begin" w:fldLock="1"/>
      </w:r>
      <w:r w:rsidR="004871C8">
        <w:rPr>
          <w:lang w:val="en-US"/>
        </w:rPr>
        <w:instrText>ADDIN CSL_CITATION {"citationItems":[{"id":"ITEM-1","itemData":{"DOI":"https://doi.org/10.1016/j.dental.2015.03.017","ISSN":"0109-5641","abstract":"Introduction Titanium (Ti) and its alloys are used for implants and other dental materials. In this study, cytotoxicity, DNA damage, cellular uptake and size of three kinds of Ti particles were measured. Methods Cytotoxicity for Ti microparticles (Ti-MPs, &lt;44μm), NiTi microparticles (NiTi-MPs, &lt;44μm), and Ti nanoparticles (Ti-NPs, &lt;100nm) in periodontal ligament (PDL)-hTERT cells was measured with XTT test. DNA damage was determined with comet assay. Particle size was measured with scanning electron microscope, intracellular uptake was determined with laser scanning confocal microscopy and transmission electron microscopy. Results The EC50 values of investigated particles were: 2.8mg/ml (Ti-NPs), 41.8mg/ml (NiTi-MPs) and &gt;999mg/ml (Ti-MPs). The Olive Tail Moment (OTM) values at 1/10 EC50 were: 3.2 (Ti-NPs) and 2.2 (NiTi-MPs). An OTM of 2.2 for Ti-MPs was detected at the concentration of 6666μg/ml. Determined sizes of investigated particles were 20–250nm (Ti-NPs), 0.7–90μm (NiTi-MPs) and 0.3–43μm (Ti-MPs). The highest cellular uptake efficiency was observed with Ti-NPs, followed by Ti-MPs and NiTi-MPs. Only Ti-NPs were found in the nucleus. Conclusion Compared to Ti-MPs and NiTi-MPs, Ti-NPs induced higher cellular uptake efficiency and higher toxic potential in PDL-hTERT cells. Ni in the alloy NiTi induced an increase in the toxic potential compared to Ti-MPs.","author":[{"dropping-particle":"","family":"He","given":"Xiuli","non-dropping-particle":"","parse-names":false,"suffix":""},{"dropping-particle":"","family":"Hartlieb","given":"Eva","non-dropping-particle":"","parse-names":false,"suffix":""},{"dropping-particle":"","family":"Rothmund","given":"Lena","non-dropping-particle":"","parse-names":false,"suffix":""},{"dropping-particle":"","family":"Waschke","given":"Jens","non-dropping-particle":"","parse-names":false,"suffix":""},{"dropping-particle":"","family":"Wu","given":"Xiao","non-dropping-particle":"","parse-names":false,"suffix":""},{"dropping-particle":"","family":"Landuyt","given":"Kirsten L","non-dropping-particle":"Van","parse-names":false,"suffix":""},{"dropping-particle":"","family":"Milz","given":"Stefan","non-dropping-particle":"","parse-names":false,"suffix":""},{"dropping-particle":"","family":"Michalke","given":"Bernhard","non-dropping-particle":"","parse-names":false,"suffix":""},{"dropping-particle":"","family":"Hickel","given":"Reinhard","non-dropping-particle":"","parse-names":false,"suffix":""},{"dropping-particle":"","family":"Reichl","given":"Franz-Xaver","non-dropping-particle":"","parse-names":false,"suffix":""},{"dropping-particle":"","family":"Högg","given":"Christof","non-dropping-particle":"","parse-names":false,"suffix":""}],"container-title":"Dental Materials","id":"ITEM-1","issue":"6","issued":{"date-parts":[["2015"]]},"page":"734-744","title":"Intracellular uptake and toxicity of three different Titanium particles","type":"article-journal","volume":"31"},"uris":["http://www.mendeley.com/documents/?uuid=110adee2-b19c-40fc-af85-28ee1d869868"]}],"mendeley":{"formattedCitation":"&lt;sup&gt;26&lt;/sup&gt;","plainTextFormattedCitation":"26","previouslyFormattedCitation":"&lt;sup&gt;26&lt;/sup&gt;"},"properties":{"noteIndex":0},"schema":"https://github.com/citation-style-language/schema/raw/master/csl-citation.json"}</w:instrText>
      </w:r>
      <w:r w:rsidR="00040020">
        <w:rPr>
          <w:lang w:val="en-US"/>
        </w:rPr>
        <w:fldChar w:fldCharType="separate"/>
      </w:r>
      <w:r w:rsidR="00B01517" w:rsidRPr="00B01517">
        <w:rPr>
          <w:noProof/>
          <w:vertAlign w:val="superscript"/>
          <w:lang w:val="en-US"/>
        </w:rPr>
        <w:t>26</w:t>
      </w:r>
      <w:r w:rsidR="00040020">
        <w:rPr>
          <w:lang w:val="en-US"/>
        </w:rPr>
        <w:fldChar w:fldCharType="end"/>
      </w:r>
      <w:r w:rsidR="00040020">
        <w:rPr>
          <w:lang w:val="en-US"/>
        </w:rPr>
        <w:t>. Incorporating titanium</w:t>
      </w:r>
      <w:r w:rsidR="00563B0D">
        <w:rPr>
          <w:lang w:val="en-US"/>
        </w:rPr>
        <w:t xml:space="preserve"> dioxide</w:t>
      </w:r>
      <w:r w:rsidR="00040020">
        <w:rPr>
          <w:lang w:val="en-US"/>
        </w:rPr>
        <w:t xml:space="preserve"> particles into dental applications is of interest due to its </w:t>
      </w:r>
      <w:r w:rsidR="00563B0D">
        <w:rPr>
          <w:lang w:val="en-US"/>
        </w:rPr>
        <w:t>antibacterial</w:t>
      </w:r>
      <w:r w:rsidR="00040020">
        <w:rPr>
          <w:lang w:val="en-US"/>
        </w:rPr>
        <w:t xml:space="preserve"> abilities. </w:t>
      </w:r>
      <w:r w:rsidR="00A108AE">
        <w:rPr>
          <w:lang w:val="en-US"/>
        </w:rPr>
        <w:t>It has been found that titanium dioxide nanoparticles</w:t>
      </w:r>
      <w:r w:rsidR="00A60DCC">
        <w:rPr>
          <w:lang w:val="en-US"/>
        </w:rPr>
        <w:t xml:space="preserve"> like zinc oxide nanoparticles</w:t>
      </w:r>
      <w:r w:rsidR="00A108AE">
        <w:rPr>
          <w:lang w:val="en-US"/>
        </w:rPr>
        <w:t xml:space="preserve"> </w:t>
      </w:r>
      <w:r w:rsidR="003D455D">
        <w:rPr>
          <w:lang w:val="en-US"/>
        </w:rPr>
        <w:t>have anti</w:t>
      </w:r>
      <w:r w:rsidR="00563B0D">
        <w:rPr>
          <w:lang w:val="en-US"/>
        </w:rPr>
        <w:t>bacter</w:t>
      </w:r>
      <w:r w:rsidR="003D455D">
        <w:rPr>
          <w:lang w:val="en-US"/>
        </w:rPr>
        <w:t>ial properties</w:t>
      </w:r>
      <w:r w:rsidR="005E70A9">
        <w:rPr>
          <w:lang w:val="en-US"/>
        </w:rPr>
        <w:t xml:space="preserve"> and are effective</w:t>
      </w:r>
      <w:r w:rsidR="00443065">
        <w:rPr>
          <w:lang w:val="en-US"/>
        </w:rPr>
        <w:t xml:space="preserve"> against gram positive and negative bacteria</w:t>
      </w:r>
      <w:r w:rsidR="00443065">
        <w:rPr>
          <w:lang w:val="en-US"/>
        </w:rPr>
        <w:fldChar w:fldCharType="begin" w:fldLock="1"/>
      </w:r>
      <w:r w:rsidR="004871C8">
        <w:rPr>
          <w:lang w:val="en-US"/>
        </w:rPr>
        <w:instrText>ADDIN CSL_CITATION {"citationItems":[{"id":"ITEM-1","itemData":{"ISSN":"2190-4286","abstract":"This paper reports the structural and optical properties and comparative photocatalytic activity of TiO2 and Ag-doped TiO2 nanoparticles against different bacterial strains under visible-light irradiation. The TiO2 and Ag-doped TiO2 photocatalysts were synthesized by acid catalyzed sol–gel technique and characterized by X-ray diffraction (XRD), transmission electron microscopy (TEM), UV–vis spectroscopy and photoluminescence (PL). The XRD pattern revealed that the annealed sample of TiO2 has both anatase and rutile phases while only an anatase phase was found in Ag-doped TiO2 nanoparticles. The decreased band-gap energy of Ag-doped TiO2 nanoparticles in comparison to TiO2 nanoparticles was investigated by UV–vis spectroscopy. The rate of recombination and transfer behaviour of the photoexcited electron–hole pairs in the semiconductors was recorded by photoluminescence. The antimicrobial activity of TiO2 and Ag-doped TiO2 nanoparticles (3% and 7%) was investigated against both gram positive (Staphylococcus aureus) and gram negative (Pseudomonas aeruginosa, Escherichia coli) bacteria. As a result, the viability of all three microorganisms was reduced to zero at 60 mg/30 mL culture in the case of both (3% and 7% doping) concentrations of Ag-doped TiO2 nanoparticles. Annealed TiO2 showed zero viability at 80 mg/30 mL whereas doped Ag-TiO2 7% showed zero viability at 40 mg/30 mL culture in the case of P. aeruginosa only.","author":[{"dropping-particle":"","family":"Gupta","given":"Kiran","non-dropping-particle":"","parse-names":false,"suffix":""},{"dropping-particle":"","family":"Singh","given":"R P","non-dropping-particle":"","parse-names":false,"suffix":""},{"dropping-particle":"","family":"Pandey","given":"Ashutosh","non-dropping-particle":"","parse-names":false,"suffix":""},{"dropping-particle":"","family":"Pandey","given":"Anjana","non-dropping-particle":"","parse-names":false,"suffix":""}],"container-title":"Beilstein Journal of Nanotechnology","id":"ITEM-1","issued":{"date-parts":[["2013"]]},"page":"345-351","title":"Photocatalytic antibacterial performance of TiO2 and Ag-doped TiO2 against S. aureus. P. aeruginosa and E. coli","type":"article-journal","volume":"4"},"uris":["http://www.mendeley.com/documents/?uuid=bcb7b2b1-c1b0-43ff-9871-843ff8c8bcf4"]}],"mendeley":{"formattedCitation":"&lt;sup&gt;14&lt;/sup&gt;","plainTextFormattedCitation":"14","previouslyFormattedCitation":"&lt;sup&gt;14&lt;/sup&gt;"},"properties":{"noteIndex":0},"schema":"https://github.com/citation-style-language/schema/raw/master/csl-citation.json"}</w:instrText>
      </w:r>
      <w:r w:rsidR="00443065">
        <w:rPr>
          <w:lang w:val="en-US"/>
        </w:rPr>
        <w:fldChar w:fldCharType="separate"/>
      </w:r>
      <w:r w:rsidR="00B01517" w:rsidRPr="00B01517">
        <w:rPr>
          <w:noProof/>
          <w:vertAlign w:val="superscript"/>
          <w:lang w:val="en-US"/>
        </w:rPr>
        <w:t>14</w:t>
      </w:r>
      <w:r w:rsidR="00443065">
        <w:rPr>
          <w:lang w:val="en-US"/>
        </w:rPr>
        <w:fldChar w:fldCharType="end"/>
      </w:r>
      <w:r w:rsidR="003D455D">
        <w:rPr>
          <w:lang w:val="en-US"/>
        </w:rPr>
        <w:t>. The antimicrobial propert</w:t>
      </w:r>
      <w:r w:rsidR="00745068">
        <w:rPr>
          <w:lang w:val="en-US"/>
        </w:rPr>
        <w:t>ies</w:t>
      </w:r>
      <w:r w:rsidR="003D455D">
        <w:rPr>
          <w:lang w:val="en-US"/>
        </w:rPr>
        <w:t xml:space="preserve"> of titanium dioxide </w:t>
      </w:r>
      <w:r w:rsidR="00745068">
        <w:rPr>
          <w:lang w:val="en-US"/>
        </w:rPr>
        <w:t xml:space="preserve">are linked </w:t>
      </w:r>
      <w:r w:rsidR="003D455D">
        <w:rPr>
          <w:lang w:val="en-US"/>
        </w:rPr>
        <w:t>to i</w:t>
      </w:r>
      <w:r w:rsidR="00745068">
        <w:rPr>
          <w:lang w:val="en-US"/>
        </w:rPr>
        <w:t>t</w:t>
      </w:r>
      <w:r w:rsidR="003D455D">
        <w:rPr>
          <w:lang w:val="en-US"/>
        </w:rPr>
        <w:t>s crystal stru</w:t>
      </w:r>
      <w:r w:rsidR="00745068">
        <w:rPr>
          <w:lang w:val="en-US"/>
        </w:rPr>
        <w:t>cture, shape, and size</w:t>
      </w:r>
      <w:r w:rsidR="00745068">
        <w:rPr>
          <w:lang w:val="en-US"/>
        </w:rPr>
        <w:fldChar w:fldCharType="begin" w:fldLock="1"/>
      </w:r>
      <w:r w:rsidR="004871C8">
        <w:rPr>
          <w:lang w:val="en-US"/>
        </w:rPr>
        <w:instrText>ADDIN CSL_CITATION {"citationItems":[{"id":"ITEM-1","itemData":{"author":[{"dropping-particle":"","family":"Mohammadi","given":"S","non-dropping-particle":"","parse-names":false,"suffix":""},{"dropping-particle":"","family":"Mohammadi","given":"Parisa","non-dropping-particle":"","parse-names":false,"suffix":""},{"dropping-particle":"","family":"Hosseinkhani","given":"Saman","non-dropping-particle":"","parse-names":false,"suffix":""},{"dropping-particle":"","family":"Shipour","given":"R","non-dropping-particle":"","parse-names":false,"suffix":""}],"container-title":"Infect. Epidemiol. Med.","id":"ITEM-1","issued":{"date-parts":[["2013","1","1"]]},"page":"33-38","title":"Antifungal Activity of TiO2 nanoparticles and EDTA on Candida albicans Biofilms","type":"article-journal","volume":"1"},"uris":["http://www.mendeley.com/documents/?uuid=defedbe8-a1a3-47f9-a367-5c354a2224d6"]}],"mendeley":{"formattedCitation":"&lt;sup&gt;27&lt;/sup&gt;","plainTextFormattedCitation":"27","previouslyFormattedCitation":"&lt;sup&gt;27&lt;/sup&gt;"},"properties":{"noteIndex":0},"schema":"https://github.com/citation-style-language/schema/raw/master/csl-citation.json"}</w:instrText>
      </w:r>
      <w:r w:rsidR="00745068">
        <w:rPr>
          <w:lang w:val="en-US"/>
        </w:rPr>
        <w:fldChar w:fldCharType="separate"/>
      </w:r>
      <w:r w:rsidR="00B01517" w:rsidRPr="00B01517">
        <w:rPr>
          <w:noProof/>
          <w:vertAlign w:val="superscript"/>
          <w:lang w:val="en-US"/>
        </w:rPr>
        <w:t>27</w:t>
      </w:r>
      <w:r w:rsidR="00745068">
        <w:rPr>
          <w:lang w:val="en-US"/>
        </w:rPr>
        <w:fldChar w:fldCharType="end"/>
      </w:r>
      <w:r w:rsidR="00745068">
        <w:rPr>
          <w:lang w:val="en-US"/>
        </w:rPr>
        <w:t xml:space="preserve">. </w:t>
      </w:r>
      <w:r w:rsidR="003D455D">
        <w:rPr>
          <w:lang w:val="en-US"/>
        </w:rPr>
        <w:t>D</w:t>
      </w:r>
      <w:r w:rsidR="002D5271">
        <w:rPr>
          <w:lang w:val="en-US"/>
        </w:rPr>
        <w:t>ue to the photocatalytic properties of titanium dioxide nanoparticles, they efficiently eradicate the bacteria</w:t>
      </w:r>
      <w:r w:rsidR="00DC5406">
        <w:rPr>
          <w:lang w:val="en-US"/>
        </w:rPr>
        <w:fldChar w:fldCharType="begin" w:fldLock="1"/>
      </w:r>
      <w:r w:rsidR="004871C8">
        <w:rPr>
          <w:lang w:val="en-US"/>
        </w:rPr>
        <w:instrText>ADDIN CSL_CITATION {"citationItems":[{"id":"ITEM-1","itemData":{"DOI":"https://doi.org/10.1016/j.msec.2014.08.031","ISSN":"0928-4931","abstract":"The ever increasing resistance of pathogens towards antibiotics has caused serious health problems in the recent years. It has been shown that by combining modern technologies such as nanotechnology and material science with intrinsic antimicrobial activity of the metals, novel applications for these substances could be identified. According to the reports, metal and metal oxide nanoparticles represent a group of materials which were investigated in respect to their antimicrobial effects. In the present review, we focused on the recent research works concerning antimicrobial activity of metal and metal oxide nanoparticles together with their mechanism of action. Reviewed literature indicated that the particle size was the essential parameter which determined the antimicrobial effectiveness of the metal nanoparticles. Combination therapy with the metal nanoparticles might be one of the possible strategies to overcome the current bacterial resistance to the antibacterial agents. However, further studies should be performed to minimize the toxicity of metal and metal oxide nanoparticles to apply as proper alternatives for antibiotics and disinfectants especially in biomedical applications.","author":[{"dropping-particle":"","family":"Dizaj","given":"Solmaz Maleki","non-dropping-particle":"","parse-names":false,"suffix":""},{"dropping-particle":"","family":"Lotfipour","given":"Farzaneh","non-dropping-particle":"","parse-names":false,"suffix":""},{"dropping-particle":"","family":"Barzegar-Jalali","given":"Mohammad","non-dropping-particle":"","parse-names":false,"suffix":""},{"dropping-particle":"","family":"Zarrintan","given":"Mohammad Hossein","non-dropping-particle":"","parse-names":false,"suffix":""},{"dropping-particle":"","family":"Adibkia","given":"Khosro","non-dropping-particle":"","parse-names":false,"suffix":""}],"container-title":"Materials Science and Engineering: C","id":"ITEM-1","issued":{"date-parts":[["2014"]]},"page":"278-284","title":"Antimicrobial activity of the metals and metal oxide nanoparticles","type":"article-journal","volume":"44"},"uris":["http://www.mendeley.com/documents/?uuid=90d0f78a-7346-4114-87a2-098a63df0a40"]},{"id":"ITEM-2","itemData":{"DOI":"10.1021/es0259483","ISSN":"0013-936X","author":[{"dropping-particle":"","family":"Yu","given":"Jimmy C","non-dropping-particle":"","parse-names":false,"suffix":""},{"dropping-particle":"","family":"Ho","given":"Wingkei","non-dropping-particle":"","parse-names":false,"suffix":""},{"dropping-particle":"","family":"Lin","given":"Jun","non-dropping-particle":"","parse-names":false,"suffix":""},{"dropping-particle":"","family":"Yip","given":"Hoyin","non-dropping-particle":"","parse-names":false,"suffix":""},{"dropping-particle":"","family":"Wong","given":"Po Keung","non-dropping-particle":"","parse-names":false,"suffix":""}],"container-title":"Environmental Science &amp; Technology","id":"ITEM-2","issue":"10","issued":{"date-parts":[["2003","5","1"]]},"note":"doi: 10.1021/es0259483","page":"2296-2301","publisher":"American Chemical Society","title":"Photocatalytic Activity, Antibacterial Effect, and Photoinduced Hydrophilicity of TiO2 Films Coated on a Stainless Steel Substrate","type":"article-journal","volume":"37"},"uris":["http://www.mendeley.com/documents/?uuid=d503cae2-c7a5-4123-b356-f6c462cb9a47"]},{"id":"ITEM-3","itemData":{"DOI":"https://doi.org/10.1016/j.apcatb.2004.03.007","ISSN":"0926-3373","abstract":"The effect of different chemical parameters on photocatalytic inactivation of E. coli K12 is discussed. Illumination was produced by a solar lamp and suspended TiO2 P-25 Degussa was used as catalyst. Modifications of initial pH between 4.0 and 9.0 do not affect the inactivation rate in the absence or presence of the catalyst. Addition of H2O2 affects positively the E. coli inactivation rate of both photolytic (only light) and photocatalytic (light plus TiO2) disinfection processes. Addition of some inorganic ions (0.2mmol/l) like HCO3−, HPO42−, Cl−, NO3− and SO42− to the suspension affects the sensitivity of bacteria to sunlight in the presence and in absence of TiO2. Addition of HCO3− and HPO42− resulted in a meaningful decrease in photocatalytic bactericidal effect while it was noted a weak influence of Cl−, SO42− and NO3−. The effect of counter ion (Na+ and K+) is not negligible and can modify the photocatalytic process as the anions. Bacteria inactivation was affected even at low concentrations (0.2mmol/l) of SO42− and HCO3−, but the same concentration does not affect the resorcinol photodegradation, suggesting that disinfection is more sensitive to the presence of natural anions than photocatalytic degradation of organic compounds. The presence of organic substances naturally present in water like dihydroxybenzenes isomers shows a negative effect on photocatalytic disinfection. The effect of a mixture of chemical substances on photocatalytic disinfection was also studied by adding to the bacterial suspension nutrient broth, phosphate buffer and tap water.","author":[{"dropping-particle":"","family":"Rincón","given":"Angela-Guiovana","non-dropping-particle":"","parse-names":false,"suffix":""},{"dropping-particle":"","family":"Pulgarin","given":"Cesar","non-dropping-particle":"","parse-names":false,"suffix":""}],"container-title":"Applied Catalysis B: Environmental","id":"ITEM-3","issue":"4","issued":{"date-parts":[["2004"]]},"page":"283-302","title":"Effect of pH, inorganic ions, organic matter and H2O2 on E. coli K12 photocatalytic inactivation by TiO2: Implications in solar water disinfection","type":"article-journal","volume":"51"},"uris":["http://www.mendeley.com/documents/?uuid=cffdd04d-b8d0-4db6-844f-be9a2115bd46"]}],"mendeley":{"formattedCitation":"&lt;sup&gt;28–30&lt;/sup&gt;","plainTextFormattedCitation":"28–30","previouslyFormattedCitation":"&lt;sup&gt;28–30&lt;/sup&gt;"},"properties":{"noteIndex":0},"schema":"https://github.com/citation-style-language/schema/raw/master/csl-citation.json"}</w:instrText>
      </w:r>
      <w:r w:rsidR="00DC5406">
        <w:rPr>
          <w:lang w:val="en-US"/>
        </w:rPr>
        <w:fldChar w:fldCharType="separate"/>
      </w:r>
      <w:r w:rsidR="00B01517" w:rsidRPr="00B01517">
        <w:rPr>
          <w:noProof/>
          <w:vertAlign w:val="superscript"/>
          <w:lang w:val="en-US"/>
        </w:rPr>
        <w:t>28–30</w:t>
      </w:r>
      <w:r w:rsidR="00DC5406">
        <w:rPr>
          <w:lang w:val="en-US"/>
        </w:rPr>
        <w:fldChar w:fldCharType="end"/>
      </w:r>
      <w:r w:rsidR="002D5271">
        <w:rPr>
          <w:lang w:val="en-US"/>
        </w:rPr>
        <w:t>.</w:t>
      </w:r>
      <w:r w:rsidR="00A60DCC">
        <w:rPr>
          <w:lang w:val="en-US"/>
        </w:rPr>
        <w:t xml:space="preserve">  </w:t>
      </w:r>
    </w:p>
    <w:p w14:paraId="5AC6B8E9" w14:textId="6F3225A0" w:rsidR="00AB15A6" w:rsidRPr="00AB15A6" w:rsidRDefault="00563B0D" w:rsidP="00903D53">
      <w:pPr>
        <w:spacing w:line="480" w:lineRule="auto"/>
        <w:ind w:firstLine="708"/>
        <w:jc w:val="both"/>
        <w:rPr>
          <w:lang w:val="en-US"/>
        </w:rPr>
      </w:pPr>
      <w:r>
        <w:rPr>
          <w:lang w:val="en-US"/>
        </w:rPr>
        <w:t>While titanium, the metal, has proven to be a reliable antibacterial implant, a</w:t>
      </w:r>
      <w:r w:rsidR="00A2174C">
        <w:rPr>
          <w:lang w:val="en-US"/>
        </w:rPr>
        <w:t xml:space="preserve"> major </w:t>
      </w:r>
      <w:r w:rsidR="002D5271">
        <w:rPr>
          <w:lang w:val="en-US"/>
        </w:rPr>
        <w:t xml:space="preserve">concern when using titanium dioxide nanoparticles </w:t>
      </w:r>
      <w:r w:rsidR="00A2174C">
        <w:rPr>
          <w:lang w:val="en-US"/>
        </w:rPr>
        <w:t xml:space="preserve">for its antimicrobial properties </w:t>
      </w:r>
      <w:r w:rsidR="002D5271">
        <w:rPr>
          <w:lang w:val="en-US"/>
        </w:rPr>
        <w:t>is the reactive oxygen species produced under UV light.</w:t>
      </w:r>
      <w:r w:rsidR="0010415D">
        <w:rPr>
          <w:lang w:val="en-US"/>
        </w:rPr>
        <w:t xml:space="preserve"> Reactive oxygen species are known to cause damage</w:t>
      </w:r>
      <w:r w:rsidR="00A2174C">
        <w:rPr>
          <w:lang w:val="en-US"/>
        </w:rPr>
        <w:t xml:space="preserve"> to DNA</w:t>
      </w:r>
      <w:r w:rsidR="003D455D">
        <w:rPr>
          <w:lang w:val="en-US"/>
        </w:rPr>
        <w:fldChar w:fldCharType="begin" w:fldLock="1"/>
      </w:r>
      <w:r w:rsidR="004871C8">
        <w:rPr>
          <w:lang w:val="en-US"/>
        </w:rPr>
        <w:instrText>ADDIN CSL_CITATION {"citationItems":[{"id":"ITEM-1","itemData":{"DOI":"10.3109/17435390.2012.742935","ISSN":"1743-5390","author":[{"dropping-particle":"","family":"Besinis","given":"Alexandros","non-dropping-particle":"","parse-names":false,"suffix":""},{"dropping-particle":"","family":"Peralta","given":"Tracy","non-dropping-particle":"De","parse-names":false,"suffix":""},{"dropping-particle":"","family":"Handy","given":"Richard D","non-dropping-particle":"","parse-names":false,"suffix":""}],"container-title":"Nanotoxicology","id":"ITEM-1","issue":"1","issued":{"date-parts":[["2014","2","1"]]},"note":"doi: 10.3109/17435390.2012.742935","page":"1-16","publisher":"Taylor &amp; Francis","title":"The antibacterial effects of silver, titanium dioxide and silica dioxide nanoparticles compared to the dental disinfectant chlorhexidine on Streptococcus mutans using a suite of bioassays","type":"article-journal","volume":"8"},"uris":["http://www.mendeley.com/documents/?uuid=288822ef-f392-4a0e-8d1d-59a1f886465b"]}],"mendeley":{"formattedCitation":"&lt;sup&gt;31&lt;/sup&gt;","plainTextFormattedCitation":"31","previouslyFormattedCitation":"&lt;sup&gt;31&lt;/sup&gt;"},"properties":{"noteIndex":0},"schema":"https://github.com/citation-style-language/schema/raw/master/csl-citation.json"}</w:instrText>
      </w:r>
      <w:r w:rsidR="003D455D">
        <w:rPr>
          <w:lang w:val="en-US"/>
        </w:rPr>
        <w:fldChar w:fldCharType="separate"/>
      </w:r>
      <w:r w:rsidR="00B01517" w:rsidRPr="00B01517">
        <w:rPr>
          <w:noProof/>
          <w:vertAlign w:val="superscript"/>
          <w:lang w:val="en-US"/>
        </w:rPr>
        <w:t>31</w:t>
      </w:r>
      <w:r w:rsidR="003D455D">
        <w:rPr>
          <w:lang w:val="en-US"/>
        </w:rPr>
        <w:fldChar w:fldCharType="end"/>
      </w:r>
      <w:r w:rsidR="0010415D">
        <w:rPr>
          <w:lang w:val="en-US"/>
        </w:rPr>
        <w:t>.</w:t>
      </w:r>
      <w:r w:rsidR="002D5271">
        <w:rPr>
          <w:lang w:val="en-US"/>
        </w:rPr>
        <w:t xml:space="preserve"> </w:t>
      </w:r>
      <w:r>
        <w:rPr>
          <w:lang w:val="en-US"/>
        </w:rPr>
        <w:t xml:space="preserve">One interest for titanium dioxide nanoparticles in this study is its incorporation into dental adhesive resins to prevent bacteria growth. When curing dental adhesive resins, </w:t>
      </w:r>
      <w:r w:rsidR="002D5271">
        <w:rPr>
          <w:lang w:val="en-US"/>
        </w:rPr>
        <w:t xml:space="preserve">UV light is used </w:t>
      </w:r>
      <w:r>
        <w:rPr>
          <w:lang w:val="en-US"/>
        </w:rPr>
        <w:t>which would result in activating the reactive oxygen species.</w:t>
      </w:r>
      <w:r w:rsidR="002D5271">
        <w:rPr>
          <w:lang w:val="en-US"/>
        </w:rPr>
        <w:t xml:space="preserve"> </w:t>
      </w:r>
      <w:r w:rsidR="003D455D">
        <w:rPr>
          <w:lang w:val="en-US"/>
        </w:rPr>
        <w:t>One solution</w:t>
      </w:r>
      <w:r>
        <w:rPr>
          <w:lang w:val="en-US"/>
        </w:rPr>
        <w:t xml:space="preserve"> to this problem</w:t>
      </w:r>
      <w:r w:rsidR="003D455D">
        <w:rPr>
          <w:lang w:val="en-US"/>
        </w:rPr>
        <w:t xml:space="preserve"> is to dope the titanium dioxide nanoparticles with metal ions</w:t>
      </w:r>
      <w:r w:rsidR="00A2174C">
        <w:rPr>
          <w:lang w:val="en-US"/>
        </w:rPr>
        <w:t xml:space="preserve"> which helps reduce reactive oxygen species</w:t>
      </w:r>
      <w:r w:rsidR="003D455D">
        <w:rPr>
          <w:lang w:val="en-US"/>
        </w:rPr>
        <w:t>. Doping the nanoparticles also enhances the antibacterial and photocatalytic properties</w:t>
      </w:r>
      <w:r w:rsidR="003D455D">
        <w:rPr>
          <w:lang w:val="en-US"/>
        </w:rPr>
        <w:fldChar w:fldCharType="begin" w:fldLock="1"/>
      </w:r>
      <w:r w:rsidR="004871C8">
        <w:rPr>
          <w:lang w:val="en-US"/>
        </w:rPr>
        <w:instrText>ADDIN CSL_CITATION {"citationItems":[{"id":"ITEM-1","itemData":{"DOI":"10.2217/fmb.11.78","ISSN":"1746-0913","abstract":"Nanotechnology is the creation of functional materials, devices and systems at atomic and molecular scales (1?100 nm), where properties differ significantly from those at a larger scale. The use of nanotechnology and nanomaterials in medical research is growing rapidly. Recently, nanotechnologic developments in microbiology have gained importance in the field of chemotherapy. Bacterial strains that are resistant to current antibiotics have become serious public health problems that raise the need to develop new bactericidal materials. Metal oxide nanoparticles, especially TiO2 and Ag2O nanoparticles, have demonstrated significant antibacterial activity. Therefore, it is thought that this property of metal oxide nanoparticles could effectively be used as a novel solution strategy. In this review, we focus on the unique properties of nanoparticles, their mechanism of action as antibacterial agents and recent studies in which the effects of visible and UV-light induced TiO2 and Ag2O nanoparticles on drug-resistant bacteria have been documented. In addition, from to previous results of our studies, antileishmanial effects of metal oxide nanoparticles are also demonstrated, indicating that metal oxide nanoparticles can also be effective against eukaryotic infectious agents. Conversely, despite their significant potential in antimicrobial applications, the toxicity of metal oxide nanoparticles restricts their use in humans. However, recent studies infer that metal oxide nanoparticles have considerable potential to be the first-choice for antibacterial and antiparasitic applications in the future, provided that researchers can bring new ideas in order to cope with their main problem of toxicity.","author":[{"dropping-particle":"","family":"Allahverdiyev","given":"Adil M","non-dropping-particle":"","parse-names":false,"suffix":""},{"dropping-particle":"","family":"Abamor","given":"Emrah Sefik","non-dropping-particle":"","parse-names":false,"suffix":""},{"dropping-particle":"","family":"Bagirova","given":"Malahat","non-dropping-particle":"","parse-names":false,"suffix":""},{"dropping-particle":"","family":"Rafailovich","given":"Miriam","non-dropping-particle":"","parse-names":false,"suffix":""}],"container-title":"Future Microbiology","id":"ITEM-1","issue":"8","issued":{"date-parts":[["2011","8","1"]]},"note":"doi: 10.2217/fmb.11.78","page":"933-940","publisher":"Future Medicine","title":"Antimicrobial effects of TiO2 and Ag2O nanoparticles against drug-resistant bacteria and leishmania parasites","type":"article-journal","volume":"6"},"uris":["http://www.mendeley.com/documents/?uuid=e5ab3a0d-495b-4f64-83fc-0fa030b1495e"]},{"id":"ITEM-2","itemData":{"DOI":"http://dx.doi.org/10.2174/187221208786306289","ISBN":"1872-2121/2212-4047","abstract":"Titanium dioxide represents an effective photocatalyst for water and air purification and for self-cleaning surfaces. Additionally, it can be used as antibacterial agent because of strong oxidation activity and superhydrophilicity. TiO2 shows relatively high reactivity and chemical stability under ultraviolet light (λ &lt; 387nm), whose energy exceeds the band gap of 3.3 eV in the anatase crystalline phase. The development of photocatalysts exhibiting high reactivity under visible light (λ &gt; 400 nm) should allow the main part of the solar spectrum, even under poor illumination of interior lighting, to be used. Visible light-activated TiO2 could be prepared by metal-ion implantation, reducing of TiO2, nonmetal doping or sensitizing of TiO2 with dyes. This paper reviews preparation methods of doped-TiO2 with metallic and nonmetallic species, including various types of dopants and doping methods currently available. The mechanism of heterogeneous photocatalysis in the presence of TiO2 is also discussed.","author":[{"dropping-particle":"","family":"Zaleska","given":"Adriana","non-dropping-particle":"","parse-names":false,"suffix":""}],"container-title":"Recent Patents on Engineering","id":"ITEM-2","issue":"3","issued":{"date-parts":[["2008"]]},"page":"157-164","title":"Doped-TiO2: A Review","type":"article","volume":"2"},"uris":["http://www.mendeley.com/documents/?uuid=22034cfc-89bb-4124-a5fc-0a572850633e"]}],"mendeley":{"formattedCitation":"&lt;sup&gt;32,33&lt;/sup&gt;","plainTextFormattedCitation":"32,33","previouslyFormattedCitation":"&lt;sup&gt;32,33&lt;/sup&gt;"},"properties":{"noteIndex":0},"schema":"https://github.com/citation-style-language/schema/raw/master/csl-citation.json"}</w:instrText>
      </w:r>
      <w:r w:rsidR="003D455D">
        <w:rPr>
          <w:lang w:val="en-US"/>
        </w:rPr>
        <w:fldChar w:fldCharType="separate"/>
      </w:r>
      <w:r w:rsidR="00B01517" w:rsidRPr="00B01517">
        <w:rPr>
          <w:noProof/>
          <w:vertAlign w:val="superscript"/>
          <w:lang w:val="en-US"/>
        </w:rPr>
        <w:t>32,33</w:t>
      </w:r>
      <w:r w:rsidR="003D455D">
        <w:rPr>
          <w:lang w:val="en-US"/>
        </w:rPr>
        <w:fldChar w:fldCharType="end"/>
      </w:r>
      <w:r w:rsidR="003D455D">
        <w:rPr>
          <w:lang w:val="en-US"/>
        </w:rPr>
        <w:t xml:space="preserve">. </w:t>
      </w:r>
      <w:r w:rsidR="00C527E3">
        <w:rPr>
          <w:rFonts w:cs="Times New Roman"/>
          <w:szCs w:val="24"/>
          <w:lang w:val="en-US"/>
        </w:rPr>
        <w:t>The antibacterial characteristics of titanium dioxide in the adhesive was examined in another study</w:t>
      </w:r>
      <w:r w:rsidR="00D21177">
        <w:rPr>
          <w:rFonts w:cs="Times New Roman"/>
          <w:szCs w:val="24"/>
          <w:lang w:val="en-US"/>
        </w:rPr>
        <w:t>. It was found that</w:t>
      </w:r>
      <w:r w:rsidR="00D21177" w:rsidRPr="00D21177">
        <w:rPr>
          <w:rFonts w:cs="Times New Roman"/>
          <w:szCs w:val="24"/>
          <w:lang w:val="en-US"/>
        </w:rPr>
        <w:t xml:space="preserve"> specimens fabricated with experimental dental adhesive resins </w:t>
      </w:r>
      <w:r w:rsidR="00D21177">
        <w:rPr>
          <w:rFonts w:cs="Times New Roman"/>
          <w:szCs w:val="24"/>
          <w:lang w:val="en-US"/>
        </w:rPr>
        <w:t>c</w:t>
      </w:r>
      <w:r w:rsidR="00D21177" w:rsidRPr="00D21177">
        <w:rPr>
          <w:rFonts w:cs="Times New Roman"/>
          <w:szCs w:val="24"/>
          <w:lang w:val="en-US"/>
        </w:rPr>
        <w:t xml:space="preserve">ontaining 50, 67 or 80% (v/v) of </w:t>
      </w:r>
      <w:r w:rsidR="00E426ED">
        <w:rPr>
          <w:rFonts w:cs="Times New Roman"/>
          <w:szCs w:val="24"/>
          <w:lang w:val="en-US"/>
        </w:rPr>
        <w:t>nitrogen doped</w:t>
      </w:r>
      <w:r w:rsidR="00D21177">
        <w:rPr>
          <w:rFonts w:cs="Times New Roman"/>
          <w:szCs w:val="24"/>
          <w:lang w:val="en-US"/>
        </w:rPr>
        <w:t xml:space="preserve"> titanium dioxide</w:t>
      </w:r>
      <w:r w:rsidR="00D21177" w:rsidRPr="00D21177">
        <w:rPr>
          <w:rFonts w:cs="Times New Roman"/>
          <w:szCs w:val="24"/>
          <w:lang w:val="en-US"/>
        </w:rPr>
        <w:t xml:space="preserve"> </w:t>
      </w:r>
      <w:r w:rsidR="00D334F7">
        <w:rPr>
          <w:rFonts w:cs="Times New Roman"/>
          <w:szCs w:val="24"/>
          <w:lang w:val="en-US"/>
        </w:rPr>
        <w:t xml:space="preserve">nanoparticles </w:t>
      </w:r>
      <w:r w:rsidR="00D21177" w:rsidRPr="00D21177">
        <w:rPr>
          <w:rFonts w:cs="Times New Roman"/>
          <w:szCs w:val="24"/>
          <w:lang w:val="en-US"/>
        </w:rPr>
        <w:t>were</w:t>
      </w:r>
      <w:r w:rsidR="00D21177">
        <w:rPr>
          <w:rFonts w:cs="Times New Roman"/>
          <w:szCs w:val="24"/>
          <w:lang w:val="en-US"/>
        </w:rPr>
        <w:t xml:space="preserve"> </w:t>
      </w:r>
      <w:r w:rsidR="00D21177" w:rsidRPr="00D21177">
        <w:rPr>
          <w:rFonts w:cs="Times New Roman"/>
          <w:szCs w:val="24"/>
          <w:lang w:val="en-US"/>
        </w:rPr>
        <w:t>shown to have strong antibacterial behavior when compared to the antibacterial behavior of</w:t>
      </w:r>
      <w:r w:rsidR="00D21177">
        <w:rPr>
          <w:rFonts w:cs="Times New Roman"/>
          <w:szCs w:val="24"/>
          <w:lang w:val="en-US"/>
        </w:rPr>
        <w:t xml:space="preserve"> </w:t>
      </w:r>
      <w:r w:rsidR="00D21177" w:rsidRPr="00D21177">
        <w:rPr>
          <w:rFonts w:cs="Times New Roman"/>
          <w:szCs w:val="24"/>
          <w:lang w:val="en-US"/>
        </w:rPr>
        <w:t>unaltered dental adhesive resins</w:t>
      </w:r>
      <w:r w:rsidR="00C527E3">
        <w:rPr>
          <w:rFonts w:cs="Times New Roman"/>
          <w:szCs w:val="24"/>
          <w:lang w:val="en-US"/>
        </w:rPr>
        <w:fldChar w:fldCharType="begin" w:fldLock="1"/>
      </w:r>
      <w:r w:rsidR="004871C8">
        <w:rPr>
          <w:rFonts w:cs="Times New Roman"/>
          <w:szCs w:val="24"/>
          <w:lang w:val="en-US"/>
        </w:rPr>
        <w:instrText>ADDIN CSL_CITATION {"citationItems":[{"id":"ITEM-1","itemData":{"DOI":"https://doi.org/10.1016/j.msec.2018.08.060","ISSN":"0928-4931","abstract":"The development of dental adhesive resins with long-lasting antibacterial properties is a possible solution to overcome the problem of secondary caries in modern adhesive dentistry. Objectives (i) Synthesis and characterization of nitrogen-doped titanium dioxide nanoparticles (N_TiO2), (ii) topographical, compositional and wettability characterization of thin-films (unaltered and experimental) and, (iii) antibacterial efficacy of N_TiO2-containing dental adhesives against Streptococcus mutans biofilms. Materials and methods Nanoparticles were synthesized and characterized using different techniques. Specimens (diameter = 12 mm, thickness </w:instrText>
      </w:r>
      <w:r w:rsidR="004871C8">
        <w:rPr>
          <w:rFonts w:ascii="Cambria Math" w:hAnsi="Cambria Math" w:cs="Cambria Math"/>
          <w:szCs w:val="24"/>
          <w:lang w:val="en-US"/>
        </w:rPr>
        <w:instrText>≅</w:instrText>
      </w:r>
      <w:r w:rsidR="004871C8">
        <w:rPr>
          <w:rFonts w:cs="Times New Roman"/>
          <w:szCs w:val="24"/>
          <w:lang w:val="en-US"/>
        </w:rPr>
        <w:instrText> 15 μm) of OptiBond Solo Plus (Kerr Corp., USA) and experimental adhesives [50, 67 and 80% (v/v)] were fabricated, photopolymerized (1000 mW/cm2, 1 min) and UV-sterilized (254 nm, 800,000 μJ/cm2) for microscopy, spectroscopy, wettability and antibacterial testing. Wettability was assessed with a contact angle goniometer by dispensing water droplets (2 μL) onto four random locations of each specimen (16 drops/group). Drop profiles were recorded (1 min, 25 frames/s, 37 °C) and contact angles were calculated at time = 0 s (θINITIAL) and time = 59 s (θFINAL). Antibacterial testing was performed by growing S. mutans (UA159-ldh, JM10) biofilms for either 3 or 24 h (anaerobic conditions, 37 °C) with or without continuous light irradiation (410 ± 10 nm, 3 h = 38.75 J/cm2, 24 h = 310.07 J/cm2) against the surfaces of sterile specimens. Results N_TiO2 was successfully prepared using solvothermal methods. Doped-nanoparticles displayed higher light absorption levels when compared to undoped titania. Experimental adhesives demonstrated superior antibacterial efficacy in dark conditions. Conclusions The findings presented herein suggest that N_TiO2 is a feasible antibacterial agent against cariogenic biofilms.","author":[{"dropping-particle":"","family":"Esteban Florez","given":"Fernando Luis","non-dropping-particle":"","parse-names":false,"suffix":""},{"dropping-particle":"","family":"Hiers","given":"Rochelle Denise","non-dropping-particle":"","parse-names":false,"suffix":""},{"dropping-particle":"","family":"Larson","given":"Preston","non-dropping-particle":"","parse-names":false,"suffix":""},{"dropping-particle":"","family":"Johnson","given":"Matthew","non-dropping-particle":"","parse-names":false,"suffix":""},{"dropping-particle":"","family":"O'Rear","given":"Edgar","non-dropping-particle":"","parse-names":false,"suffix":""},{"dropping-particle":"","family":"Rondinone","given":"Adam J","non-dropping-particle":"","parse-names":false,"suffix":""},{"dropping-particle":"","family":"Khajotia","given":"Sharukh Soli","non-dropping-particle":"","parse-names":false,"suffix":""}],"container-title":"Materials Science and Engineering: C","id":"ITEM-1","issued":{"date-parts":[["2018"]]},"page":"931-943","title":"Antibacterial dental adhesive resins containing nitrogen-doped titanium dioxide nanoparticles","type":"article-journal","volume":"93"},"uris":["http://www.mendeley.com/documents/?uuid=3e5643df-cf74-4808-9f8f-cbe8f309b04a"]}],"mendeley":{"formattedCitation":"&lt;sup&gt;15&lt;/sup&gt;","plainTextFormattedCitation":"15","previouslyFormattedCitation":"&lt;sup&gt;15&lt;/sup&gt;"},"properties":{"noteIndex":0},"schema":"https://github.com/citation-style-language/schema/raw/master/csl-citation.json"}</w:instrText>
      </w:r>
      <w:r w:rsidR="00C527E3">
        <w:rPr>
          <w:rFonts w:cs="Times New Roman"/>
          <w:szCs w:val="24"/>
          <w:lang w:val="en-US"/>
        </w:rPr>
        <w:fldChar w:fldCharType="separate"/>
      </w:r>
      <w:r w:rsidR="00B01517" w:rsidRPr="00B01517">
        <w:rPr>
          <w:rFonts w:cs="Times New Roman"/>
          <w:noProof/>
          <w:szCs w:val="24"/>
          <w:vertAlign w:val="superscript"/>
          <w:lang w:val="en-US"/>
        </w:rPr>
        <w:t>15</w:t>
      </w:r>
      <w:r w:rsidR="00C527E3">
        <w:rPr>
          <w:rFonts w:cs="Times New Roman"/>
          <w:szCs w:val="24"/>
          <w:lang w:val="en-US"/>
        </w:rPr>
        <w:fldChar w:fldCharType="end"/>
      </w:r>
      <w:r w:rsidR="00C527E3">
        <w:rPr>
          <w:rFonts w:cs="Times New Roman"/>
          <w:szCs w:val="24"/>
          <w:lang w:val="en-US"/>
        </w:rPr>
        <w:t>.</w:t>
      </w:r>
      <w:r w:rsidR="00E83B3B">
        <w:rPr>
          <w:rFonts w:cs="Times New Roman"/>
          <w:szCs w:val="24"/>
          <w:lang w:val="en-US"/>
        </w:rPr>
        <w:t xml:space="preserve"> Plain TiO</w:t>
      </w:r>
      <w:r w:rsidR="000F50CB">
        <w:rPr>
          <w:rFonts w:cs="Times New Roman"/>
          <w:szCs w:val="24"/>
          <w:vertAlign w:val="subscript"/>
          <w:lang w:val="en-US"/>
        </w:rPr>
        <w:t xml:space="preserve">2 </w:t>
      </w:r>
      <w:r w:rsidR="000F50CB">
        <w:rPr>
          <w:rFonts w:cs="Times New Roman"/>
          <w:szCs w:val="24"/>
          <w:lang w:val="en-US"/>
        </w:rPr>
        <w:t>nanoparticles were not as effective at preventing bacteria growth as the metal doped TiO</w:t>
      </w:r>
      <w:r w:rsidR="000F50CB">
        <w:rPr>
          <w:rFonts w:cs="Times New Roman"/>
          <w:szCs w:val="24"/>
          <w:vertAlign w:val="subscript"/>
          <w:lang w:val="en-US"/>
        </w:rPr>
        <w:t xml:space="preserve">2 </w:t>
      </w:r>
      <w:r w:rsidR="000F50CB">
        <w:rPr>
          <w:lang w:val="en-US"/>
        </w:rPr>
        <w:t>nanoparticles</w:t>
      </w:r>
      <w:r w:rsidR="000F50CB">
        <w:rPr>
          <w:lang w:val="en-US"/>
        </w:rPr>
        <w:fldChar w:fldCharType="begin" w:fldLock="1"/>
      </w:r>
      <w:r w:rsidR="004871C8">
        <w:rPr>
          <w:lang w:val="en-US"/>
        </w:rPr>
        <w:instrText>ADDIN CSL_CITATION {"citationItems":[{"id":"ITEM-1","itemData":{"ISSN":"2190-4286","abstract":"This paper reports the structural and optical properties and comparative photocatalytic activity of TiO2 and Ag-doped TiO2 nanoparticles against different bacterial strains under visible-light irradiation. The TiO2 and Ag-doped TiO2 photocatalysts were synthesized by acid catalyzed sol–gel technique and characterized by X-ray diffraction (XRD), transmission electron microscopy (TEM), UV–vis spectroscopy and photoluminescence (PL). The XRD pattern revealed that the annealed sample of TiO2 has both anatase and rutile phases while only an anatase phase was found in Ag-doped TiO2 nanoparticles. The decreased band-gap energy of Ag-doped TiO2 nanoparticles in comparison to TiO2 nanoparticles was investigated by UV–vis spectroscopy. The rate of recombination and transfer behaviour of the photoexcited electron–hole pairs in the semiconductors was recorded by photoluminescence. The antimicrobial activity of TiO2 and Ag-doped TiO2 nanoparticles (3% and 7%) was investigated against both gram positive (Staphylococcus aureus) and gram negative (Pseudomonas aeruginosa, Escherichia coli) bacteria. As a result, the viability of all three microorganisms was reduced to zero at 60 mg/30 mL culture in the case of both (3% and 7% doping) concentrations of Ag-doped TiO2 nanoparticles. Annealed TiO2 showed zero viability at 80 mg/30 mL whereas doped Ag-TiO2 7% showed zero viability at 40 mg/30 mL culture in the case of P. aeruginosa only.","author":[{"dropping-particle":"","family":"Gupta","given":"Kiran","non-dropping-particle":"","parse-names":false,"suffix":""},{"dropping-particle":"","family":"Singh","given":"R P","non-dropping-particle":"","parse-names":false,"suffix":""},{"dropping-particle":"","family":"Pandey","given":"Ashutosh","non-dropping-particle":"","parse-names":false,"suffix":""},{"dropping-particle":"","family":"Pandey","given":"Anjana","non-dropping-particle":"","parse-names":false,"suffix":""}],"container-title":"Beilstein Journal of Nanotechnology","id":"ITEM-1","issued":{"date-parts":[["2013"]]},"page":"345-351","title":"Photocatalytic antibacterial performance of TiO2 and Ag-doped TiO2 against S. aureus. P. aeruginosa and E. coli","type":"article-journal","volume":"4"},"uris":["http://www.mendeley.com/documents/?uuid=bcb7b2b1-c1b0-43ff-9871-843ff8c8bcf4"]}],"mendeley":{"formattedCitation":"&lt;sup&gt;14&lt;/sup&gt;","plainTextFormattedCitation":"14","previouslyFormattedCitation":"&lt;sup&gt;14&lt;/sup&gt;"},"properties":{"noteIndex":0},"schema":"https://github.com/citation-style-language/schema/raw/master/csl-citation.json"}</w:instrText>
      </w:r>
      <w:r w:rsidR="000F50CB">
        <w:rPr>
          <w:lang w:val="en-US"/>
        </w:rPr>
        <w:fldChar w:fldCharType="separate"/>
      </w:r>
      <w:r w:rsidR="00B01517" w:rsidRPr="00B01517">
        <w:rPr>
          <w:noProof/>
          <w:vertAlign w:val="superscript"/>
          <w:lang w:val="en-US"/>
        </w:rPr>
        <w:t>14</w:t>
      </w:r>
      <w:r w:rsidR="000F50CB">
        <w:rPr>
          <w:lang w:val="en-US"/>
        </w:rPr>
        <w:fldChar w:fldCharType="end"/>
      </w:r>
      <w:r w:rsidR="000F50CB">
        <w:rPr>
          <w:lang w:val="en-US"/>
        </w:rPr>
        <w:t>.</w:t>
      </w:r>
    </w:p>
    <w:p w14:paraId="14FDC5E7" w14:textId="0CEB548F" w:rsidR="00935F72" w:rsidRDefault="00781EBB" w:rsidP="00A01AFF">
      <w:pPr>
        <w:pStyle w:val="Heading3"/>
      </w:pPr>
      <w:bookmarkStart w:id="17" w:name="_Toc45837537"/>
      <w:r>
        <w:t>Surfactant: Dimethyldodec</w:t>
      </w:r>
      <w:r w:rsidR="008B56AB">
        <w:t>yl</w:t>
      </w:r>
      <w:r>
        <w:t>amine oxide</w:t>
      </w:r>
      <w:bookmarkEnd w:id="17"/>
    </w:p>
    <w:p w14:paraId="0DFBDA1E" w14:textId="457774EC" w:rsidR="00781EBB" w:rsidRDefault="00C1461D" w:rsidP="00847208">
      <w:pPr>
        <w:spacing w:line="480" w:lineRule="auto"/>
        <w:ind w:firstLine="708"/>
        <w:jc w:val="both"/>
        <w:rPr>
          <w:rFonts w:cs="Times New Roman"/>
          <w:szCs w:val="24"/>
          <w:lang w:val="en-US"/>
        </w:rPr>
      </w:pPr>
      <w:r>
        <w:rPr>
          <w:rFonts w:cs="Times New Roman"/>
          <w:szCs w:val="24"/>
          <w:lang w:val="en-US"/>
        </w:rPr>
        <w:t xml:space="preserve">Surfactants are </w:t>
      </w:r>
      <w:r w:rsidR="00D25BA4">
        <w:rPr>
          <w:rFonts w:cs="Times New Roman"/>
          <w:szCs w:val="24"/>
          <w:lang w:val="en-US"/>
        </w:rPr>
        <w:t>amphipathic structures</w:t>
      </w:r>
      <w:r>
        <w:rPr>
          <w:rFonts w:cs="Times New Roman"/>
          <w:szCs w:val="24"/>
          <w:lang w:val="en-US"/>
        </w:rPr>
        <w:t xml:space="preserve"> </w:t>
      </w:r>
      <w:r w:rsidR="00A2701F">
        <w:rPr>
          <w:rFonts w:cs="Times New Roman"/>
          <w:szCs w:val="24"/>
          <w:lang w:val="en-US"/>
        </w:rPr>
        <w:t>which</w:t>
      </w:r>
      <w:r w:rsidR="00D25BA4">
        <w:rPr>
          <w:rFonts w:cs="Times New Roman"/>
          <w:szCs w:val="24"/>
          <w:lang w:val="en-US"/>
        </w:rPr>
        <w:t xml:space="preserve"> allow these compounds to</w:t>
      </w:r>
      <w:r w:rsidR="00A2701F">
        <w:rPr>
          <w:rFonts w:cs="Times New Roman"/>
          <w:szCs w:val="24"/>
          <w:lang w:val="en-US"/>
        </w:rPr>
        <w:t xml:space="preserve"> alter the surface and interfacial properties of solutions</w:t>
      </w:r>
      <w:r w:rsidR="00A2701F">
        <w:rPr>
          <w:rFonts w:cs="Times New Roman"/>
          <w:szCs w:val="24"/>
          <w:lang w:val="en-US"/>
        </w:rPr>
        <w:fldChar w:fldCharType="begin" w:fldLock="1"/>
      </w:r>
      <w:r w:rsidR="004871C8">
        <w:rPr>
          <w:rFonts w:cs="Times New Roman"/>
          <w:szCs w:val="24"/>
          <w:lang w:val="en-US"/>
        </w:rPr>
        <w:instrText>ADDIN CSL_CITATION {"citationItems":[{"id":"ITEM-1","itemData":{"DOI":"10.1046/j.1365-2672.2002.01690.x","ISSN":"1364-5072","abstract":"Aims: In order to clarify the involvement of an energy-yielding system in the antibacterial action of surfactants, the effects of carbon source and anaerobiosis during the growth period on the surfactant sensitivity of Escherichia coli cells were investigated. ?Methods and Results: Cetyltrimethylammonium bromide (CTAB) and N-dodecyl-N,N-dimethylglycine, at relatively low concentrations, caused a delay in growth of E. coli cells. Cells grown in M9 medium supplemented with glycerol, succinate or acetate as a carbon source were more sensitive to surfactants and had a higher respiratory activity than those grown with glucose. Cultivation under anaerobiosis made cells resistant to CTAB. ?Conclusions: Bacterial sensitivity to surfactants was affected by carbon source and anaerobiosis. ?Significance and Impact of the Study: The results obtained should be helpful in determining suitable conditions of treatment in the practical use of surfactants for bacterial decontamination.","author":[{"dropping-particle":"","family":"Ishikawa","given":"S","non-dropping-particle":"","parse-names":false,"suffix":""},{"dropping-particle":"","family":"Matsumura","given":"Y","non-dropping-particle":"","parse-names":false,"suffix":""},{"dropping-particle":"","family":"Katoh-Kubo","given":"K","non-dropping-particle":"","parse-names":false,"suffix":""},{"dropping-particle":"","family":"Tsuchido","given":"T","non-dropping-particle":"","parse-names":false,"suffix":""}],"container-title":"Journal of Applied Microbiology","id":"ITEM-1","issue":"2","issued":{"date-parts":[["2002","8","1"]]},"note":"doi: 10.1046/j.1365-2672.2002.01690.x","page":"302-309","publisher":"John Wiley &amp; Sons, Ltd","title":"Antibacterial activity of surfactants against Escherichia coli cells is influenced by carbon source and anaerobiosis","type":"article-journal","volume":"93"},"uris":["http://www.mendeley.com/documents/?uuid=cebcabc8-60da-4fad-8d7f-0d8341403ef1"]},{"id":"ITEM-2","itemData":{"DOI":"doi:10.1002/0471670561.ch1","ISBN":"9780471670568","abstract":"Summary In this chapter we discuss the characteristic features and uses of commercially available surfactants. We also consider the environmental effects of surfactants and some useful generalizations.","author":[{"dropping-particle":"","family":"Rosen","given":"Milton J.","non-dropping-particle":"","parse-names":false,"suffix":""}],"collection-title":"Wiley Online Books","container-title":"Surfactants and Interfacial Phenomena","id":"ITEM-2","issued":{"date-parts":[["2004","7","2"]]},"note":"doi:10.1002/0471670561.ch1","page":"1-33","title":"Characteristic Features of Surfactants","type":"article"},"uris":["http://www.mendeley.com/documents/?uuid=b1d21e16-c3a3-41d7-989e-c4759b0b8ce5"]}],"mendeley":{"formattedCitation":"&lt;sup&gt;34,35&lt;/sup&gt;","plainTextFormattedCitation":"34,35","previouslyFormattedCitation":"&lt;sup&gt;34,35&lt;/sup&gt;"},"properties":{"noteIndex":0},"schema":"https://github.com/citation-style-language/schema/raw/master/csl-citation.json"}</w:instrText>
      </w:r>
      <w:r w:rsidR="00A2701F">
        <w:rPr>
          <w:rFonts w:cs="Times New Roman"/>
          <w:szCs w:val="24"/>
          <w:lang w:val="en-US"/>
        </w:rPr>
        <w:fldChar w:fldCharType="separate"/>
      </w:r>
      <w:r w:rsidR="00B01517" w:rsidRPr="00B01517">
        <w:rPr>
          <w:rFonts w:cs="Times New Roman"/>
          <w:noProof/>
          <w:szCs w:val="24"/>
          <w:vertAlign w:val="superscript"/>
          <w:lang w:val="en-US"/>
        </w:rPr>
        <w:t>34,35</w:t>
      </w:r>
      <w:r w:rsidR="00A2701F">
        <w:rPr>
          <w:rFonts w:cs="Times New Roman"/>
          <w:szCs w:val="24"/>
          <w:lang w:val="en-US"/>
        </w:rPr>
        <w:fldChar w:fldCharType="end"/>
      </w:r>
      <w:r w:rsidR="00A2701F">
        <w:rPr>
          <w:rFonts w:cs="Times New Roman"/>
          <w:szCs w:val="24"/>
          <w:lang w:val="en-US"/>
        </w:rPr>
        <w:t xml:space="preserve">. </w:t>
      </w:r>
      <w:r w:rsidR="00763EBB" w:rsidRPr="00241A81">
        <w:rPr>
          <w:rFonts w:cs="Times New Roman"/>
          <w:szCs w:val="24"/>
          <w:lang w:val="en-US"/>
        </w:rPr>
        <w:t xml:space="preserve">Dimethyldodecylamine oxide (DDAO) is the surfactant </w:t>
      </w:r>
      <w:r w:rsidR="00781EBB">
        <w:rPr>
          <w:rFonts w:cs="Times New Roman"/>
          <w:szCs w:val="24"/>
          <w:lang w:val="en-US"/>
        </w:rPr>
        <w:t>evaluated in this study</w:t>
      </w:r>
      <w:r w:rsidR="00763EBB" w:rsidRPr="00241A81">
        <w:rPr>
          <w:rFonts w:cs="Times New Roman"/>
          <w:szCs w:val="24"/>
          <w:lang w:val="en-US"/>
        </w:rPr>
        <w:t xml:space="preserve">. </w:t>
      </w:r>
      <w:r w:rsidR="00D25BA4">
        <w:rPr>
          <w:rFonts w:cs="Times New Roman"/>
          <w:szCs w:val="24"/>
          <w:lang w:val="en-US"/>
        </w:rPr>
        <w:t>DDAO is one of the surfactants in the a</w:t>
      </w:r>
      <w:r w:rsidR="00A87766">
        <w:rPr>
          <w:rFonts w:cs="Times New Roman"/>
          <w:szCs w:val="24"/>
          <w:lang w:val="en-US"/>
        </w:rPr>
        <w:t xml:space="preserve">mine oxides group </w:t>
      </w:r>
      <w:r w:rsidR="00D25BA4">
        <w:rPr>
          <w:rFonts w:cs="Times New Roman"/>
          <w:szCs w:val="24"/>
          <w:lang w:val="en-US"/>
        </w:rPr>
        <w:t xml:space="preserve">and are </w:t>
      </w:r>
      <w:r w:rsidR="00A87766">
        <w:rPr>
          <w:rFonts w:cs="Times New Roman"/>
          <w:szCs w:val="24"/>
          <w:lang w:val="en-US"/>
        </w:rPr>
        <w:t>surfactants that are amphoteric.</w:t>
      </w:r>
      <w:r w:rsidR="00D25BA4">
        <w:rPr>
          <w:rFonts w:cs="Times New Roman"/>
          <w:szCs w:val="24"/>
          <w:lang w:val="en-US"/>
        </w:rPr>
        <w:t xml:space="preserve"> DDAO is a surfactant that possess zwitterionic properties due to its </w:t>
      </w:r>
      <w:r w:rsidR="00CA3E09">
        <w:rPr>
          <w:rFonts w:cs="Times New Roman"/>
          <w:szCs w:val="24"/>
          <w:lang w:val="en-US"/>
        </w:rPr>
        <w:t>positive and negative</w:t>
      </w:r>
      <w:r w:rsidR="00D25BA4">
        <w:rPr>
          <w:rFonts w:cs="Times New Roman"/>
          <w:szCs w:val="24"/>
          <w:lang w:val="en-US"/>
        </w:rPr>
        <w:t xml:space="preserve"> charges </w:t>
      </w:r>
      <w:r w:rsidR="00CA3E09">
        <w:rPr>
          <w:rFonts w:cs="Times New Roman"/>
          <w:szCs w:val="24"/>
          <w:lang w:val="en-US"/>
        </w:rPr>
        <w:t xml:space="preserve">present on </w:t>
      </w:r>
      <w:r w:rsidR="00D25BA4">
        <w:rPr>
          <w:rFonts w:cs="Times New Roman"/>
          <w:szCs w:val="24"/>
          <w:lang w:val="en-US"/>
        </w:rPr>
        <w:t>the structure (</w:t>
      </w:r>
      <w:r w:rsidR="00CA3E09">
        <w:rPr>
          <w:rFonts w:cs="Times New Roman"/>
          <w:szCs w:val="24"/>
          <w:lang w:val="en-US"/>
        </w:rPr>
        <w:fldChar w:fldCharType="begin"/>
      </w:r>
      <w:r w:rsidR="00CA3E09">
        <w:rPr>
          <w:rFonts w:cs="Times New Roman"/>
          <w:szCs w:val="24"/>
          <w:lang w:val="en-US"/>
        </w:rPr>
        <w:instrText xml:space="preserve"> REF _Ref39933505 \h </w:instrText>
      </w:r>
      <w:r w:rsidR="00CA3E09">
        <w:rPr>
          <w:rFonts w:cs="Times New Roman"/>
          <w:szCs w:val="24"/>
          <w:lang w:val="en-US"/>
        </w:rPr>
      </w:r>
      <w:r w:rsidR="00CA3E09">
        <w:rPr>
          <w:rFonts w:cs="Times New Roman"/>
          <w:szCs w:val="24"/>
          <w:lang w:val="en-US"/>
        </w:rPr>
        <w:fldChar w:fldCharType="separate"/>
      </w:r>
      <w:r w:rsidR="0008188F" w:rsidRPr="00CA3E09">
        <w:rPr>
          <w:lang w:val="en-US"/>
        </w:rPr>
        <w:t xml:space="preserve">Figure </w:t>
      </w:r>
      <w:r w:rsidR="0008188F">
        <w:rPr>
          <w:noProof/>
          <w:lang w:val="en-US"/>
        </w:rPr>
        <w:t>5</w:t>
      </w:r>
      <w:r w:rsidR="00CA3E09">
        <w:rPr>
          <w:rFonts w:cs="Times New Roman"/>
          <w:szCs w:val="24"/>
          <w:lang w:val="en-US"/>
        </w:rPr>
        <w:fldChar w:fldCharType="end"/>
      </w:r>
      <w:r w:rsidR="00D25BA4">
        <w:rPr>
          <w:rFonts w:cs="Times New Roman"/>
          <w:szCs w:val="24"/>
          <w:lang w:val="en-US"/>
        </w:rPr>
        <w:t xml:space="preserve">). Zwitterionic surfactants are known to have antimicrobial properties </w:t>
      </w:r>
      <w:r w:rsidR="00CA3E09">
        <w:rPr>
          <w:rFonts w:cs="Times New Roman"/>
          <w:szCs w:val="24"/>
          <w:lang w:val="en-US"/>
        </w:rPr>
        <w:t>even at</w:t>
      </w:r>
      <w:r w:rsidR="00D25BA4">
        <w:rPr>
          <w:rFonts w:cs="Times New Roman"/>
          <w:szCs w:val="24"/>
          <w:lang w:val="en-US"/>
        </w:rPr>
        <w:t xml:space="preserve"> low concentrations</w:t>
      </w:r>
      <w:r w:rsidR="00D25BA4">
        <w:rPr>
          <w:rFonts w:cs="Times New Roman"/>
          <w:szCs w:val="24"/>
          <w:lang w:val="en-US"/>
        </w:rPr>
        <w:fldChar w:fldCharType="begin" w:fldLock="1"/>
      </w:r>
      <w:r w:rsidR="004871C8">
        <w:rPr>
          <w:rFonts w:cs="Times New Roman"/>
          <w:szCs w:val="24"/>
          <w:lang w:val="en-US"/>
        </w:rPr>
        <w:instrText>ADDIN CSL_CITATION {"citationItems":[{"id":"ITEM-1","itemData":{"DOI":"10.1046/j.1365-2672.2002.01690.x","ISSN":"1364-5072","abstract":"Aims: In order to clarify the involvement of an energy-yielding system in the antibacterial action of surfactants, the effects of carbon source and anaerobiosis during the growth period on the surfactant sensitivity of Escherichia coli cells were investigated. ?Methods and Results: Cetyltrimethylammonium bromide (CTAB) and N-dodecyl-N,N-dimethylglycine, at relatively low concentrations, caused a delay in growth of E. coli cells. Cells grown in M9 medium supplemented with glycerol, succinate or acetate as a carbon source were more sensitive to surfactants and had a higher respiratory activity than those grown with glucose. Cultivation under anaerobiosis made cells resistant to CTAB. ?Conclusions: Bacterial sensitivity to surfactants was affected by carbon source and anaerobiosis. ?Significance and Impact of the Study: The results obtained should be helpful in determining suitable conditions of treatment in the practical use of surfactants for bacterial decontamination.","author":[{"dropping-particle":"","family":"Ishikawa","given":"S","non-dropping-particle":"","parse-names":false,"suffix":""},{"dropping-particle":"","family":"Matsumura","given":"Y","non-dropping-particle":"","parse-names":false,"suffix":""},{"dropping-particle":"","family":"Katoh-Kubo","given":"K","non-dropping-particle":"","parse-names":false,"suffix":""},{"dropping-particle":"","family":"Tsuchido","given":"T","non-dropping-particle":"","parse-names":false,"suffix":""}],"container-title":"Journal of Applied Microbiology","id":"ITEM-1","issue":"2","issued":{"date-parts":[["2002","8","1"]]},"note":"doi: 10.1046/j.1365-2672.2002.01690.x","page":"302-309","publisher":"John Wiley &amp; Sons, Ltd","title":"Antibacterial activity of surfactants against Escherichia coli cells is influenced by carbon source and anaerobiosis","type":"article-journal","volume":"93"},"uris":["http://www.mendeley.com/documents/?uuid=cebcabc8-60da-4fad-8d7f-0d8341403ef1"]}],"mendeley":{"formattedCitation":"&lt;sup&gt;34&lt;/sup&gt;","plainTextFormattedCitation":"34","previouslyFormattedCitation":"&lt;sup&gt;34&lt;/sup&gt;"},"properties":{"noteIndex":0},"schema":"https://github.com/citation-style-language/schema/raw/master/csl-citation.json"}</w:instrText>
      </w:r>
      <w:r w:rsidR="00D25BA4">
        <w:rPr>
          <w:rFonts w:cs="Times New Roman"/>
          <w:szCs w:val="24"/>
          <w:lang w:val="en-US"/>
        </w:rPr>
        <w:fldChar w:fldCharType="separate"/>
      </w:r>
      <w:r w:rsidR="00B01517" w:rsidRPr="00B01517">
        <w:rPr>
          <w:rFonts w:cs="Times New Roman"/>
          <w:noProof/>
          <w:szCs w:val="24"/>
          <w:vertAlign w:val="superscript"/>
          <w:lang w:val="en-US"/>
        </w:rPr>
        <w:t>34</w:t>
      </w:r>
      <w:r w:rsidR="00D25BA4">
        <w:rPr>
          <w:rFonts w:cs="Times New Roman"/>
          <w:szCs w:val="24"/>
          <w:lang w:val="en-US"/>
        </w:rPr>
        <w:fldChar w:fldCharType="end"/>
      </w:r>
      <w:r w:rsidR="00A674D0">
        <w:rPr>
          <w:rFonts w:cs="Times New Roman"/>
          <w:szCs w:val="24"/>
          <w:lang w:val="en-US"/>
        </w:rPr>
        <w:t xml:space="preserve"> which is one of the reasons this is the surfactant chosen for this study</w:t>
      </w:r>
      <w:r w:rsidR="00D25BA4">
        <w:rPr>
          <w:rFonts w:cs="Times New Roman"/>
          <w:szCs w:val="24"/>
          <w:lang w:val="en-US"/>
        </w:rPr>
        <w:t>.</w:t>
      </w:r>
      <w:r w:rsidR="00847208" w:rsidRPr="00847208">
        <w:rPr>
          <w:rFonts w:cs="Times New Roman"/>
          <w:szCs w:val="24"/>
          <w:lang w:val="en-US"/>
        </w:rPr>
        <w:t xml:space="preserve"> </w:t>
      </w:r>
      <w:r w:rsidR="00847208">
        <w:rPr>
          <w:rFonts w:cs="Times New Roman"/>
          <w:szCs w:val="24"/>
          <w:lang w:val="en-US"/>
        </w:rPr>
        <w:t xml:space="preserve">A study conducted by Subik et al concluded that DDAO among other amine oxide surfactants such as </w:t>
      </w:r>
      <w:r w:rsidR="00847208" w:rsidRPr="005211BA">
        <w:rPr>
          <w:rFonts w:cs="Times New Roman"/>
          <w:szCs w:val="24"/>
          <w:lang w:val="en-US"/>
        </w:rPr>
        <w:t>4</w:t>
      </w:r>
      <w:r w:rsidR="00847208">
        <w:rPr>
          <w:rFonts w:cs="Times New Roman"/>
          <w:szCs w:val="24"/>
          <w:lang w:val="en-US"/>
        </w:rPr>
        <w:t>-</w:t>
      </w:r>
      <w:r w:rsidR="00847208" w:rsidRPr="005211BA">
        <w:rPr>
          <w:rFonts w:cs="Times New Roman"/>
          <w:szCs w:val="24"/>
          <w:lang w:val="en-US"/>
        </w:rPr>
        <w:t>Dodecylmorpholine-N-oxide</w:t>
      </w:r>
      <w:r w:rsidR="00847208">
        <w:rPr>
          <w:rFonts w:cs="Times New Roman"/>
          <w:szCs w:val="24"/>
          <w:lang w:val="en-US"/>
        </w:rPr>
        <w:t xml:space="preserve">, </w:t>
      </w:r>
      <w:r w:rsidR="00847208" w:rsidRPr="005211BA">
        <w:rPr>
          <w:rFonts w:cs="Times New Roman"/>
          <w:szCs w:val="24"/>
          <w:lang w:val="en-US"/>
        </w:rPr>
        <w:t>1-dodecylperhydroasepine-N-oxide,</w:t>
      </w:r>
      <w:r w:rsidR="00847208">
        <w:rPr>
          <w:rFonts w:cs="Times New Roman"/>
          <w:szCs w:val="24"/>
          <w:lang w:val="en-US"/>
        </w:rPr>
        <w:t xml:space="preserve"> and </w:t>
      </w:r>
      <w:r w:rsidR="00847208" w:rsidRPr="005211BA">
        <w:rPr>
          <w:rFonts w:cs="Times New Roman"/>
          <w:szCs w:val="24"/>
          <w:lang w:val="en-US"/>
        </w:rPr>
        <w:t>4-alkylmorpholine-N-oxides</w:t>
      </w:r>
      <w:r w:rsidR="00847208">
        <w:rPr>
          <w:rFonts w:cs="Times New Roman"/>
          <w:szCs w:val="24"/>
          <w:lang w:val="en-US"/>
        </w:rPr>
        <w:t xml:space="preserve"> disorganizes the membrane of different bacteria which is the primary source of the antimicrobial activity exhibited in these surfactants</w:t>
      </w:r>
      <w:r w:rsidR="00847208">
        <w:rPr>
          <w:rFonts w:cs="Times New Roman"/>
          <w:szCs w:val="24"/>
          <w:lang w:val="en-US"/>
        </w:rPr>
        <w:fldChar w:fldCharType="begin" w:fldLock="1"/>
      </w:r>
      <w:r w:rsidR="004871C8">
        <w:rPr>
          <w:rFonts w:cs="Times New Roman"/>
          <w:szCs w:val="24"/>
          <w:lang w:val="en-US"/>
        </w:rPr>
        <w:instrText>ADDIN CSL_CITATION {"citationItems":[{"id":"ITEM-1","itemData":{"DOI":"10.1128/AAC.12.2.139","author":[{"dropping-particle":"","family":"Subík","given":"Julius","non-dropping-particle":"","parse-names":false,"suffix":""},{"dropping-particle":"","family":"Takácsová","given":"Gizela","non-dropping-particle":"","parse-names":false,"suffix":""},{"dropping-particle":"","family":"Pšenák","given":"Mikuláš","non-dropping-particle":"","parse-names":false,"suffix":""},{"dropping-particle":"","family":"Devínsky","given":"Ferdinand","non-dropping-particle":"","parse-names":false,"suffix":""}],"container-title":"Antimicrobial agents and chemotherapy","id":"ITEM-1","issued":{"date-parts":[["1977","9","1"]]},"page":"139-146","title":"Antimicrobial Activity of Amine Oxides: Mode of Action and Structure-Activity Correlation","type":"article-journal","volume":"12"},"uris":["http://www.mendeley.com/documents/?uuid=97c2bf2d-05c5-441b-9e29-7d357b6be040"]}],"mendeley":{"formattedCitation":"&lt;sup&gt;36&lt;/sup&gt;","plainTextFormattedCitation":"36","previouslyFormattedCitation":"&lt;sup&gt;36&lt;/sup&gt;"},"properties":{"noteIndex":0},"schema":"https://github.com/citation-style-language/schema/raw/master/csl-citation.json"}</w:instrText>
      </w:r>
      <w:r w:rsidR="00847208">
        <w:rPr>
          <w:rFonts w:cs="Times New Roman"/>
          <w:szCs w:val="24"/>
          <w:lang w:val="en-US"/>
        </w:rPr>
        <w:fldChar w:fldCharType="separate"/>
      </w:r>
      <w:r w:rsidR="00B01517" w:rsidRPr="00B01517">
        <w:rPr>
          <w:rFonts w:cs="Times New Roman"/>
          <w:noProof/>
          <w:szCs w:val="24"/>
          <w:vertAlign w:val="superscript"/>
          <w:lang w:val="en-US"/>
        </w:rPr>
        <w:t>36</w:t>
      </w:r>
      <w:r w:rsidR="00847208">
        <w:rPr>
          <w:rFonts w:cs="Times New Roman"/>
          <w:szCs w:val="24"/>
          <w:lang w:val="en-US"/>
        </w:rPr>
        <w:fldChar w:fldCharType="end"/>
      </w:r>
      <w:r w:rsidR="00847208">
        <w:rPr>
          <w:rFonts w:cs="Times New Roman"/>
          <w:szCs w:val="24"/>
          <w:lang w:val="en-US"/>
        </w:rPr>
        <w:t>.</w:t>
      </w:r>
    </w:p>
    <w:p w14:paraId="672118E3" w14:textId="315F65FB" w:rsidR="00D25BA4" w:rsidRDefault="00D25BA4" w:rsidP="00763EBB">
      <w:pPr>
        <w:spacing w:line="480" w:lineRule="auto"/>
        <w:ind w:firstLine="708"/>
        <w:jc w:val="both"/>
        <w:rPr>
          <w:rFonts w:cs="Times New Roman"/>
          <w:szCs w:val="24"/>
          <w:lang w:val="en-US"/>
        </w:rPr>
      </w:pPr>
      <w:r w:rsidRPr="00D25BA4">
        <w:rPr>
          <w:noProof/>
          <w:lang w:val="en-US"/>
        </w:rPr>
        <w:drawing>
          <wp:inline distT="0" distB="0" distL="0" distR="0" wp14:anchorId="5EFFB392" wp14:editId="618316FF">
            <wp:extent cx="4416271" cy="745192"/>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2726" cy="758093"/>
                    </a:xfrm>
                    <a:prstGeom prst="rect">
                      <a:avLst/>
                    </a:prstGeom>
                    <a:noFill/>
                    <a:ln>
                      <a:noFill/>
                    </a:ln>
                  </pic:spPr>
                </pic:pic>
              </a:graphicData>
            </a:graphic>
          </wp:inline>
        </w:drawing>
      </w:r>
    </w:p>
    <w:p w14:paraId="33D81930" w14:textId="53D9B950" w:rsidR="00CA3E09" w:rsidRPr="00CA3E09" w:rsidRDefault="00CA3E09" w:rsidP="00CA3E09">
      <w:pPr>
        <w:pStyle w:val="Caption"/>
        <w:rPr>
          <w:rFonts w:cs="Times New Roman"/>
          <w:szCs w:val="24"/>
          <w:lang w:val="en-US"/>
        </w:rPr>
      </w:pPr>
      <w:bookmarkStart w:id="18" w:name="_Ref39933505"/>
      <w:bookmarkStart w:id="19" w:name="_Toc45837576"/>
      <w:r w:rsidRPr="00CA3E09">
        <w:rPr>
          <w:lang w:val="en-US"/>
        </w:rPr>
        <w:t xml:space="preserve">Figure </w:t>
      </w:r>
      <w:r>
        <w:fldChar w:fldCharType="begin"/>
      </w:r>
      <w:r w:rsidRPr="00CA3E09">
        <w:rPr>
          <w:lang w:val="en-US"/>
        </w:rPr>
        <w:instrText xml:space="preserve"> SEQ Figure \* ARABIC </w:instrText>
      </w:r>
      <w:r>
        <w:fldChar w:fldCharType="separate"/>
      </w:r>
      <w:r w:rsidR="0008188F">
        <w:rPr>
          <w:noProof/>
          <w:lang w:val="en-US"/>
        </w:rPr>
        <w:t>5</w:t>
      </w:r>
      <w:r>
        <w:fldChar w:fldCharType="end"/>
      </w:r>
      <w:bookmarkEnd w:id="18"/>
      <w:r>
        <w:rPr>
          <w:lang w:val="en-US"/>
        </w:rPr>
        <w:t xml:space="preserve"> – </w:t>
      </w:r>
      <w:r w:rsidRPr="00CA3E09">
        <w:rPr>
          <w:lang w:val="en-US"/>
        </w:rPr>
        <w:t>D</w:t>
      </w:r>
      <w:r>
        <w:rPr>
          <w:lang w:val="en-US"/>
        </w:rPr>
        <w:t>imethyldodecylamine oxide</w:t>
      </w:r>
      <w:bookmarkEnd w:id="19"/>
    </w:p>
    <w:p w14:paraId="521BE960" w14:textId="57A6F279" w:rsidR="00763EBB" w:rsidRDefault="00AE3C16" w:rsidP="00763EBB">
      <w:pPr>
        <w:spacing w:line="480" w:lineRule="auto"/>
        <w:ind w:firstLine="708"/>
        <w:jc w:val="both"/>
        <w:rPr>
          <w:rFonts w:cs="Times New Roman"/>
          <w:szCs w:val="24"/>
          <w:lang w:val="en-US"/>
        </w:rPr>
      </w:pPr>
      <w:r w:rsidRPr="00241A81">
        <w:rPr>
          <w:rFonts w:cs="Times New Roman"/>
          <w:szCs w:val="24"/>
          <w:lang w:val="en-US"/>
        </w:rPr>
        <w:t xml:space="preserve">It is expected that the zinc oxide particles working in conjunction with the </w:t>
      </w:r>
      <w:r w:rsidR="00D17570">
        <w:rPr>
          <w:rFonts w:cs="Times New Roman"/>
          <w:szCs w:val="24"/>
          <w:lang w:val="en-US"/>
        </w:rPr>
        <w:t>d</w:t>
      </w:r>
      <w:r w:rsidR="00C75C83" w:rsidRPr="00241A81">
        <w:rPr>
          <w:rFonts w:cs="Times New Roman"/>
          <w:szCs w:val="24"/>
          <w:lang w:val="en-US"/>
        </w:rPr>
        <w:t>imethyldodecylamine</w:t>
      </w:r>
      <w:r w:rsidR="00C75C83">
        <w:rPr>
          <w:rFonts w:cs="Times New Roman"/>
          <w:szCs w:val="24"/>
          <w:lang w:val="en-US"/>
        </w:rPr>
        <w:t xml:space="preserve"> </w:t>
      </w:r>
      <w:r w:rsidRPr="00241A81">
        <w:rPr>
          <w:rFonts w:cs="Times New Roman"/>
          <w:szCs w:val="24"/>
          <w:lang w:val="en-US"/>
        </w:rPr>
        <w:t xml:space="preserve">oxide will have a synergistic property and create an antibacterial material that </w:t>
      </w:r>
      <w:r>
        <w:rPr>
          <w:rFonts w:cs="Times New Roman"/>
          <w:szCs w:val="24"/>
          <w:lang w:val="en-US"/>
        </w:rPr>
        <w:t>could help eliminate</w:t>
      </w:r>
      <w:r w:rsidRPr="00241A81">
        <w:rPr>
          <w:rFonts w:cs="Times New Roman"/>
          <w:szCs w:val="24"/>
          <w:lang w:val="en-US"/>
        </w:rPr>
        <w:t xml:space="preserve"> secondary cavities caused from microbial invasion.</w:t>
      </w:r>
      <w:r>
        <w:rPr>
          <w:rFonts w:cs="Times New Roman"/>
          <w:szCs w:val="24"/>
          <w:lang w:val="en-US"/>
        </w:rPr>
        <w:t xml:space="preserve"> </w:t>
      </w:r>
      <w:r w:rsidR="00763EBB">
        <w:rPr>
          <w:rFonts w:cs="Times New Roman"/>
          <w:szCs w:val="24"/>
          <w:lang w:val="en-US"/>
        </w:rPr>
        <w:t>Zinc oxide and DDAO</w:t>
      </w:r>
      <w:r w:rsidR="00763EBB" w:rsidRPr="00241A81">
        <w:rPr>
          <w:rFonts w:cs="Times New Roman"/>
          <w:szCs w:val="24"/>
          <w:lang w:val="en-US"/>
        </w:rPr>
        <w:t xml:space="preserve"> ha</w:t>
      </w:r>
      <w:r w:rsidR="00763EBB">
        <w:rPr>
          <w:rFonts w:cs="Times New Roman"/>
          <w:szCs w:val="24"/>
          <w:lang w:val="en-US"/>
        </w:rPr>
        <w:t>ve</w:t>
      </w:r>
      <w:r w:rsidR="00763EBB" w:rsidRPr="00241A81">
        <w:rPr>
          <w:rFonts w:cs="Times New Roman"/>
          <w:szCs w:val="24"/>
          <w:lang w:val="en-US"/>
        </w:rPr>
        <w:t xml:space="preserve"> shown high antibacterial characteristics and will allow the </w:t>
      </w:r>
      <w:r w:rsidR="00D25BA4">
        <w:rPr>
          <w:rFonts w:cs="Times New Roman"/>
          <w:szCs w:val="24"/>
          <w:lang w:val="en-US"/>
        </w:rPr>
        <w:t>dental resin</w:t>
      </w:r>
      <w:r w:rsidR="00763EBB" w:rsidRPr="00241A81">
        <w:rPr>
          <w:rFonts w:cs="Times New Roman"/>
          <w:szCs w:val="24"/>
          <w:lang w:val="en-US"/>
        </w:rPr>
        <w:t xml:space="preserve"> to maintain its white color and be more </w:t>
      </w:r>
      <w:r w:rsidR="00D55033">
        <w:rPr>
          <w:rFonts w:cs="Times New Roman"/>
          <w:szCs w:val="24"/>
          <w:lang w:val="en-US"/>
        </w:rPr>
        <w:t>aesthetically</w:t>
      </w:r>
      <w:r w:rsidR="00763EBB" w:rsidRPr="00241A81">
        <w:rPr>
          <w:rFonts w:cs="Times New Roman"/>
          <w:szCs w:val="24"/>
          <w:lang w:val="en-US"/>
        </w:rPr>
        <w:t xml:space="preserve"> pleasing for patients.</w:t>
      </w:r>
      <w:r w:rsidR="00781EBB" w:rsidRPr="00781EBB">
        <w:rPr>
          <w:rFonts w:cs="Times New Roman"/>
          <w:szCs w:val="24"/>
          <w:lang w:val="en-US"/>
        </w:rPr>
        <w:t xml:space="preserve"> </w:t>
      </w:r>
      <w:r w:rsidR="005A4C6E">
        <w:rPr>
          <w:rFonts w:cs="Times New Roman"/>
          <w:szCs w:val="24"/>
          <w:lang w:val="en-US"/>
        </w:rPr>
        <w:t xml:space="preserve">It is hypothesized </w:t>
      </w:r>
      <w:r w:rsidR="00781EBB" w:rsidRPr="009B4DC4">
        <w:rPr>
          <w:rFonts w:cs="Times New Roman"/>
          <w:szCs w:val="24"/>
          <w:lang w:val="en-US"/>
        </w:rPr>
        <w:t>that by combining these two materials known for their antibacterial properties</w:t>
      </w:r>
      <w:r w:rsidR="005A4C6E">
        <w:rPr>
          <w:rFonts w:cs="Times New Roman"/>
          <w:szCs w:val="24"/>
          <w:lang w:val="en-US"/>
        </w:rPr>
        <w:t xml:space="preserve">, </w:t>
      </w:r>
      <w:r w:rsidR="00781EBB" w:rsidRPr="009B4DC4">
        <w:rPr>
          <w:rFonts w:cs="Times New Roman"/>
          <w:szCs w:val="24"/>
          <w:lang w:val="en-US"/>
        </w:rPr>
        <w:t xml:space="preserve">they will synergize and work even more affectively </w:t>
      </w:r>
      <w:r w:rsidR="00440FFB" w:rsidRPr="009B4DC4">
        <w:rPr>
          <w:rFonts w:cs="Times New Roman"/>
          <w:szCs w:val="24"/>
          <w:lang w:val="en-US"/>
        </w:rPr>
        <w:t xml:space="preserve">together </w:t>
      </w:r>
      <w:r w:rsidR="00440FFB">
        <w:rPr>
          <w:rFonts w:cs="Times New Roman"/>
          <w:szCs w:val="24"/>
          <w:lang w:val="en-US"/>
        </w:rPr>
        <w:t xml:space="preserve">to inhibit growth of S. mutans </w:t>
      </w:r>
      <w:r w:rsidR="00781EBB" w:rsidRPr="009B4DC4">
        <w:rPr>
          <w:rFonts w:cs="Times New Roman"/>
          <w:szCs w:val="24"/>
          <w:lang w:val="en-US"/>
        </w:rPr>
        <w:t xml:space="preserve">than they </w:t>
      </w:r>
      <w:r w:rsidR="00781EBB">
        <w:rPr>
          <w:rFonts w:cs="Times New Roman"/>
          <w:szCs w:val="24"/>
          <w:lang w:val="en-US"/>
        </w:rPr>
        <w:t>would</w:t>
      </w:r>
      <w:r w:rsidR="00781EBB" w:rsidRPr="009B4DC4">
        <w:rPr>
          <w:rFonts w:cs="Times New Roman"/>
          <w:szCs w:val="24"/>
          <w:lang w:val="en-US"/>
        </w:rPr>
        <w:t xml:space="preserve"> alone.</w:t>
      </w:r>
      <w:r w:rsidR="00AB15A6">
        <w:rPr>
          <w:rFonts w:cs="Times New Roman"/>
          <w:szCs w:val="24"/>
          <w:lang w:val="en-US"/>
        </w:rPr>
        <w:t xml:space="preserve"> </w:t>
      </w:r>
    </w:p>
    <w:p w14:paraId="768086EA" w14:textId="0C0256BC" w:rsidR="00AB15A6" w:rsidRPr="00241A81" w:rsidRDefault="00AB15A6" w:rsidP="00763EBB">
      <w:pPr>
        <w:spacing w:line="480" w:lineRule="auto"/>
        <w:ind w:firstLine="708"/>
        <w:jc w:val="both"/>
        <w:rPr>
          <w:rFonts w:cs="Times New Roman"/>
          <w:szCs w:val="24"/>
          <w:lang w:val="en-US"/>
        </w:rPr>
      </w:pPr>
      <w:r>
        <w:rPr>
          <w:rFonts w:cs="Times New Roman"/>
          <w:szCs w:val="24"/>
          <w:lang w:val="en-US"/>
        </w:rPr>
        <w:t xml:space="preserve">The interest in antibacterial adhesives has led to the investigation of the surface properties of the zinc oxide and titanium dioxide nanoparticles. Studying the contact angles of the nanoparticles will allow for surface characterization with potential </w:t>
      </w:r>
      <w:r w:rsidR="004D7F84">
        <w:rPr>
          <w:rFonts w:cs="Times New Roman"/>
          <w:szCs w:val="24"/>
          <w:lang w:val="en-US"/>
        </w:rPr>
        <w:t>determination of</w:t>
      </w:r>
      <w:r>
        <w:rPr>
          <w:rFonts w:cs="Times New Roman"/>
          <w:szCs w:val="24"/>
          <w:lang w:val="en-US"/>
        </w:rPr>
        <w:t xml:space="preserve"> the surface energy components. This will provide further insight on the possible effects of the nanoparticles on the adhesive and the impact the nanoparticles may have on the mechanical properties and bonding abilities. The interest in antimicrobials also warrants the testing of the antibacterial properties of the nanoparticles and surfactant against bacterium commonly associated with dental caries. This will give insight to the likelihood of these materials to prevent bacterial growth in dental restorative techniques requiring adhesives.</w:t>
      </w:r>
    </w:p>
    <w:p w14:paraId="386C97ED" w14:textId="5D0C141B" w:rsidR="004E63A5" w:rsidRDefault="008C1BB7" w:rsidP="00903D53">
      <w:pPr>
        <w:pStyle w:val="Heading1"/>
        <w:spacing w:line="480" w:lineRule="auto"/>
        <w:jc w:val="left"/>
        <w:rPr>
          <w:rFonts w:cs="Times New Roman"/>
          <w:szCs w:val="24"/>
          <w:lang w:val="en-US"/>
        </w:rPr>
      </w:pPr>
      <w:r>
        <w:rPr>
          <w:rFonts w:cs="Times New Roman"/>
          <w:szCs w:val="24"/>
          <w:lang w:val="en-US"/>
        </w:rPr>
        <w:br w:type="column"/>
      </w:r>
      <w:bookmarkStart w:id="20" w:name="_Toc45837538"/>
      <w:r w:rsidR="004E63A5" w:rsidRPr="00241A81">
        <w:rPr>
          <w:rFonts w:cs="Times New Roman"/>
          <w:szCs w:val="24"/>
          <w:lang w:val="en-US"/>
        </w:rPr>
        <w:t>Chapter 2</w:t>
      </w:r>
      <w:r w:rsidR="00004721">
        <w:rPr>
          <w:rFonts w:cs="Times New Roman"/>
          <w:szCs w:val="24"/>
          <w:lang w:val="en-US"/>
        </w:rPr>
        <w:t xml:space="preserve"> –</w:t>
      </w:r>
      <w:r w:rsidR="00F11415" w:rsidRPr="00F11415">
        <w:rPr>
          <w:rFonts w:cs="Times New Roman"/>
          <w:szCs w:val="24"/>
          <w:lang w:val="en-US"/>
        </w:rPr>
        <w:t>Drop Penetration Method t</w:t>
      </w:r>
      <w:r w:rsidR="00331B3C">
        <w:rPr>
          <w:rFonts w:cs="Times New Roman"/>
          <w:szCs w:val="24"/>
          <w:lang w:val="en-US"/>
        </w:rPr>
        <w:t xml:space="preserve">o </w:t>
      </w:r>
      <w:r w:rsidR="00546537">
        <w:rPr>
          <w:rFonts w:cs="Times New Roman"/>
          <w:szCs w:val="24"/>
          <w:lang w:val="en-US"/>
        </w:rPr>
        <w:t>Study Surface Properties</w:t>
      </w:r>
      <w:r w:rsidR="00F11415" w:rsidRPr="00F11415">
        <w:rPr>
          <w:rFonts w:cs="Times New Roman"/>
          <w:szCs w:val="24"/>
          <w:lang w:val="en-US"/>
        </w:rPr>
        <w:t xml:space="preserve"> o</w:t>
      </w:r>
      <w:r w:rsidR="00331B3C">
        <w:rPr>
          <w:rFonts w:cs="Times New Roman"/>
          <w:szCs w:val="24"/>
          <w:lang w:val="en-US"/>
        </w:rPr>
        <w:t>n</w:t>
      </w:r>
      <w:r w:rsidR="00F11415">
        <w:rPr>
          <w:rFonts w:cs="Times New Roman"/>
          <w:szCs w:val="24"/>
          <w:lang w:val="en-US"/>
        </w:rPr>
        <w:t xml:space="preserve"> </w:t>
      </w:r>
      <w:r w:rsidR="00F11415" w:rsidRPr="00F11415">
        <w:rPr>
          <w:rFonts w:cs="Times New Roman"/>
          <w:szCs w:val="24"/>
          <w:lang w:val="en-US"/>
        </w:rPr>
        <w:t>Nanoparticles</w:t>
      </w:r>
      <w:r w:rsidR="00942C52">
        <w:rPr>
          <w:rFonts w:cs="Times New Roman"/>
          <w:szCs w:val="24"/>
          <w:lang w:val="en-US"/>
        </w:rPr>
        <w:t>*</w:t>
      </w:r>
      <w:bookmarkEnd w:id="20"/>
    </w:p>
    <w:p w14:paraId="4D333717" w14:textId="5A3260B4" w:rsidR="003F21E9" w:rsidRPr="003D3D2C" w:rsidRDefault="00A54926" w:rsidP="005E0301">
      <w:pPr>
        <w:rPr>
          <w:lang w:val="en-US"/>
        </w:rPr>
      </w:pPr>
      <w:r>
        <w:rPr>
          <w:lang w:val="en-US"/>
        </w:rPr>
        <w:t>*Portions of this material has appeared as an article in Nanomaterials, “</w:t>
      </w:r>
      <w:hyperlink r:id="rId19" w:history="1">
        <w:r w:rsidR="00EC46C3" w:rsidRPr="005E0301">
          <w:rPr>
            <w:rStyle w:val="Hyperlink"/>
            <w:rFonts w:eastAsia="Times New Roman"/>
            <w:lang w:val="en-US"/>
          </w:rPr>
          <w:t>https://www.mdpi.com/2079-4991/10/6/1099/pdf</w:t>
        </w:r>
      </w:hyperlink>
      <w:r w:rsidR="00EC46C3" w:rsidRPr="005E0301">
        <w:rPr>
          <w:rFonts w:eastAsia="Times New Roman"/>
          <w:lang w:val="en-US"/>
        </w:rPr>
        <w:t>”</w:t>
      </w:r>
      <w:r w:rsidR="00EC46C3">
        <w:rPr>
          <w:rFonts w:eastAsia="Times New Roman"/>
          <w:lang w:val="en-US"/>
        </w:rPr>
        <w:t>.</w:t>
      </w:r>
    </w:p>
    <w:p w14:paraId="65B9DB3B" w14:textId="2734EADF" w:rsidR="00C5455B" w:rsidRDefault="001C673D" w:rsidP="002003DD">
      <w:pPr>
        <w:pStyle w:val="Heading2"/>
      </w:pPr>
      <w:bookmarkStart w:id="21" w:name="_Toc45837539"/>
      <w:r>
        <w:t>Introduction</w:t>
      </w:r>
      <w:bookmarkEnd w:id="21"/>
    </w:p>
    <w:p w14:paraId="55F9E974" w14:textId="04A1E69C" w:rsidR="001C673D" w:rsidRPr="00314EC8" w:rsidRDefault="001C673D" w:rsidP="001C673D">
      <w:pPr>
        <w:spacing w:after="0" w:line="480" w:lineRule="auto"/>
        <w:ind w:firstLine="708"/>
        <w:jc w:val="both"/>
        <w:rPr>
          <w:rFonts w:cs="Times New Roman"/>
          <w:szCs w:val="24"/>
          <w:lang w:val="en-US"/>
        </w:rPr>
      </w:pPr>
      <w:r w:rsidRPr="00314EC8">
        <w:rPr>
          <w:rFonts w:cs="Times New Roman"/>
          <w:szCs w:val="24"/>
          <w:lang w:val="en-US"/>
        </w:rPr>
        <w:t>Nanoparticles (NP), which are discrete structures displaying high surface area-to-volume ratios,</w:t>
      </w:r>
      <w:r w:rsidRPr="00314EC8" w:rsidDel="005D7651">
        <w:rPr>
          <w:rFonts w:cs="Times New Roman"/>
          <w:szCs w:val="24"/>
          <w:lang w:val="en-US"/>
        </w:rPr>
        <w:t xml:space="preserve"> </w:t>
      </w:r>
      <w:r w:rsidRPr="00314EC8">
        <w:rPr>
          <w:rFonts w:cs="Times New Roman"/>
          <w:szCs w:val="24"/>
          <w:lang w:val="en-US"/>
        </w:rPr>
        <w:t>have a wide variety of applications in several segments of industry, engineering and health-care including paints, coatings, catalysts, cosmetics and pharmaceuticals</w:t>
      </w:r>
      <w:r w:rsidRPr="00314EC8" w:rsidDel="004F52F0">
        <w:rPr>
          <w:rFonts w:cs="Times New Roman"/>
          <w:szCs w:val="24"/>
          <w:lang w:val="en-US"/>
        </w:rPr>
        <w:t xml:space="preserve"> </w:t>
      </w:r>
      <w:r w:rsidRPr="00314EC8">
        <w:rPr>
          <w:rFonts w:cs="Times New Roman"/>
          <w:szCs w:val="24"/>
          <w:vertAlign w:val="superscript"/>
          <w:lang w:val="en-US"/>
        </w:rPr>
        <w:fldChar w:fldCharType="begin" w:fldLock="1"/>
      </w:r>
      <w:r w:rsidR="004871C8">
        <w:rPr>
          <w:rFonts w:cs="Times New Roman"/>
          <w:szCs w:val="24"/>
          <w:lang w:val="en-US"/>
        </w:rPr>
        <w:instrText>ADDIN CSL_CITATION {"citationItems":[{"id":"ITEM-1","itemData":{"DOI":"https://doi.org/10.1016/j.powtec.2015.02.026","ISBN":"0032-5910","abstract":"The penetration of porous solids by organic solvents is a technologically important phenomenon, relevant to a wide variety of fields including heterogeneous catalysis. Selecting the most appropriate solvent is a critical, albeit sometimes overlooked, step in such processes. In this study, the Washburn capillary rise technique was used to determine the wetting rates and contact angles of fifteen different organic solvents on some typical catalyst support materials, with the aim of better reaction design. This technique relates the rate at which a solvent is imbibed vertically through a bed of powder to the contact angle of the analyte solvent on the powder's surface. Experiments conducted on a range of catalyst support types indicated that contact angles were consistently low on silica and alumina supports regardless of the nature of the imbibed solvent, but were significantly higher on hydroxyapatite and microcrystalline cellulose-type supports. Oven drying of the powders only induced statistically significant changes in the wetting behaviour of some systems. The solvents with the most consistent wetting properties were those with moderate polarity such as tetrahydrofuran or ethyl acetate, making them the most versatile group of solvents for reactions involving the tested powdered supports.","author":[{"dropping-particle":"","family":"Jaine","given":"Jacob Evan","non-dropping-particle":"","parse-names":false,"suffix":""},{"dropping-particle":"","family":"Mucalo","given":"Michael Roger","non-dropping-particle":"","parse-names":false,"suffix":""}],"container-title":"Powder Technology","id":"ITEM-1","issued":{"date-parts":[["2015"]]},"page":"123-128","title":"Measurements of the wettability of catalyst support materials using the Washburn capillary rise technique","type":"article-journal","volume":"276"},"uris":["http://www.mendeley.com/documents/?uuid=b1dad60b-b1f6-4988-8733-cc90884a9329"]},{"id":"ITEM-2","itemData":{"DOI":"https://doi.org/10.1016/j.powtec.2010.08.031","ISBN":"0032-5910","abstract":"Even though dispersion operations have been the object of several investigations, the importance of the various parameters and especially the physicochemical and surface properties are rarely treated. Dry particle coating can be used to create new-generation materials by combining different powders exhibiting different physical and/or chemical properties. In such processes relatively large particles (host particles) are mechanically coated with fine particles (guest particles), without using solvents and subsequent drying, to create new functionalities or to improve initial characteristics. The purpose of this study is to modify the surface of Talc particles by dry coating with different concentrations of hydrophobic Silica (Aerosil R972®), to examine the effect of the coating on the wettability of the coated Talc particles and to study the effects on the dispersibility of these same composite particles. Dry coating is found to modify the surface of Talc particles and to control their wettability and dispersibility in aqueous solutions.","author":[{"dropping-particle":"","family":"Lefebvre","given":"G","non-dropping-particle":"","parse-names":false,"suffix":""},{"dropping-particle":"","family":"Galet","given":"L","non-dropping-particle":"","parse-names":false,"suffix":""},{"dropping-particle":"","family":"Chamayou","given":"A","non-dropping-particle":"","parse-names":false,"suffix":""}],"container-title":"Powder Technology","id":"ITEM-2","issue":"2","issued":{"date-parts":[["2011"]]},"page":"372-377","title":"Dry coating of talc particles with fumed silica: Influence of the silica concentration on the wettability and dispersibility of the composite particles","type":"article-journal","volume":"208"},"uris":["http://www.mendeley.com/documents/?uuid=9a112274-7ccc-4028-a877-49496dee0c2b"]},{"id":"ITEM-3","itemData":{"DOI":"https://doi.org/10.1016/j.powtec.2014.11.002","ISBN":"0032-5910","abstract":"Measuring surface free energy (γs) of powders is important. When liquids are used as test probes, two primary techniques based on Washburn's equation can be used, namely, thin layer and column wetting methods. In the two methods, contact angles of n-alkane are assumed to be zero to obtain geometric or capillary factor. However, several researchers believe this assumption is irrational. In this paper, to avoid calculating geometric or capillary factor, an approach for determining γds of powders using Washburn's equation was established and confirmed by measurements for nanosized SiO2, ZnO, and TiO2 powders. When a series of n-alkanes was used, a linear relationship was found between square root of alkanes' γl and measured wetting result of w2tηρ2. This rule was deduced from Washburn's and Fowkes's equations and was supported by the wetting results. It was also found that after obtaining the equation of n-alkanes' line, γds of powders could be calculated from the slope and intercept of the line or from γl of an imaginary alkane. Due to the obtained γds of the powders from the developed method and IGC measurements were almost equal, it was believed that the developed method could be used in determining γds of powders.","author":[{"dropping-particle":"","family":"Ji","given":"Lingyun","non-dropping-particle":"","parse-names":false,"suffix":""},{"dropping-particle":"","family":"Shi","given":"Baoli","non-dropping-particle":"","parse-names":false,"suffix":""}],"container-title":"Powder Technology","id":"ITEM-3","issued":{"date-parts":[["2015"]]},"page":"88-92","title":"A novel method for determining surface free energy of powders using Washburn's equation without calculating capillary factor and contact angle","type":"article-journal","volume":"271"},"uris":["http://www.mendeley.com/documents/?uuid=8373b4b8-ef4a-4c4d-98d7-a3cf40b5f736"]},{"id":"ITEM-4","itemData":{"DOI":"https://doi.org/10.1007/s00214-011-1018-5","ISBN":"1432-2234","author":[{"dropping-particle":"","family":"N. S. Da-Silva, F. Marciano, A. O Lobo, V. Trava-Airoldi, C. Pacheco-Soares, C. C Wachesk","given":"","non-dropping-particle":"","parse-names":false,"suffix":""}],"container-title":"Theoretical Chemistry Accounts","id":"ITEM-4","issue":"4-6","issued":{"date-parts":[["2011"]]},"page":"1085-1093","title":"Thermodynamic aspects of fibroblastic spreading on diamond-like carbon films containing titanium dioxide nanoparticles","type":"article-journal","volume":"130"},"uris":["http://www.mendeley.com/documents/?uuid=0ed93fa0-56bd-441a-bf2f-c327ca672eca"]},{"id":"ITEM-5","itemData":{"DOI":"10.1021/ct0499635","ISBN":"1549-9618","author":[{"dropping-particle":"","family":"Barnard","given":"A S","non-dropping-particle":"","parse-names":false,"suffix":""},{"dropping-particle":"","family":"Zapol","given":"P","non-dropping-particle":"","parse-names":false,"suffix":""},{"dropping-particle":"","family":"Curtiss","given":"L A","non-dropping-particle":"","parse-names":false,"suffix":""}],"container-title":"Journal of chemical theory and computation","id":"ITEM-5","issue":"1","issued":{"date-parts":[["2005"]]},"page":"107-116","publisher":"American Chemical Society","title":"Modeling the morphology and phase stability of TiO2 nanocrystals in water","type":"article-journal","volume":"1"},"uris":["http://www.mendeley.com/documents/?uuid=97944f8a-a741-4716-be65-189184ec8d7c"]},{"id":"ITEM-6","itemData":{"DOI":"https://doi.org/10.1016/j.jcat.2005.09.034","ISBN":"0021-9517","abstract":"We use a multitechnique approach to reveal how the nature and concentration of surface acid–basic OH groups present on anatase-TiO2 nanocrystallites depend on their morphologies. Coupling recent density functional theory (DFT) calculations with three physical characterization techniques (X-ray diffraction, transmission electron microscopy, and Fourier transform infrared spectroscopy), the different infrared (IR) spectroscopic properties of two anatase samples are explained by morphology effects resulting from the synthesis pathways. Whereas a conventional route leads to anisotropic shapes, the multigelation method leads to more “spherical” shapes. As shown by the DFT calculations, the assignment of the OH stretching bands depends on the surfaces exposed by the anatase-TiO2 nanocrystallites. The signature of the nanocrystallites morphology can thus be captured by IR spectroscopy.","author":[{"dropping-particle":"","family":"Dzwigaj","given":"S","non-dropping-particle":"","parse-names":false,"suffix":""},{"dropping-particle":"","family":"Arrouvel","given":"C","non-dropping-particle":"","parse-names":false,"suffix":""},{"dropping-particle":"","family":"Breysse","given":"M","non-dropping-particle":"","parse-names":false,"suffix":""},{"dropping-particle":"","family":"Geantet","given":"C","non-dropping-particle":"","parse-names":false,"suffix":""},{"dropping-particle":"","family":"Inoue","given":"S","non-dropping-particle":"","parse-names":false,"suffix":""},{"dropping-particle":"","family":"Toulhoat","given":"H","non-dropping-particle":"","parse-names":false,"suffix":""},{"dropping-particle":"","family":"Raybaud","given":"P","non-dropping-particle":"","parse-names":false,"suffix":""}],"container-title":"Journal of Catalysis","id":"ITEM-6","issue":"2","issued":{"date-parts":[["2005"]]},"page":"245-250","title":"DFT makes the morphologies of anatase-TiO2 nanoparticles visible to IR spectroscopy","type":"article-journal","volume":"236"},"uris":["http://www.mendeley.com/documents/?uuid=f0c52a4f-5ce6-4028-8498-b5a84c10146b"]},{"id":"ITEM-7","itemData":{"DOI":"https://doi.org/10.1016/0032-5910(86)80027-4","ISBN":"0032-5910","abstract":"The value of contact angle measurements on compressed discs of powder has been critically examined as a method of assessing the wettability of five barbiturate powders. The contact angle was found to reduce with increased compression force, until a constant value was achieved. This was demonstrated, by use of scanning electron micrographs, to be due to plastic deformation of the powder surface. The values of θ obtained did not alter after electrostatic forces were discharged with an antistatic gun, and are thus not responsible for the hydrophobic nature of the loosely compressed beds. The effect of drop size, in the range 10 to 50 μl, and surface roughness were not large enough to be detected amongst the scatter of results. Small drops of water on the plane faces of large crystals formed a contact angle in close agreement with the plastic skin on the compacts. It is postulated that the crystal defects and heterogeneities are responsible for raising the value of θ in the uncompacted powders.","author":[{"dropping-particle":"","family":"Buckton","given":"G","non-dropping-particle":"","parse-names":false,"suffix":""},{"dropping-particle":"","family":"Newton","given":"J M","non-dropping-particle":"","parse-names":false,"suffix":""}],"container-title":"Powder Technology","id":"ITEM-7","issue":"2","issued":{"date-parts":[["1986"]]},"page":"201-208","title":"Assessment of the wettability of powders by use of compressed powder discs","type":"article-journal","volume":"46"},"uris":["http://www.mendeley.com/documents/?uuid=32eed424-1071-4a0a-88f0-b23cef737dec"]},{"id":"ITEM-8","itemData":{"DOI":"10.1089/ees.2013.0269","ISSN":"1092-8758","abstract":"Nanomaterials from consumer products (i.e., paints, sunscreens, toothpastes, and food grade titanium dioxide [TiO(2)]) have the capacity to end up in groundwater and surface water, which is of concern because the effectiveness of removing them via traditional treatment is uncertain. Although aggregation and transport of nanomaterials have been investigated, studies on their removal from suspension are limited. Hence, this study involves the development of scaled-down jar tests to determine the mechanisms involved in the removal of a model metal oxide nanoparticle (NP), TiO(2), in artificial groundwater (AGW), and artificial surface water (ASW) at the primary stages of treatment: coagulation, flocculation, and sedimentation. Total removal was quantified at the end of each treatment stage by spectroscopy. Three different coagulants-iron chloride (FeCl(3)), iron sulfate (FeSO(4)), and alum [Al(2)(SO(4))(3)]-destabilized the TiO(2) NPs in both source waters. Overall, greater than one-log removal was seen in groundwater for all coagulants at a constant dose of 50 mg/L and across the range of particle concentrations (10, 25, 50, and 100 mg/L). In surface water, greater than 90% removal was seen with FeSO(4) and Al(2)(SO(4))(3), but less than 60% when using FeCl(3). Additionally, removal was most effective at higher NP concentrations (50 and 100 mg/L) in AGW when compared with ASW. Zeta potential was measured and compared between AGW and ASW with the presence of all three coagulants at the same treatment stage times as in the removal studies. These electrokinetic trends confirm that the greatest total removal of NPs occurred when the magnitude of charge was smallest (&lt;10 mV) and conversely, higher zeta potential values (&gt;35 mV) measured were under conditions with poor removal (&lt;90%). These results are anticipated to be of considerable interest to practitioners for the assessment of traditional treatment processes' capacity to remove nanomaterials prior to subsequent filtration and distribution to domestic water supplies.","author":[{"dropping-particle":"","family":"Honda","given":"Ryan J","non-dropping-particle":"","parse-names":false,"suffix":""},{"dropping-particle":"","family":"Keene","given":"Valerie","non-dropping-particle":"","parse-names":false,"suffix":""},{"dropping-particle":"","family":"Daniels","given":"Louise","non-dropping-particle":"","parse-names":false,"suffix":""},{"dropping-particle":"","family":"Walker","given":"Sharon L","non-dropping-particle":"","parse-names":false,"suffix":""}],"container-title":"Environmental engineering science","id":"ITEM-8","issue":"3","issued":{"date-parts":[["2014","3","1"]]},"language":"eng","page":"127-134","publisher":"Mary Ann Liebert, Inc.","title":"Removal of TiO2 nanoparticles during primary water treatment: role of coagulant type, dose, and nanoparticle concentration","type":"article-journal","volume":"31"},"uris":["http://www.mendeley.com/documents/?uuid=ea585e61-2b33-419c-a8ed-967c1aa969ba"]}],"mendeley":{"formattedCitation":"&lt;sup&gt;37–44&lt;/sup&gt;","plainTextFormattedCitation":"37–44","previouslyFormattedCitation":"&lt;sup&gt;37–44&lt;/sup&gt;"},"properties":{"noteIndex":0},"schema":"https://github.com/citation-style-language/schema/raw/master/csl-citation.json"}</w:instrText>
      </w:r>
      <w:r w:rsidRPr="00314EC8">
        <w:rPr>
          <w:rFonts w:cs="Times New Roman"/>
          <w:szCs w:val="24"/>
          <w:vertAlign w:val="superscript"/>
          <w:lang w:val="en-US"/>
        </w:rPr>
        <w:fldChar w:fldCharType="separate"/>
      </w:r>
      <w:r w:rsidR="00B01517" w:rsidRPr="00B01517">
        <w:rPr>
          <w:rFonts w:cs="Times New Roman"/>
          <w:bCs/>
          <w:noProof/>
          <w:szCs w:val="24"/>
          <w:vertAlign w:val="superscript"/>
          <w:lang w:val="en-US"/>
        </w:rPr>
        <w:t>37–44</w:t>
      </w:r>
      <w:r w:rsidRPr="00314EC8">
        <w:rPr>
          <w:rFonts w:cs="Times New Roman"/>
          <w:szCs w:val="24"/>
          <w:lang w:val="en-US"/>
        </w:rPr>
        <w:fldChar w:fldCharType="end"/>
      </w:r>
      <w:r w:rsidRPr="00314EC8">
        <w:rPr>
          <w:rFonts w:cs="Times New Roman"/>
          <w:szCs w:val="24"/>
          <w:lang w:val="en-US"/>
        </w:rPr>
        <w:t>. In the medical field, NP are typically used for the fabrication of antibacterial coatings, nanostructured composite materials and implants</w:t>
      </w:r>
      <w:r w:rsidRPr="00314EC8">
        <w:rPr>
          <w:rFonts w:cs="Times New Roman"/>
          <w:szCs w:val="24"/>
          <w:vertAlign w:val="superscript"/>
          <w:lang w:val="en-US"/>
        </w:rPr>
        <w:fldChar w:fldCharType="begin" w:fldLock="1"/>
      </w:r>
      <w:r w:rsidR="00EA336F">
        <w:rPr>
          <w:rFonts w:cs="Times New Roman"/>
          <w:szCs w:val="24"/>
          <w:lang w:val="en-US"/>
        </w:rPr>
        <w:instrText>ADDIN CSL_CITATION {"citationItems":[{"id":"ITEM-1","itemData":{"DOI":"doi:10.1002/jbm.b.31620","abstract":"Abstract The resin‐based dental composites commonly used in restorations result in more plaque accumulation than other materials. Bacterial biofilm growth contributes to secondary caries and failure of resin‐based dental composites. Methods to inhibit biofilm growth on dental composites have been sought for several decades. It is demonstrated here that zinc oxide nanoparticles (ZnO‐NPs) blended at 10% (w/w) fraction into dental composites display antimicrobial activity and reduce growth of bacterial biofilms by roughly 80% for a single‐species model dental biofilm. Antibacterial effectiveness of ZnO‐NPs was assessed against Streptococcus sobrinus ATCC 27352 grown both planktonically and as biofilms on composites. Direct contact inhibition was observed by scanning electron microscopy and confocal laser scanning microscopy while biofilm formation was quantified by viable counts. An 80% reduction in bacterial counts was observed with 10% ZnO‐NP‐containing composites compared with their unmodified counterpart, indicating a statistically significant suppression of biofilm growth. Although, 20% of the bacterial population survived and could form a biofilm layer again, 10% ZnO‐NP‐containing composites maintained at least some inhibitory activity even after the third generation of biofilm growth. Microscopy demonstrated continuous biofilm formation for unmodified composites after 1‐day growth, but only sparsely distributed biofilms formed on 10% ZnO‐NP‐containing composites. The minimum inhibitory concentration of ZnO‐NPs suspended in S. sobrinus planktonic culture was 50 μg mL−1. ZnO‐NP‐containing composites (10%) qualitatively showed less biofilm after 1‐day‐anaerobic growth of a three‐species initial colonizer biofilm after being compared with unmodified composites, but did not significantly reduce growth after 3 days. © 2010 Wiley Periodicals, Inc. J Biomed Mater Res Part B: Appl Biomater, 2010.","author":[{"dropping-particle":"","family":"Berdan","given":"Aydin Sevinç","non-dropping-particle":"","parse-names":false,"suffix":""},{"dropping-particle":"","family":"Luke","given":"Hanley","non-dropping-particle":"","parse-names":false,"suffix":""}],"container-title":"Journal of Biomedical Materials Research Part B: Applied Biomaterials","id":"ITEM-1","issue":"1","issued":{"date-parts":[["2010"]]},"page":"22-31","title":"Antibacterial activity of dental composites containing zinc oxide nanoparticles","type":"article-journal","volume":"94B"},"uris":["http://www.mendeley.com/documents/?uuid=0024277f-9e3f-4a0a-9168-0142e8c34b3f"]},{"id":"ITEM-2","itemData":{"DOI":"10.1039/C6RA13498J","abstract":"Outstanding antibacterial activity, low polymerization shrinkage and high mechanical properties are key requirements for dental resin composites (DRCs), however, they are difficult to be simultaneously obtained, and becomes the bottleneck for developing DRCs. Herein, a new kind of functional zinc oxide whisker (ZnOw) with C</w:instrText>
      </w:r>
      <w:r w:rsidR="00EA336F">
        <w:rPr>
          <w:rFonts w:cs="Times New Roman" w:hint="eastAsia"/>
          <w:szCs w:val="24"/>
          <w:lang w:val="en-US"/>
        </w:rPr>
        <w:instrText></w:instrText>
      </w:r>
      <w:r w:rsidR="00EA336F">
        <w:rPr>
          <w:rFonts w:cs="Times New Roman"/>
          <w:szCs w:val="24"/>
          <w:lang w:val="en-US"/>
        </w:rPr>
        <w:instrText>C bonds, coded as SK-ZnOw, was synthesized by grafting SiO2 on the surface of ZnOw using the Stöber method. Then SK-ZnOw was embeded into commercial dental resin (dimethacrylate resin, UBT) to fabricate a novel kind of DRCs (SK-ZnOw/UBT). The structure and comprehensive performances including degrees of conversion, polymerization shrinkages, antibacterial activity and mechanical properties of SK-ZnOw/UBT composites were systematically investigated. The results show that SK-ZnOw/UBT composites have simultaneously excellent and durable antibacterial activity, higher mechanical properties and lower polymerization shrinkages than both UBT resin and ZnOw/UBT composites. Especially, for the SK-ZnOw/UBT composite containing 20 wt% SK-ZnOw, its antibacterial rate and that of sample after storage in distilled water at 37 °C for 20 days are as high as 98.1% and 93.7%, respectively; moreover, its flexural strength, flexural modulus and Vickers hardness are about 1.3, 1.1 and 1.4 times those of corresponding values of ZnOw/UBT composite with 20 wt% ZnOw. Meanwhile the polymerization shrinkage of the former is only 0.8 times of that of the latter, clearly demonstrating that the bottleneck of traditional DRCs in literature has been solved. The outstanding performances of SK-ZnOw/UBT composites suggest that the method provided herein is facile and effective to develop novel functional fillers and high performance DRCs. ER","author":[{"dropping-particle":"","family":"Shen","given":"Meng","non-dropping-particle":"","parse-names":false,"suffix":""},{"dropping-particle":"","family":"Liang","given":"Guozheng","non-dropping-particle":"","parse-names":false,"suffix":""},{"dropping-particle":"","family":"Gu","given":"Aijuan","non-dropping-particle":"","parse-names":false,"suffix":""},{"dropping-particle":"","family":"Yuan","given":"Li","non-dropping-particle":"","parse-names":false,"suffix":""}],"container-title":"RSC Advances","id":"ITEM-2","issue":"61","issued":{"date-parts":[["2016"]]},"page":"56353-56364","publisher":"The Royal Society of Chemistry","title":"Development of high performance dental resin composites with outstanding antibacterial activity, high mechanical properties and low polymerization shrinkage based on a SiO2 hybridized tetrapod-like zinc oxide whisker with C-C bonds","type":"article-journal","volume":"6"},"uris":["http://www.mendeley.com/documents/?uuid=c097dd6b-c038-4053-be1f-9b44adfbd631","http://www.mendeley.com/documents/?uuid=907c9f92-2ced-4345-8826-3f98e96c150e"]}],"mendeley":{"formattedCitation":"&lt;sup&gt;4,5&lt;/sup&gt;","plainTextFormattedCitation":"4,5","previouslyFormattedCitation":"&lt;sup&gt;4,5&lt;/sup&gt;"},"properties":{"noteIndex":0},"schema":"https://github.com/citation-style-language/schema/raw/master/csl-citation.json"}</w:instrText>
      </w:r>
      <w:r w:rsidRPr="00314EC8">
        <w:rPr>
          <w:rFonts w:cs="Times New Roman"/>
          <w:szCs w:val="24"/>
          <w:vertAlign w:val="superscript"/>
          <w:lang w:val="en-US"/>
        </w:rPr>
        <w:fldChar w:fldCharType="separate"/>
      </w:r>
      <w:r w:rsidR="003F6836" w:rsidRPr="003F6836">
        <w:rPr>
          <w:rFonts w:cs="Times New Roman"/>
          <w:bCs/>
          <w:noProof/>
          <w:szCs w:val="24"/>
          <w:vertAlign w:val="superscript"/>
          <w:lang w:val="en-US"/>
        </w:rPr>
        <w:t>4,5</w:t>
      </w:r>
      <w:r w:rsidRPr="00314EC8">
        <w:rPr>
          <w:rFonts w:cs="Times New Roman"/>
          <w:szCs w:val="24"/>
          <w:lang w:val="en-US"/>
        </w:rPr>
        <w:fldChar w:fldCharType="end"/>
      </w:r>
      <w:r w:rsidRPr="00314EC8">
        <w:rPr>
          <w:rFonts w:cs="Times New Roman"/>
          <w:szCs w:val="24"/>
          <w:lang w:val="en-US"/>
        </w:rPr>
        <w:t xml:space="preserve"> with metal oxides of silver, zinc and titanium</w:t>
      </w:r>
      <w:r w:rsidRPr="00314EC8">
        <w:rPr>
          <w:rFonts w:cs="Times New Roman"/>
          <w:szCs w:val="24"/>
          <w:vertAlign w:val="superscript"/>
          <w:lang w:val="en-US"/>
        </w:rPr>
        <w:fldChar w:fldCharType="begin" w:fldLock="1"/>
      </w:r>
      <w:r w:rsidR="004871C8">
        <w:rPr>
          <w:rFonts w:cs="Times New Roman"/>
          <w:szCs w:val="24"/>
          <w:lang w:val="en-US"/>
        </w:rPr>
        <w:instrText>ADDIN CSL_CITATION {"citationItems":[{"id":"ITEM-1","itemData":{"DOI":"doi:10.1002/jbm.b.31620","abstract":"Abstract The resin‐based dental composites commonly used in restorations result in more plaque accumulation than other materials. Bacterial biofilm growth contributes to secondary caries and failure of resin‐based dental composites. Methods to inhibit biofilm growth on dental composites have been sought for several decades. It is demonstrated here that zinc oxide nanoparticles (ZnO‐NPs) blended at 10% (w/w) fraction into dental composites display antimicrobial activity and reduce growth of bacterial biofilms by roughly 80% for a single‐species model dental biofilm. Antibacterial effectiveness of ZnO‐NPs was assessed against Streptococcus sobrinus ATCC 27352 grown both planktonically and as biofilms on composites. Direct contact inhibition was observed by scanning electron microscopy and confocal laser scanning microscopy while biofilm formation was quantified by viable counts. An 80% reduction in bacterial counts was observed with 10% ZnO‐NP‐containing composites compared with their unmodified counterpart, indicating a statistically significant suppression of biofilm growth. Although, 20% of the bacterial population survived and could form a biofilm layer again, 10% ZnO‐NP‐containing composites maintained at least some inhibitory activity even after the third generation of biofilm growth. Microscopy demonstrated continuous biofilm formation for unmodified composites after 1‐day growth, but only sparsely distributed biofilms formed on 10% ZnO‐NP‐containing composites. The minimum inhibitory concentration of ZnO‐NPs suspended in S. sobrinus planktonic culture was 50 μg mL−1. ZnO‐NP‐containing composites (10%) qualitatively showed less biofilm after 1‐day‐anaerobic growth of a three‐species initial colonizer biofilm after being compared with unmodified composites, but did not significantly reduce growth after 3 days. © 2010 Wiley Periodicals, Inc. J Biomed Mater Res Part B: Appl Biomater, 2010.","author":[{"dropping-particle":"","family":"Berdan","given":"Aydin Sevinç","non-dropping-particle":"","parse-names":false,"suffix":""},{"dropping-particle":"","family":"Luke","given":"Hanley","non-dropping-particle":"","parse-names":false,"suffix":""}],"container-title":"Journal of Biomedical Materials Research Part B: Applied Biomaterials","id":"ITEM-1","issue":"1","issued":{"date-parts":[["2010"]]},"page":"22-31","title":"Antibacterial activity of dental composites containing zinc oxide nanoparticles","type":"article-journal","volume":"94B"},"uris":["http://www.mendeley.com/documents/?uuid=0024277f-9e3f-4a0a-9168-0142e8c34b3f"]},{"id":"ITEM-2","itemData":{"DOI":"https://doi.org/10.1016/j.msec.2015.05.036","ISSN":"0928-4931","abstract":"Microbial resistance represents a challenge for the scientific community to develop new bioactive compounds. The goal of this research was to evaluate the antimicrobial activity of silver nanoparticles (AgNPs) against a clinical isolate of Streptococcus mutans, antibiofilm activity against mature S. mutans biofilms and the compatibility with human fibroblasts. The antimicrobial activity of AgNPs against the planktonic clinical isolate was size and concentration dependent, with smaller AgNPs having a lower minimum inhibitory concentration. A reduction of 2.3 log in the number of colony-forming units of S. mutans was observed when biofilms grown in a CDC reactor were exposed to 100ppm of AgNPs of 9.5±1.1nm. However, AgNPs at high concentrations (&gt;10ppm) showed a cytotoxic effect upon human dermal fibroblasts. AgNPs effectively inhibited the growth of a planktonic S. mutans clinical isolate and killed established S. mutans biofilms, which suggests that AgNPs could be used for prevention and treatment of dental caries. Further research and development are necessary to translate this technology into therapeutic and preventive strategies.","author":[{"dropping-particle":"","family":"Pérez-Díaz","given":"Mario Alberto","non-dropping-particle":"","parse-names":false,"suffix":""},{"dropping-particle":"","family":"Boegli","given":"Laura","non-dropping-particle":"","parse-names":false,"suffix":""},{"dropping-particle":"","family":"James","given":"Garth","non-dropping-particle":"","parse-names":false,"suffix":""},{"dropping-particle":"","family":"Velasquillo","given":"Cristina","non-dropping-particle":"","parse-names":false,"suffix":""},{"dropping-particle":"","family":"Sánchez-Sánchez","given":"Roberto","non-dropping-particle":"","parse-names":false,"suffix":""},{"dropping-particle":"","family":"Martínez-Martínez","given":"Rita-Elizabeth","non-dropping-particle":"","parse-names":false,"suffix":""},{"dropping-particle":"","family":"Martínez-Castañón","given":"Gabriel Alejandro","non-dropping-particle":"","parse-names":false,"suffix":""},{"dropping-particle":"","family":"Martinez-Gutierrez","given":"Fidel","non-dropping-particle":"","parse-names":false,"suffix":""}],"container-title":"Materials Science and Engineering: C","id":"ITEM-2","issued":{"date-parts":[["2015"]]},"page":"360-366","title":"Silver nanoparticles with antimicrobial activities against Streptococcus mutans and their cytotoxic effect","type":"article-journal","volume":"55"},"uris":["http://www.mendeley.com/documents/?uuid=195c7ac8-b6e0-4593-b610-bc18e64e8d6e"]},{"id":"ITEM-3","itemData":{"DOI":"https://doi.org/10.1016/j.dental.2013.03.011","ISSN":"0109-5641","abstract":"Objectives The aim of this study is evaluating the antibacterial activity of resin composites containing ZnO nanoparticles against Streptococcus mutans and examining their physical and mechanical properties. Methods The properties of flowable resin composites containing 0–5wt.% nano-ZnO are investigated using different tests:A.Antibacterial activity (including agar diffusion test on the cured resins, direct contact test using bacteria in a liquid medium, evaluating the effect of aging while the samples are adjacent to a liquid medium, and scanning electron microscopy (SEM)).B.Mechanical behavior (including flexural and compressive strength and modulus).C.Curing aspects (including depth of cure and degree of conversion).D.Adhesion properties (including micro-shear bond strength). Results Although the agar diffusion test reveals no significant difference between the groups, the direct contact test demonstrates that by increasing the nanoparticle content, the bacterial growth is significantly diminished (p&lt;0.05). In the aging test, however, the antibacterial properties reduce significantly (p&lt;0.05). The flexural strength and compressive modulus remains unchanged by incorporation of nanoparticles (p&gt;0.05) while the compressive strength and flexural modulus significantly increase (p&lt;0.05). The ZnO containing resins show significantly lower depth of cure (p&lt;0.05), and higher bond strength (p&lt;0.05). There is no significant difference between the degrees of conversion, measured by FTIR technique, of the groups (p&gt;0.05). Significance Production of a dental resin composite with antibacterial activity without significant sacrificing effect on the mechanical properties is desirable in dental material science.","author":[{"dropping-particle":"","family":"Tavassoli Hojati","given":"Sara","non-dropping-particle":"","parse-names":false,"suffix":""},{"dropping-particle":"","family":"Alaghemand","given":"Homayoon","non-dropping-particle":"","parse-names":false,"suffix":""},{"dropping-particle":"","family":"Hamze","given":"Faeze","non-dropping-particle":"","parse-names":false,"suffix":""},{"dropping-particle":"","family":"Ahmadian Babaki","given":"Fateme","non-dropping-particle":"","parse-names":false,"suffix":""},{"dropping-particle":"","family":"Rajab-Nia","given":"Ramazan","non-dropping-particle":"","parse-names":false,"suffix":""},{"dropping-particle":"","family":"Rezvani","given":"Mohammad Bagher","non-dropping-particle":"","parse-names":false,"suffix":""},{"dropping-particle":"","family":"Kaviani","given":"Mehrnoosh","non-dropping-particle":"","parse-names":false,"suffix":""},{"dropping-particle":"","family":"Atai","given":"Mohammad","non-dropping-particle":"","parse-names":false,"suffix":""}],"container-title":"Dental Materials","id":"ITEM-3","issue":"5","issued":{"date-parts":[["2013"]]},"page":"495-505","title":"Antibacterial, physical and mechanical properties of flowable resin composites containing zinc oxide nanoparticles","type":"article-journal","volume":"29"},"uris":["http://www.mendeley.com/documents/?uuid=f4b888ec-6581-4c37-a922-3a54aa7974ad"]},{"id":"ITEM-4","itemData":{"DOI":"https://doi.org/10.1016/j.msec.2018.08.060","ISSN":"0928-4931","abstract":"The development of dental adhesive resins with long-lasting antibacterial properties is a possible solution to overcome the problem of secondary caries in modern adhesive dentistry. Objectives (i) Synthesis and characterization of nitrogen-doped titanium dioxide nanoparticles (N_TiO2), (ii) topographical, compositional and wettability characterization of thin-films (unaltered and experimental) and, (iii) antibacterial efficacy of N_TiO2-containing dental adhesives against Streptococcus mutans biofilms. Materials and methods Nanoparticles were synthesized and characterized using different techniques. Specimens (diameter = 12 mm, thickness </w:instrText>
      </w:r>
      <w:r w:rsidR="004871C8">
        <w:rPr>
          <w:rFonts w:ascii="Cambria Math" w:hAnsi="Cambria Math" w:cs="Cambria Math"/>
          <w:szCs w:val="24"/>
          <w:lang w:val="en-US"/>
        </w:rPr>
        <w:instrText>≅</w:instrText>
      </w:r>
      <w:r w:rsidR="004871C8">
        <w:rPr>
          <w:rFonts w:cs="Times New Roman"/>
          <w:szCs w:val="24"/>
          <w:lang w:val="en-US"/>
        </w:rPr>
        <w:instrText> 15 μm) of OptiBond Solo Plus (Kerr Corp., USA) and experimental adhesives [50, 67 and 80% (v/v)] were fabricated, photopolymerized (1000 mW/cm2, 1 min) and UV-sterilized (254 nm, 800,000 μJ/cm2) for microscopy, spectroscopy, wettability and antibacterial testing. Wettability was assessed with a contact angle goniometer by dispensing water droplets (2 μL) onto four random locations of each specimen (16 drops/group). Drop profiles were recorded (1 min, 25 frames/s, 37 °C) and contact angles were calculated at time = 0 s (θINITIAL) and time = 59 s (θFINAL). Antibacterial testing was performed by growing S. mutans (UA159-ldh, JM10) biofilms for either 3 or 24 h (anaerobic conditions, 37 °C) with or without continuous light irradiation (410 ± 10 nm, 3 h = 38.75 J/cm2, 24 h = 310.07 J/cm2) against the surfaces of sterile specimens. Results N_TiO2 was successfully prepared using solvothermal methods. Doped-nanoparticles displayed higher light absorption levels when compared to undoped titania. Experimental adhesives demonstrated superior antibacterial efficacy in dark conditions. Conclusions The findings presented herein suggest that N_TiO2 is a feasible antibacterial agent against cariogenic biofilms.","author":[{"dropping-particle":"","family":"Esteban Florez","given":"Fernando Luis","non-dropping-particle":"","parse-names":false,"suffix":""},{"dropping-particle":"","family":"Hiers","given":"Rochelle Denise","non-dropping-particle":"","parse-names":false,"suffix":""},{"dropping-particle":"","family":"Larson","given":"Preston","non-dropping-particle":"","parse-names":false,"suffix":""},{"dropping-particle":"","family":"Johnson","given":"Matthew","non-dropping-particle":"","parse-names":false,"suffix":""},{"dropping-particle":"","family":"O'Rear","given":"Edgar","non-dropping-particle":"","parse-names":false,"suffix":""},{"dropping-particle":"","family":"Rondinone","given":"Adam J","non-dropping-particle":"","parse-names":false,"suffix":""},{"dropping-particle":"","family":"Khajotia","given":"Sharukh Soli","non-dropping-particle":"","parse-names":false,"suffix":""}],"container-title":"Materials Science and Engineering: C","id":"ITEM-4","issued":{"date-parts":[["2018"]]},"page":"931-943","title":"Antibacterial dental adhesive resins containing nitrogen-doped titanium dioxide nanoparticles","type":"article-journal","volume":"93"},"uris":["http://www.mendeley.com/documents/?uuid=3e5643df-cf74-4808-9f8f-cbe8f309b04a"]}],"mendeley":{"formattedCitation":"&lt;sup&gt;4,15,45,46&lt;/sup&gt;","plainTextFormattedCitation":"4,15,45,46","previouslyFormattedCitation":"&lt;sup&gt;4,15,45,46&lt;/sup&gt;"},"properties":{"noteIndex":0},"schema":"https://github.com/citation-style-language/schema/raw/master/csl-citation.json"}</w:instrText>
      </w:r>
      <w:r w:rsidRPr="00314EC8">
        <w:rPr>
          <w:rFonts w:cs="Times New Roman"/>
          <w:szCs w:val="24"/>
          <w:vertAlign w:val="superscript"/>
          <w:lang w:val="en-US"/>
        </w:rPr>
        <w:fldChar w:fldCharType="separate"/>
      </w:r>
      <w:r w:rsidR="00B01517" w:rsidRPr="00B01517">
        <w:rPr>
          <w:rFonts w:cs="Times New Roman"/>
          <w:noProof/>
          <w:szCs w:val="24"/>
          <w:vertAlign w:val="superscript"/>
          <w:lang w:val="en-US"/>
        </w:rPr>
        <w:t>4,15,45,46</w:t>
      </w:r>
      <w:r w:rsidRPr="00314EC8">
        <w:rPr>
          <w:rFonts w:cs="Times New Roman"/>
          <w:szCs w:val="24"/>
          <w:lang w:val="en-US"/>
        </w:rPr>
        <w:fldChar w:fldCharType="end"/>
      </w:r>
      <w:r w:rsidRPr="00314EC8">
        <w:rPr>
          <w:rFonts w:cs="Times New Roman"/>
          <w:szCs w:val="24"/>
          <w:lang w:val="en-US"/>
        </w:rPr>
        <w:t xml:space="preserve"> being the most commonly used due to their proven antibacterial and biocompatibility properties. Because metal oxides are known for their antibacterial properties, their incorporation into a dental adhesive is of </w:t>
      </w:r>
      <w:r w:rsidR="008B56AB" w:rsidRPr="00314EC8">
        <w:rPr>
          <w:rFonts w:cs="Times New Roman"/>
          <w:szCs w:val="24"/>
          <w:lang w:val="en-US"/>
        </w:rPr>
        <w:t>interest</w:t>
      </w:r>
      <w:r w:rsidRPr="00314EC8">
        <w:rPr>
          <w:rFonts w:cs="Times New Roman"/>
          <w:szCs w:val="24"/>
          <w:lang w:val="en-US"/>
        </w:rPr>
        <w:t xml:space="preserve"> for this research on surface properties. Surface character of the nanoparticles is important to ensure good wetting and integration of the nanoparticles into the adhesive without compromising bonding function. In general, NP are mechanically dispersed </w:t>
      </w:r>
      <w:r>
        <w:rPr>
          <w:rFonts w:cs="Times New Roman"/>
          <w:szCs w:val="24"/>
          <w:lang w:val="en-US"/>
        </w:rPr>
        <w:t>by various methods</w:t>
      </w:r>
      <w:r w:rsidR="00205531">
        <w:rPr>
          <w:rFonts w:cs="Times New Roman"/>
          <w:szCs w:val="24"/>
          <w:lang w:val="en-US"/>
        </w:rPr>
        <w:t xml:space="preserve"> </w:t>
      </w:r>
      <w:r w:rsidRPr="00314EC8">
        <w:rPr>
          <w:rFonts w:cs="Times New Roman"/>
          <w:szCs w:val="24"/>
          <w:lang w:val="en-US"/>
        </w:rPr>
        <w:t xml:space="preserve">(e.g., orbital planetary mixer, spatulation and ultrasonication) within the matrix of different types of materials (e.g., metals, ceramics and polymers), and their functionalization levels may be adversely impacted by agglomeration phenomena and strong interfacial effects. Therefore, understanding the surface properties of nanostructured powders may facilitate the development of novel nano-filled materials displaying improved properties (e.g., chemical, </w:t>
      </w:r>
      <w:r w:rsidR="008B56AB" w:rsidRPr="00314EC8">
        <w:rPr>
          <w:rFonts w:cs="Times New Roman"/>
          <w:szCs w:val="24"/>
          <w:lang w:val="en-US"/>
        </w:rPr>
        <w:t>mechanical,</w:t>
      </w:r>
      <w:r w:rsidRPr="00314EC8">
        <w:rPr>
          <w:rFonts w:cs="Times New Roman"/>
          <w:szCs w:val="24"/>
          <w:lang w:val="en-US"/>
        </w:rPr>
        <w:t xml:space="preserve"> and biological) and may even help to predict their performance during service.</w:t>
      </w:r>
    </w:p>
    <w:p w14:paraId="6F7DE001" w14:textId="3648346B" w:rsidR="001C673D" w:rsidRPr="00314EC8" w:rsidRDefault="001C673D" w:rsidP="001C673D">
      <w:pPr>
        <w:spacing w:after="0" w:line="480" w:lineRule="auto"/>
        <w:ind w:firstLine="708"/>
        <w:jc w:val="both"/>
        <w:rPr>
          <w:rFonts w:cs="Times New Roman"/>
          <w:szCs w:val="24"/>
          <w:lang w:val="en-US"/>
        </w:rPr>
      </w:pPr>
      <w:r w:rsidRPr="00314EC8">
        <w:rPr>
          <w:rFonts w:cs="Times New Roman"/>
          <w:szCs w:val="24"/>
          <w:lang w:val="en-US"/>
        </w:rPr>
        <w:t xml:space="preserve">Properties such as roughness, hardness, bond polarity and electronegativity typically dictate how materials interact with organic and inorganic molecules, water, human tissues (both hard and soft) and cells (eukaryotic and prokaryotic), thereby directly influencing the biological and fouling properties of nano filled materials. Several studies have shown that the interaction between different types of solvents (such as water, alcohol, acetone) and solid surfaces, </w:t>
      </w:r>
      <w:r>
        <w:rPr>
          <w:rFonts w:cs="Times New Roman"/>
          <w:szCs w:val="24"/>
          <w:lang w:val="en-US"/>
        </w:rPr>
        <w:t xml:space="preserve">measured by </w:t>
      </w:r>
      <w:r w:rsidRPr="00314EC8">
        <w:rPr>
          <w:rFonts w:cs="Times New Roman"/>
          <w:szCs w:val="24"/>
          <w:lang w:val="en-US"/>
        </w:rPr>
        <w:t xml:space="preserve"> contact angle measurement</w:t>
      </w:r>
      <w:r>
        <w:rPr>
          <w:rFonts w:cs="Times New Roman"/>
          <w:szCs w:val="24"/>
          <w:lang w:val="en-US"/>
        </w:rPr>
        <w:t>,</w:t>
      </w:r>
      <w:r w:rsidRPr="00314EC8">
        <w:rPr>
          <w:rFonts w:cs="Times New Roman"/>
          <w:szCs w:val="24"/>
          <w:lang w:val="en-US"/>
        </w:rPr>
        <w:t xml:space="preserve"> and the work of van Oss-Chaudhury-Good (vOCG)</w:t>
      </w:r>
      <w:r w:rsidRPr="00314EC8">
        <w:rPr>
          <w:rFonts w:cs="Times New Roman"/>
          <w:szCs w:val="24"/>
          <w:vertAlign w:val="superscript"/>
          <w:lang w:val="en-US"/>
        </w:rPr>
        <w:fldChar w:fldCharType="begin" w:fldLock="1"/>
      </w:r>
      <w:r w:rsidR="004871C8">
        <w:rPr>
          <w:rFonts w:cs="Times New Roman"/>
          <w:szCs w:val="24"/>
          <w:lang w:val="en-US"/>
        </w:rPr>
        <w:instrText>ADDIN CSL_CITATION {"citationItems":[{"id":"ITEM-1","itemData":{"author":[{"dropping-particle":"","family":"Good","given":"R J","non-dropping-particle":"","parse-names":false,"suffix":""},{"dropping-particle":"","family":"Oss","given":"C J","non-dropping-particle":"van","parse-names":false,"suffix":""}],"id":"ITEM-1","issued":{"date-parts":[["1992"]]},"number-of-pages":"27","title":"Modern approaches to wettability: theory and applications","type":"book"},"uris":["http://www.mendeley.com/documents/?uuid=2fb7eca9-2229-4db1-9ed8-87f85d827688"]},{"id":"ITEM-2","itemData":{"DOI":"10.1016/j.molliq.2017.05.068","author":[{"dropping-particle":"","family":"Redzuan","given":"Meor","non-dropping-particle":"","parse-names":false,"suffix":""},{"dropping-particle":"","family":"Tripathy","given":"Minaketan","non-dropping-particle":"","parse-names":false,"suffix":""},{"dropping-particle":"","family":"Majeed","given":"Abu","non-dropping-particle":"","parse-names":false,"suffix":""}],"container-title":"Journal of Molecular Liquids","id":"ITEM-2","issued":{"date-parts":[["2017","5","1"]]},"title":"Solubility enhancement of simvastatin and atorvastatin by arginine: Contact angle determination, wettability and surface energy characteristics","type":"article-journal","volume":"240"},"uris":["http://www.mendeley.com/documents/?uuid=cce146e3-749c-4ade-a737-16f9060b22f5"]},{"id":"ITEM-3","itemData":{"DOI":"https://doi.org/10.1016/0001-8686(87)80008-8","ISSN":"0001-8686","abstract":"Following the development of a methodology for determining the apolar components as well as the electron donor and the electron acceptor parameters of the surface tension of polar surfaces, surfaces of a number of quite common materials were found to manifest virtually only electron donor properties and no, or hardly, any electron acceptor properties. Such materials may be called monopolar; they can strongly interact with bipolar materials (e.g., with polar liquids such as water); but one single polar parameter of a monopolar material cannot contribute to its energy of cohesion. Monopolar materials manifesting only electron acceptor properties also may exist, but they do not appear to occur in as great an abundance. Among the electron donor monopolar materials are: polymethylmethacrylate, polyvinylalcohol, polyethyleneglycol, proteins, many polysaccharides, phospholipids, nonionic surfactants, cellulose esters, etc. Strongly monopolar materials of the same sign repel each other when immersed or dissolved in water or other polar liquids. The interfacial tension between strongly monopolar surfaces and water has a negative value. This leads to a tendency for water to penetrate between facing surfaces of a monopolar substance and hence, to repulsion between the molecules or particles of such a monopolar material, when immersed in water, and thus to pronounced solubility or dispersibility. Monopolar repulsion energies can far outweigh Lifshitz-van der Waals attractions as well as electrostatic and “steric” repulsions. In aqueous systems the commonly observed stabilization effects, which usually are ascribed to “steric” stabilization, may in many instances be attributed to monopolar repulsion between nonionic stabilizing molecules. The repulsion between monopolar molecules of the same sign can also lead to phase separation in aqueous solutions (or suspensions), where not only two, but multiple phases are possible. Negative interfacial tensions between monopolar surfactants and the brine phase can be the driving force for the formation of microemulsions; such negative interfacial tensions ultimately decay and stabilize at a value very close to zero. Strongly monopolar macromolecules or particles surrounded by oriented water molecules of hydration can still repel each other, albeit to an attenuated degree. This repulsion was earlier perceived as caused by “hydration pressure”. A few of the relevant colloid and surface phenomena are reviewed and re-examined in t…","author":[{"dropping-particle":"","family":"Oss","given":"C J","non-dropping-particle":"van","parse-names":false,"suffix":""},{"dropping-particle":"","family":"Chaudhury","given":"M K","non-dropping-particle":"","parse-names":false,"suffix":""},{"dropping-particle":"","family":"Good","given":"R J","non-dropping-particle":"","parse-names":false,"suffix":""}],"container-title":"Advances in Colloid and Interface Science","id":"ITEM-3","issued":{"date-parts":[["1987"]]},"page":"35-64","title":"Monopolar surfaces","type":"article-journal","volume":"28"},"uris":["http://www.mendeley.com/documents/?uuid=c952ffe3-3ee7-4d41-b4ab-92bde7e04bc2"]}],"mendeley":{"formattedCitation":"&lt;sup&gt;47–49&lt;/sup&gt;","plainTextFormattedCitation":"47–49","previouslyFormattedCitation":"&lt;sup&gt;47–49&lt;/sup&gt;"},"properties":{"noteIndex":0},"schema":"https://github.com/citation-style-language/schema/raw/master/csl-citation.json"}</w:instrText>
      </w:r>
      <w:r w:rsidRPr="00314EC8">
        <w:rPr>
          <w:rFonts w:cs="Times New Roman"/>
          <w:szCs w:val="24"/>
          <w:vertAlign w:val="superscript"/>
          <w:lang w:val="en-US"/>
        </w:rPr>
        <w:fldChar w:fldCharType="separate"/>
      </w:r>
      <w:r w:rsidR="00B01517" w:rsidRPr="00B01517">
        <w:rPr>
          <w:rFonts w:cs="Times New Roman"/>
          <w:bCs/>
          <w:noProof/>
          <w:szCs w:val="24"/>
          <w:vertAlign w:val="superscript"/>
          <w:lang w:val="en-US"/>
        </w:rPr>
        <w:t>47–49</w:t>
      </w:r>
      <w:r w:rsidRPr="00314EC8">
        <w:rPr>
          <w:rFonts w:cs="Times New Roman"/>
          <w:szCs w:val="24"/>
          <w:lang w:val="en-US"/>
        </w:rPr>
        <w:fldChar w:fldCharType="end"/>
      </w:r>
      <w:r w:rsidRPr="00314EC8">
        <w:rPr>
          <w:rFonts w:cs="Times New Roman"/>
          <w:szCs w:val="24"/>
          <w:lang w:val="en-US"/>
        </w:rPr>
        <w:t xml:space="preserve"> to determine the surface free energies of a different surface.</w:t>
      </w:r>
    </w:p>
    <w:p w14:paraId="4B077089" w14:textId="6D645D0D" w:rsidR="001C673D" w:rsidRPr="00314EC8" w:rsidRDefault="001C673D" w:rsidP="001C673D">
      <w:pPr>
        <w:spacing w:after="0" w:line="480" w:lineRule="auto"/>
        <w:ind w:firstLine="708"/>
        <w:jc w:val="both"/>
        <w:rPr>
          <w:rFonts w:cs="Times New Roman"/>
          <w:szCs w:val="24"/>
          <w:lang w:val="en-US"/>
        </w:rPr>
      </w:pPr>
      <w:r w:rsidRPr="00314EC8">
        <w:rPr>
          <w:rFonts w:cs="Times New Roman"/>
          <w:szCs w:val="24"/>
          <w:lang w:val="en-US"/>
        </w:rPr>
        <w:t xml:space="preserve">Measurement of </w:t>
      </w:r>
      <w:r>
        <w:rPr>
          <w:rFonts w:cs="Times New Roman"/>
          <w:szCs w:val="24"/>
          <w:lang w:val="en-US"/>
        </w:rPr>
        <w:t xml:space="preserve">the </w:t>
      </w:r>
      <w:r w:rsidRPr="00314EC8">
        <w:rPr>
          <w:rFonts w:cs="Times New Roman"/>
          <w:szCs w:val="24"/>
          <w:lang w:val="en-US"/>
        </w:rPr>
        <w:t>contact angle</w:t>
      </w:r>
      <w:r>
        <w:rPr>
          <w:rFonts w:cs="Times New Roman"/>
          <w:szCs w:val="24"/>
          <w:lang w:val="en-US"/>
        </w:rPr>
        <w:t xml:space="preserve"> of a powder</w:t>
      </w:r>
      <w:r w:rsidRPr="00314EC8">
        <w:rPr>
          <w:rFonts w:cs="Times New Roman"/>
          <w:szCs w:val="24"/>
          <w:lang w:val="en-US"/>
        </w:rPr>
        <w:t xml:space="preserve"> is known to have its challenges. To date, there have been a number of ways developed to determine the wettability of powders</w:t>
      </w:r>
      <w:r w:rsidRPr="00314EC8">
        <w:rPr>
          <w:rFonts w:cs="Times New Roman"/>
          <w:szCs w:val="24"/>
          <w:vertAlign w:val="superscript"/>
          <w:lang w:val="en-US"/>
        </w:rPr>
        <w:fldChar w:fldCharType="begin" w:fldLock="1"/>
      </w:r>
      <w:r w:rsidR="004871C8">
        <w:rPr>
          <w:rFonts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mendeley":{"formattedCitation":"&lt;sup&gt;50&lt;/sup&gt;","plainTextFormattedCitation":"50","previouslyFormattedCitation":"&lt;sup&gt;50&lt;/sup&gt;"},"properties":{"noteIndex":0},"schema":"https://github.com/citation-style-language/schema/raw/master/csl-citation.json"}</w:instrText>
      </w:r>
      <w:r w:rsidRPr="00314EC8">
        <w:rPr>
          <w:rFonts w:cs="Times New Roman"/>
          <w:szCs w:val="24"/>
          <w:vertAlign w:val="superscript"/>
          <w:lang w:val="en-US"/>
        </w:rPr>
        <w:fldChar w:fldCharType="separate"/>
      </w:r>
      <w:r w:rsidR="00B01517" w:rsidRPr="00B01517">
        <w:rPr>
          <w:rFonts w:cs="Times New Roman"/>
          <w:noProof/>
          <w:szCs w:val="24"/>
          <w:vertAlign w:val="superscript"/>
          <w:lang w:val="en-US"/>
        </w:rPr>
        <w:t>50</w:t>
      </w:r>
      <w:r w:rsidRPr="00314EC8">
        <w:rPr>
          <w:rFonts w:cs="Times New Roman"/>
          <w:szCs w:val="24"/>
          <w:lang w:val="en-US"/>
        </w:rPr>
        <w:fldChar w:fldCharType="end"/>
      </w:r>
      <w:r w:rsidRPr="00314EC8">
        <w:rPr>
          <w:rFonts w:cs="Times New Roman"/>
          <w:szCs w:val="24"/>
          <w:lang w:val="en-US"/>
        </w:rPr>
        <w:t xml:space="preserve"> with much of the work being reported by the pharmaceutical industry. The Washburn capillary rise (WCR) method illustrated</w:t>
      </w:r>
      <w:r w:rsidRPr="00314EC8" w:rsidDel="008216CF">
        <w:rPr>
          <w:rFonts w:cs="Times New Roman"/>
          <w:szCs w:val="24"/>
          <w:lang w:val="en-US"/>
        </w:rPr>
        <w:t xml:space="preserve"> </w:t>
      </w:r>
      <w:r w:rsidRPr="00314EC8">
        <w:rPr>
          <w:rFonts w:cs="Times New Roman"/>
          <w:szCs w:val="24"/>
          <w:lang w:val="en-US"/>
        </w:rPr>
        <w:t xml:space="preserve">in </w:t>
      </w:r>
      <w:r w:rsidR="003044BE">
        <w:rPr>
          <w:rFonts w:cs="Times New Roman"/>
          <w:szCs w:val="24"/>
          <w:lang w:val="en-US"/>
        </w:rPr>
        <w:fldChar w:fldCharType="begin"/>
      </w:r>
      <w:r w:rsidR="003044BE">
        <w:rPr>
          <w:rFonts w:cs="Times New Roman"/>
          <w:szCs w:val="24"/>
          <w:lang w:val="en-US"/>
        </w:rPr>
        <w:instrText xml:space="preserve"> REF _Ref45572705 \h </w:instrText>
      </w:r>
      <w:r w:rsidR="003044BE">
        <w:rPr>
          <w:rFonts w:cs="Times New Roman"/>
          <w:szCs w:val="24"/>
          <w:lang w:val="en-US"/>
        </w:rPr>
      </w:r>
      <w:r w:rsidR="003044BE">
        <w:rPr>
          <w:rFonts w:cs="Times New Roman"/>
          <w:szCs w:val="24"/>
          <w:lang w:val="en-US"/>
        </w:rPr>
        <w:fldChar w:fldCharType="separate"/>
      </w:r>
      <w:r w:rsidR="0008188F" w:rsidRPr="0070489C">
        <w:rPr>
          <w:lang w:val="en-US"/>
        </w:rPr>
        <w:t xml:space="preserve">Figure </w:t>
      </w:r>
      <w:r w:rsidR="0008188F">
        <w:rPr>
          <w:noProof/>
          <w:lang w:val="en-US"/>
        </w:rPr>
        <w:t>6</w:t>
      </w:r>
      <w:r w:rsidR="003044BE">
        <w:rPr>
          <w:rFonts w:cs="Times New Roman"/>
          <w:szCs w:val="24"/>
          <w:lang w:val="en-US"/>
        </w:rPr>
        <w:fldChar w:fldCharType="end"/>
      </w:r>
      <w:r w:rsidRPr="00314EC8">
        <w:rPr>
          <w:rFonts w:cs="Times New Roman"/>
          <w:szCs w:val="24"/>
          <w:lang w:val="en-US"/>
        </w:rPr>
        <w:t>A uses a glass tube or column packed with powder to correlate the rate of liquid uptake (in terms of mass) to contact angle measurements</w:t>
      </w:r>
      <w:r w:rsidRPr="00314EC8">
        <w:rPr>
          <w:rFonts w:cs="Times New Roman"/>
          <w:szCs w:val="24"/>
          <w:vertAlign w:val="superscript"/>
          <w:lang w:val="en-US"/>
        </w:rPr>
        <w:fldChar w:fldCharType="begin" w:fldLock="1"/>
      </w:r>
      <w:r w:rsidR="004871C8">
        <w:rPr>
          <w:rFonts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id":"ITEM-2","itemData":{"DOI":"10.1007/BF03218474","author":[{"dropping-particle":"","family":"Hwang","given":"J.S.","non-dropping-particle":"","parse-names":false,"suffix":""},{"dropping-particle":"","family":"Lee","given":"J.","non-dropping-particle":"","parse-names":false,"suffix":""},{"dropping-particle":"","family":"Chang","given":"Y.H.","non-dropping-particle":"","parse-names":false,"suffix":""}],"container-title":"Macromolecular Research","id":"ITEM-2","issued":{"date-parts":[["2005"]]},"page":"409-417","title":"Surface properties of silane-treated titania nanoparticles and their rheological behavior in silicone oil","type":"article-journal","volume":"13"},"uris":["http://www.mendeley.com/documents/?uuid=d9816d1e-d29c-4eaf-baaa-c1abd23eabc1"]}],"mendeley":{"formattedCitation":"&lt;sup&gt;50,51&lt;/sup&gt;","plainTextFormattedCitation":"50,51","previouslyFormattedCitation":"&lt;sup&gt;50,51&lt;/sup&gt;"},"properties":{"noteIndex":0},"schema":"https://github.com/citation-style-language/schema/raw/master/csl-citation.json"}</w:instrText>
      </w:r>
      <w:r w:rsidRPr="00314EC8">
        <w:rPr>
          <w:rFonts w:cs="Times New Roman"/>
          <w:szCs w:val="24"/>
          <w:vertAlign w:val="superscript"/>
          <w:lang w:val="en-US"/>
        </w:rPr>
        <w:fldChar w:fldCharType="separate"/>
      </w:r>
      <w:r w:rsidR="00B01517" w:rsidRPr="00B01517">
        <w:rPr>
          <w:rFonts w:cs="Times New Roman"/>
          <w:noProof/>
          <w:szCs w:val="24"/>
          <w:vertAlign w:val="superscript"/>
          <w:lang w:val="en-US"/>
        </w:rPr>
        <w:t>50,51</w:t>
      </w:r>
      <w:r w:rsidRPr="00314EC8">
        <w:rPr>
          <w:rFonts w:cs="Times New Roman"/>
          <w:szCs w:val="24"/>
          <w:lang w:val="en-US"/>
        </w:rPr>
        <w:fldChar w:fldCharType="end"/>
      </w:r>
      <w:r w:rsidRPr="00314EC8">
        <w:rPr>
          <w:rFonts w:cs="Times New Roman"/>
          <w:szCs w:val="24"/>
          <w:lang w:val="en-US"/>
        </w:rPr>
        <w:t>. There also exists a variation on WCR known as thin layer wicking with the powder deposited on a substrate</w:t>
      </w:r>
      <w:r w:rsidRPr="00314EC8">
        <w:rPr>
          <w:rFonts w:cs="Times New Roman"/>
          <w:szCs w:val="24"/>
          <w:lang w:val="en-US"/>
        </w:rPr>
        <w:fldChar w:fldCharType="begin" w:fldLock="1"/>
      </w:r>
      <w:r w:rsidR="004871C8">
        <w:rPr>
          <w:rFonts w:cs="Times New Roman"/>
          <w:szCs w:val="24"/>
          <w:lang w:val="en-US"/>
        </w:rPr>
        <w:instrText>ADDIN CSL_CITATION {"citationItems":[{"id":"ITEM-1","itemData":{"DOI":"https://doi.org/10.1016/0254-0584(94)90143-0","ISSN":"0254-0584","abstract":"Apolar, Lifshitz-van der Waals (γLW) and polar, acid-base (Lewis) (γAB) surface free energy components, of monosized, spherical ZnS colloidal particles were experimentally determined using the thin-layer wicking technique. The results were compared with those obtained on a pure, commercial sample of zinc sulfide. The fact that the synthetized sample showed a very high electron-donor (γs−) component suggested that some species, related in principle to surface oxidation of ZnS during the synthesis reaction, could be formed on the surface of the particles. To check for this possibility, the surface free energy components of pure and oxidized ZnS, and of zinc oxide and sulfate, were determined by both the contact angle and thin-layer wicking methods. The similarity between γs components obtained with both methods for pure ZnS lead to the conclusion that both techniques give reliable results. The high γs− value determined for synthetic ZnS particles cannot be explained simply by surface oxidation of the colloidal particles, since partially oxidized ZnS, or even zinc oxide or sulfate, gave very similar γs−, always lower than that found for synthetic spherical ZnS. The fact that the Lifshitz-van der Waals (γsLW) component of the surface free energy is somewhat higher for the latter material is believed to be related to elemental sulfur present on the surface of the particles. The general compatibility of the results obtained by both methods suggests that the thin-layer wicking technique is useful to further characterize these or other systems, particularly if the examined material is sufficiently monodisperse.","author":[{"dropping-particle":"","family":"Durán","given":"J D G","non-dropping-particle":"","parse-names":false,"suffix":""},{"dropping-particle":"V","family":"Delgado","given":"A","non-dropping-particle":"","parse-names":false,"suffix":""},{"dropping-particle":"","family":"González-Caballero","given":"F","non-dropping-particle":"","parse-names":false,"suffix":""},{"dropping-particle":"","family":"Chibowski","given":"E","non-dropping-particle":"","parse-names":false,"suffix":""}],"container-title":"Materials Chemistry and Physics","id":"ITEM-1","issue":"1","issued":{"date-parts":[["1994"]]},"page":"42-49","title":"Surface free energy components of monodisperse zinc sulfide","type":"article-journal","volume":"38"},"uris":["http://www.mendeley.com/documents/?uuid=0279c668-1ae4-4271-94c0-a97551b3e5a6"]}],"mendeley":{"formattedCitation":"&lt;sup&gt;52&lt;/sup&gt;","plainTextFormattedCitation":"52","previouslyFormattedCitation":"&lt;sup&gt;52&lt;/sup&gt;"},"properties":{"noteIndex":0},"schema":"https://github.com/citation-style-language/schema/raw/master/csl-citation.json"}</w:instrText>
      </w:r>
      <w:r w:rsidRPr="00314EC8">
        <w:rPr>
          <w:rFonts w:cs="Times New Roman"/>
          <w:szCs w:val="24"/>
          <w:lang w:val="en-US"/>
        </w:rPr>
        <w:fldChar w:fldCharType="separate"/>
      </w:r>
      <w:r w:rsidR="00B01517" w:rsidRPr="00B01517">
        <w:rPr>
          <w:rFonts w:cs="Times New Roman"/>
          <w:noProof/>
          <w:szCs w:val="24"/>
          <w:vertAlign w:val="superscript"/>
          <w:lang w:val="en-US"/>
        </w:rPr>
        <w:t>52</w:t>
      </w:r>
      <w:r w:rsidRPr="00314EC8">
        <w:rPr>
          <w:rFonts w:cs="Times New Roman"/>
          <w:szCs w:val="24"/>
          <w:lang w:val="en-US"/>
        </w:rPr>
        <w:fldChar w:fldCharType="end"/>
      </w:r>
      <w:r w:rsidRPr="00314EC8">
        <w:rPr>
          <w:rFonts w:cs="Times New Roman"/>
          <w:szCs w:val="24"/>
          <w:lang w:val="en-US"/>
        </w:rPr>
        <w:t>. Due to its simplicity and low cost, WCR stands out as the most commonly used method to determine the contact angles of powders. Despite such popularity and wide spread use, the WCR method has been demonstrated to be restricted in regards to the types of systems that can be measured</w:t>
      </w:r>
      <w:r>
        <w:rPr>
          <w:rFonts w:cs="Times New Roman"/>
          <w:szCs w:val="24"/>
          <w:lang w:val="en-US"/>
        </w:rPr>
        <w:t>;</w:t>
      </w:r>
      <w:r w:rsidRPr="00314EC8">
        <w:rPr>
          <w:rFonts w:cs="Times New Roman"/>
          <w:szCs w:val="24"/>
          <w:lang w:val="en-US"/>
        </w:rPr>
        <w:t xml:space="preserve"> therefore, researchers have investigated the possibility to adapt the</w:t>
      </w:r>
      <w:r>
        <w:rPr>
          <w:rFonts w:cs="Times New Roman"/>
          <w:szCs w:val="24"/>
          <w:lang w:val="en-US"/>
        </w:rPr>
        <w:t xml:space="preserve"> Washburn, static contact angle, </w:t>
      </w:r>
      <w:r w:rsidRPr="00314EC8">
        <w:rPr>
          <w:rFonts w:cs="Times New Roman"/>
          <w:szCs w:val="24"/>
          <w:lang w:val="en-US"/>
        </w:rPr>
        <w:t>and Wilhelmy plate techniques</w:t>
      </w:r>
      <w:r w:rsidRPr="00314EC8">
        <w:rPr>
          <w:rFonts w:cs="Times New Roman"/>
          <w:szCs w:val="24"/>
          <w:vertAlign w:val="superscript"/>
          <w:lang w:val="en-US"/>
        </w:rPr>
        <w:fldChar w:fldCharType="begin" w:fldLock="1"/>
      </w:r>
      <w:r w:rsidR="004871C8">
        <w:rPr>
          <w:rFonts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mendeley":{"formattedCitation":"&lt;sup&gt;50&lt;/sup&gt;","plainTextFormattedCitation":"50","previouslyFormattedCitation":"&lt;sup&gt;50&lt;/sup&gt;"},"properties":{"noteIndex":0},"schema":"https://github.com/citation-style-language/schema/raw/master/csl-citation.json"}</w:instrText>
      </w:r>
      <w:r w:rsidRPr="00314EC8">
        <w:rPr>
          <w:rFonts w:cs="Times New Roman"/>
          <w:szCs w:val="24"/>
          <w:vertAlign w:val="superscript"/>
          <w:lang w:val="en-US"/>
        </w:rPr>
        <w:fldChar w:fldCharType="separate"/>
      </w:r>
      <w:r w:rsidR="00B01517" w:rsidRPr="00B01517">
        <w:rPr>
          <w:rFonts w:cs="Times New Roman"/>
          <w:noProof/>
          <w:szCs w:val="24"/>
          <w:vertAlign w:val="superscript"/>
          <w:lang w:val="en-US"/>
        </w:rPr>
        <w:t>50</w:t>
      </w:r>
      <w:r w:rsidRPr="00314EC8">
        <w:rPr>
          <w:rFonts w:cs="Times New Roman"/>
          <w:szCs w:val="24"/>
          <w:lang w:val="en-US"/>
        </w:rPr>
        <w:fldChar w:fldCharType="end"/>
      </w:r>
      <w:r w:rsidRPr="00314EC8">
        <w:rPr>
          <w:rFonts w:cs="Times New Roman"/>
          <w:szCs w:val="24"/>
          <w:lang w:val="en-US"/>
        </w:rPr>
        <w:t xml:space="preserve"> (</w:t>
      </w:r>
      <w:r w:rsidR="001F18F2">
        <w:rPr>
          <w:rFonts w:cs="Times New Roman"/>
          <w:szCs w:val="24"/>
          <w:lang w:val="en-US"/>
        </w:rPr>
        <w:fldChar w:fldCharType="begin"/>
      </w:r>
      <w:r w:rsidR="001F18F2">
        <w:rPr>
          <w:rFonts w:cs="Times New Roman"/>
          <w:szCs w:val="24"/>
          <w:lang w:val="en-US"/>
        </w:rPr>
        <w:instrText xml:space="preserve"> REF _Ref45572705 \h </w:instrText>
      </w:r>
      <w:r w:rsidR="001F18F2">
        <w:rPr>
          <w:rFonts w:cs="Times New Roman"/>
          <w:szCs w:val="24"/>
          <w:lang w:val="en-US"/>
        </w:rPr>
      </w:r>
      <w:r w:rsidR="001F18F2">
        <w:rPr>
          <w:rFonts w:cs="Times New Roman"/>
          <w:szCs w:val="24"/>
          <w:lang w:val="en-US"/>
        </w:rPr>
        <w:fldChar w:fldCharType="separate"/>
      </w:r>
      <w:r w:rsidR="0008188F" w:rsidRPr="0070489C">
        <w:rPr>
          <w:lang w:val="en-US"/>
        </w:rPr>
        <w:t xml:space="preserve">Figure </w:t>
      </w:r>
      <w:r w:rsidR="0008188F">
        <w:rPr>
          <w:noProof/>
          <w:lang w:val="en-US"/>
        </w:rPr>
        <w:t>6</w:t>
      </w:r>
      <w:r w:rsidR="001F18F2">
        <w:rPr>
          <w:rFonts w:cs="Times New Roman"/>
          <w:szCs w:val="24"/>
          <w:lang w:val="en-US"/>
        </w:rPr>
        <w:fldChar w:fldCharType="end"/>
      </w:r>
      <w:r w:rsidRPr="00314EC8">
        <w:rPr>
          <w:rFonts w:cs="Times New Roman"/>
          <w:szCs w:val="24"/>
          <w:lang w:val="en-US"/>
        </w:rPr>
        <w:t xml:space="preserve">) for  accurate determination of  contact angles </w:t>
      </w:r>
      <w:r>
        <w:rPr>
          <w:rFonts w:cs="Times New Roman"/>
          <w:szCs w:val="24"/>
          <w:lang w:val="en-US"/>
        </w:rPr>
        <w:t xml:space="preserve">of powders </w:t>
      </w:r>
      <w:r w:rsidRPr="00314EC8">
        <w:rPr>
          <w:rFonts w:cs="Times New Roman"/>
          <w:szCs w:val="24"/>
          <w:lang w:val="en-US"/>
        </w:rPr>
        <w:t xml:space="preserve">in WCR-restricted systems. </w:t>
      </w:r>
    </w:p>
    <w:p w14:paraId="77752071" w14:textId="77777777" w:rsidR="001C673D" w:rsidRDefault="001C673D" w:rsidP="00137411">
      <w:pPr>
        <w:spacing w:after="0" w:line="480" w:lineRule="auto"/>
        <w:rPr>
          <w:rFonts w:cs="Times New Roman"/>
          <w:szCs w:val="24"/>
          <w:lang w:val="en-US"/>
        </w:rPr>
      </w:pPr>
      <w:r w:rsidRPr="00AA7274">
        <w:rPr>
          <w:noProof/>
          <w:lang w:val="en-US"/>
        </w:rPr>
        <w:drawing>
          <wp:inline distT="0" distB="0" distL="0" distR="0" wp14:anchorId="574E5B34" wp14:editId="740DAE55">
            <wp:extent cx="5175250" cy="1723242"/>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3671" t="922" r="3373" b="3226"/>
                    <a:stretch/>
                  </pic:blipFill>
                  <pic:spPr bwMode="auto">
                    <a:xfrm>
                      <a:off x="0" y="0"/>
                      <a:ext cx="5221002" cy="1738476"/>
                    </a:xfrm>
                    <a:prstGeom prst="rect">
                      <a:avLst/>
                    </a:prstGeom>
                    <a:noFill/>
                    <a:ln>
                      <a:noFill/>
                    </a:ln>
                    <a:extLst>
                      <a:ext uri="{53640926-AAD7-44D8-BBD7-CCE9431645EC}">
                        <a14:shadowObscured xmlns:a14="http://schemas.microsoft.com/office/drawing/2010/main"/>
                      </a:ext>
                    </a:extLst>
                  </pic:spPr>
                </pic:pic>
              </a:graphicData>
            </a:graphic>
          </wp:inline>
        </w:drawing>
      </w:r>
    </w:p>
    <w:p w14:paraId="636A85BC" w14:textId="015F425B" w:rsidR="001C673D" w:rsidRPr="001F18F2" w:rsidRDefault="001C673D" w:rsidP="001C673D">
      <w:pPr>
        <w:pStyle w:val="Caption"/>
        <w:rPr>
          <w:rFonts w:cs="Times New Roman"/>
          <w:szCs w:val="24"/>
          <w:lang w:val="en-US"/>
        </w:rPr>
      </w:pPr>
      <w:bookmarkStart w:id="22" w:name="_Ref45572705"/>
      <w:bookmarkStart w:id="23" w:name="_Toc45837577"/>
      <w:r w:rsidRPr="0070489C">
        <w:rPr>
          <w:lang w:val="en-US"/>
        </w:rPr>
        <w:t xml:space="preserve">Figure </w:t>
      </w:r>
      <w:r>
        <w:fldChar w:fldCharType="begin"/>
      </w:r>
      <w:r w:rsidRPr="0070489C">
        <w:rPr>
          <w:lang w:val="en-US"/>
        </w:rPr>
        <w:instrText xml:space="preserve"> SEQ Figure \* ARABIC </w:instrText>
      </w:r>
      <w:r>
        <w:fldChar w:fldCharType="separate"/>
      </w:r>
      <w:r w:rsidR="0008188F">
        <w:rPr>
          <w:noProof/>
          <w:lang w:val="en-US"/>
        </w:rPr>
        <w:t>6</w:t>
      </w:r>
      <w:r>
        <w:fldChar w:fldCharType="end"/>
      </w:r>
      <w:bookmarkEnd w:id="22"/>
      <w:r w:rsidR="001F18F2" w:rsidRPr="001F18F2">
        <w:rPr>
          <w:lang w:val="en-US"/>
        </w:rPr>
        <w:t xml:space="preserve"> </w:t>
      </w:r>
      <w:r w:rsidR="001F18F2">
        <w:rPr>
          <w:lang w:val="en-US"/>
        </w:rPr>
        <w:t>–</w:t>
      </w:r>
      <w:r w:rsidR="001F18F2" w:rsidRPr="001F18F2">
        <w:rPr>
          <w:lang w:val="en-US"/>
        </w:rPr>
        <w:t xml:space="preserve"> C</w:t>
      </w:r>
      <w:r w:rsidR="001F18F2">
        <w:rPr>
          <w:lang w:val="en-US"/>
        </w:rPr>
        <w:t>ontact angle determination methods</w:t>
      </w:r>
      <w:bookmarkEnd w:id="23"/>
    </w:p>
    <w:p w14:paraId="089972B7" w14:textId="77777777" w:rsidR="001C673D" w:rsidRDefault="001C673D" w:rsidP="001C673D">
      <w:pPr>
        <w:spacing w:after="0" w:line="240" w:lineRule="auto"/>
        <w:jc w:val="both"/>
        <w:rPr>
          <w:rFonts w:cs="Times New Roman"/>
          <w:szCs w:val="24"/>
          <w:lang w:val="en-US"/>
        </w:rPr>
      </w:pPr>
      <w:r>
        <w:rPr>
          <w:rFonts w:cs="Times New Roman"/>
          <w:szCs w:val="24"/>
          <w:lang w:val="en-US"/>
        </w:rPr>
        <w:t>Three common methods for determining a contact angle of a liquid on a solid. A) Washburn capillary rise, where a capillary tube is packed with a solid and the liquid taken up is related to the wettability of the powder. B) static contact angle, where a liquid droplet is placed on a solid and the contact angle is determined from the liquid’s point of contact.</w:t>
      </w:r>
      <w:r w:rsidRPr="009C3A99">
        <w:rPr>
          <w:rFonts w:cs="Times New Roman"/>
          <w:szCs w:val="24"/>
          <w:lang w:val="en-US"/>
        </w:rPr>
        <w:t xml:space="preserve"> </w:t>
      </w:r>
      <w:r>
        <w:rPr>
          <w:rFonts w:cs="Times New Roman"/>
          <w:szCs w:val="24"/>
          <w:lang w:val="en-US"/>
        </w:rPr>
        <w:t>C) Wilhelmy plate, where a plate is inserted into a liquid and removed, the surface tension force is balanced by the force needed to pull or push the solid into or out of the liquid.</w:t>
      </w:r>
    </w:p>
    <w:p w14:paraId="01D27BCD" w14:textId="77777777" w:rsidR="001C673D" w:rsidRDefault="001C673D" w:rsidP="001C673D">
      <w:pPr>
        <w:spacing w:after="0" w:line="240" w:lineRule="auto"/>
        <w:ind w:firstLine="706"/>
        <w:jc w:val="both"/>
        <w:rPr>
          <w:rFonts w:cs="Times New Roman"/>
          <w:szCs w:val="24"/>
          <w:lang w:val="en-US"/>
        </w:rPr>
      </w:pPr>
    </w:p>
    <w:p w14:paraId="02E4061F" w14:textId="4AE0F110" w:rsidR="001C673D" w:rsidRPr="00314EC8" w:rsidRDefault="001C673D" w:rsidP="001C673D">
      <w:pPr>
        <w:spacing w:after="0" w:line="480" w:lineRule="auto"/>
        <w:ind w:firstLine="708"/>
        <w:jc w:val="both"/>
        <w:rPr>
          <w:rFonts w:eastAsiaTheme="minorEastAsia" w:cs="Times New Roman"/>
          <w:szCs w:val="24"/>
          <w:lang w:val="en-US"/>
        </w:rPr>
      </w:pPr>
      <w:r w:rsidRPr="00314EC8">
        <w:rPr>
          <w:rFonts w:eastAsiaTheme="minorEastAsia" w:cs="Times New Roman"/>
          <w:szCs w:val="24"/>
          <w:lang w:val="en-US"/>
        </w:rPr>
        <w:t xml:space="preserve">When reviewing the various methods for contact angle determination on compact powders, there are some key advantages and disadvantages to consider for each (such as cost, time, reliability, and accuracy). For example, WCR is not appropriate for determining the wettability of hydrophobic particles using water as capillary forces will not allow the fluid to advance </w:t>
      </w:r>
      <w:r w:rsidRPr="00314EC8">
        <w:rPr>
          <w:rFonts w:eastAsiaTheme="minorEastAsia" w:cs="Times New Roman"/>
          <w:szCs w:val="24"/>
          <w:vertAlign w:val="superscript"/>
          <w:lang w:val="en-US"/>
        </w:rPr>
        <w:fldChar w:fldCharType="begin" w:fldLock="1"/>
      </w:r>
      <w:r w:rsidR="004871C8">
        <w:rPr>
          <w:rFonts w:eastAsiaTheme="minorEastAsia" w:cs="Times New Roman"/>
          <w:szCs w:val="24"/>
          <w:lang w:val="en-US"/>
        </w:rPr>
        <w:instrText>ADDIN CSL_CITATION {"citationItems":[{"id":"ITEM-1","itemData":{"DOI":"10.1163/156856192X00755","ISSN":"0169-4243","author":[{"dropping-particle":"","family":"Oss","given":"C J","non-dropping-particle":"Van","parse-names":false,"suffix":""},{"dropping-particle":"","family":"Giese","given":"R F","non-dropping-particle":"","parse-names":false,"suffix":""},{"dropping-particle":"","family":"Li","given":"Z","non-dropping-particle":"","parse-names":false,"suffix":""},{"dropping-particle":"","family":"Murphy","given":"K","non-dropping-particle":"","parse-names":false,"suffix":""},{"dropping-particle":"","family":"Norris","given":"J","non-dropping-particle":"","parse-names":false,"suffix":""},{"dropping-particle":"","family":"Chaudhury","given":"M K","non-dropping-particle":"","parse-names":false,"suffix":""},{"dropping-particle":"","family":"Good","given":"R J","non-dropping-particle":"","parse-names":false,"suffix":""}],"container-title":"Journal of Adhesion Science and Technology","id":"ITEM-1","issue":"4","issued":{"date-parts":[["1992","1","1"]]},"note":"doi: 10.1163/156856192X00755","page":"413-428","publisher":"Taylor &amp; Francis","title":"Determination of contact angles and pore sizes of porous media by column and thin layer wicking","type":"article-journal","volume":"6"},"uris":["http://www.mendeley.com/documents/?uuid=6765bdd9-2219-415b-8df6-65dd66f67d11"]}],"mendeley":{"formattedCitation":"&lt;sup&gt;53&lt;/sup&gt;","plainTextFormattedCitation":"53","previouslyFormattedCitation":"&lt;sup&gt;53&lt;/sup&gt;"},"properties":{"noteIndex":0},"schema":"https://github.com/citation-style-language/schema/raw/master/csl-citation.json"}</w:instrText>
      </w:r>
      <w:r w:rsidRPr="00314EC8">
        <w:rPr>
          <w:rFonts w:eastAsiaTheme="minorEastAsia" w:cs="Times New Roman"/>
          <w:szCs w:val="24"/>
          <w:vertAlign w:val="superscript"/>
          <w:lang w:val="en-US"/>
        </w:rPr>
        <w:fldChar w:fldCharType="separate"/>
      </w:r>
      <w:r w:rsidR="00B01517" w:rsidRPr="00B01517">
        <w:rPr>
          <w:rFonts w:eastAsiaTheme="minorEastAsia" w:cs="Times New Roman"/>
          <w:noProof/>
          <w:szCs w:val="24"/>
          <w:vertAlign w:val="superscript"/>
          <w:lang w:val="en-US"/>
        </w:rPr>
        <w:t>53</w:t>
      </w:r>
      <w:r w:rsidRPr="00314EC8">
        <w:rPr>
          <w:rFonts w:eastAsiaTheme="minorEastAsia" w:cs="Times New Roman"/>
          <w:szCs w:val="24"/>
          <w:vertAlign w:val="superscript"/>
          <w:lang w:val="en-US"/>
        </w:rPr>
        <w:fldChar w:fldCharType="end"/>
      </w:r>
      <w:r w:rsidRPr="00314EC8">
        <w:rPr>
          <w:rFonts w:eastAsiaTheme="minorEastAsia" w:cs="Times New Roman"/>
          <w:szCs w:val="24"/>
          <w:lang w:val="en-US"/>
        </w:rPr>
        <w:t>. In addition, WCR method is also not suitable for particles that swell or packings that collapse during testing. According to</w:t>
      </w:r>
      <w:r w:rsidRPr="00314EC8" w:rsidDel="00A23264">
        <w:rPr>
          <w:rFonts w:eastAsiaTheme="minorEastAsia" w:cs="Times New Roman"/>
          <w:szCs w:val="24"/>
          <w:lang w:val="en-US"/>
        </w:rPr>
        <w:t xml:space="preserve"> </w:t>
      </w:r>
      <w:r w:rsidRPr="00314EC8">
        <w:rPr>
          <w:rFonts w:eastAsiaTheme="minorEastAsia" w:cs="Times New Roman"/>
          <w:szCs w:val="24"/>
          <w:lang w:val="en-US"/>
        </w:rPr>
        <w:t>Ramirez-Flores</w:t>
      </w:r>
      <w:r>
        <w:rPr>
          <w:rFonts w:eastAsiaTheme="minorEastAsia" w:cs="Times New Roman"/>
          <w:szCs w:val="24"/>
          <w:lang w:val="en-US"/>
        </w:rPr>
        <w:t>,</w:t>
      </w:r>
      <w:r w:rsidRPr="00314EC8">
        <w:rPr>
          <w:rFonts w:eastAsiaTheme="minorEastAsia" w:cs="Times New Roman"/>
          <w:szCs w:val="24"/>
          <w:lang w:val="en-US"/>
        </w:rPr>
        <w:t xml:space="preserve"> the packing procedure is a critical determinant of reproducibility </w:t>
      </w:r>
      <w:r w:rsidRPr="00314EC8">
        <w:rPr>
          <w:rFonts w:eastAsiaTheme="minorEastAsia" w:cs="Times New Roman"/>
          <w:szCs w:val="24"/>
          <w:vertAlign w:val="superscript"/>
          <w:lang w:val="en-US"/>
        </w:rPr>
        <w:fldChar w:fldCharType="begin" w:fldLock="1"/>
      </w:r>
      <w:r w:rsidR="004871C8">
        <w:rPr>
          <w:rFonts w:eastAsiaTheme="minorEastAsia" w:cs="Times New Roman"/>
          <w:szCs w:val="24"/>
          <w:lang w:val="en-US"/>
        </w:rPr>
        <w:instrText>ADDIN CSL_CITATION {"citationItems":[{"id":"ITEM-1","itemData":{"DOI":"10.1002/jpln.201100431","ISSN":"1436-8730","abstract":"Abstract Water repellency is a relevant topic in soil-science research due to its effects on vegetation growth, occurrence of surface runoff, infiltration, and erosion. Different methods have been adapted for the assessment of soil wettability by measuring the contact angle (CA), like the capillary-rise method (CRM), where the liquid penetration dynamics into a dry sample is analyzed. However, questions related to sample preparation and the use of a suitable reference liquid in order to improve the reproducibility in such heterogeneous materials are still open. Different methods use ethanol as a reference liquid to quantify the degree of water repellency, like the molarity of ethanol droplets (MED), whereas other methods (CRM) suggest in addition n-hexane as reference. To date, no generally accepted protocol has been invented to apply the CRM to soil particles. By using model porous materials with defined and stable levels of water repellency (silt, sand, and glass beads), CA results were compared for different initial settings of the sample. The main objective was to prove the CRM as a reliable and reproducible method to characterize soil wettability and to specify general guidelines for its application for granular materials in terms of sample size, sample-packing procedure, and reference liquid. Results showed that a sample weight of ≈ 2 g has a relatively lower CA variation between replications. The packing procedure showed erratic results in CA, proving to be a critical factor in reproducibility. A uniform criterion of samples packing is recommended regarding application of CRM in soils. Regarding the reference liquid, n-hexane should be preferred instead of ethanol for dynamic CA determination, because ethanol increased the tendency of CRM to overestimate angles due to dynamic effects, especially in finer-textured materials (i.e., silt).","author":[{"dropping-particle":"","family":"C. Ramírez-Flores","given":"Juan","non-dropping-particle":"","parse-names":false,"suffix":""},{"dropping-particle":"","family":"Bachmann","given":"Jörg","non-dropping-particle":"","parse-names":false,"suffix":""}],"container-title":"Journal of Plant Nutrition and Soil Science","id":"ITEM-1","issue":"1","issued":{"date-parts":[["2013","2","1"]]},"note":"doi: 10.1002/jpln.201100431","page":"16-19","publisher":"John Wiley &amp; Sons, Ltd","title":"Analyzing capillary-rise method settings for contact-angle determination of granular media","type":"article-journal","volume":"176"},"uris":["http://www.mendeley.com/documents/?uuid=1f99f9d7-9e7e-4549-b79a-6025e538918a"]}],"mendeley":{"formattedCitation":"&lt;sup&gt;54&lt;/sup&gt;","plainTextFormattedCitation":"54","previouslyFormattedCitation":"&lt;sup&gt;54&lt;/sup&gt;"},"properties":{"noteIndex":0},"schema":"https://github.com/citation-style-language/schema/raw/master/csl-citation.json"}</w:instrText>
      </w:r>
      <w:r w:rsidRPr="00314EC8">
        <w:rPr>
          <w:rFonts w:eastAsiaTheme="minorEastAsia" w:cs="Times New Roman"/>
          <w:szCs w:val="24"/>
          <w:vertAlign w:val="superscript"/>
          <w:lang w:val="en-US"/>
        </w:rPr>
        <w:fldChar w:fldCharType="separate"/>
      </w:r>
      <w:r w:rsidR="00B01517" w:rsidRPr="00B01517">
        <w:rPr>
          <w:rFonts w:eastAsiaTheme="minorEastAsia" w:cs="Times New Roman"/>
          <w:bCs/>
          <w:noProof/>
          <w:szCs w:val="24"/>
          <w:vertAlign w:val="superscript"/>
          <w:lang w:val="en-US"/>
        </w:rPr>
        <w:t>54</w:t>
      </w:r>
      <w:r w:rsidRPr="00314EC8">
        <w:rPr>
          <w:rFonts w:eastAsiaTheme="minorEastAsia" w:cs="Times New Roman"/>
          <w:szCs w:val="24"/>
          <w:vertAlign w:val="superscript"/>
          <w:lang w:val="en-US"/>
        </w:rPr>
        <w:fldChar w:fldCharType="end"/>
      </w:r>
      <w:r w:rsidRPr="00314EC8">
        <w:rPr>
          <w:rFonts w:eastAsiaTheme="minorEastAsia" w:cs="Times New Roman"/>
          <w:szCs w:val="24"/>
          <w:lang w:val="en-US"/>
        </w:rPr>
        <w:t xml:space="preserve"> with channeling and wall effects being well-known problems that further impact the ability of WCR to be used effectively. Notwithstanding these concerns, the WCR method represents a convenient method for determining the contact angles of powders. Moreover, it should be appreciated that particulate substrates complicate the use of the SCA and Wilhelmy plate methods which are generally employed for finding the wettability of monolithic materials with flat surfaces. </w:t>
      </w:r>
    </w:p>
    <w:p w14:paraId="00CB91E9" w14:textId="2A27F364" w:rsidR="001C673D" w:rsidRPr="00314EC8" w:rsidRDefault="001C673D" w:rsidP="001C673D">
      <w:pPr>
        <w:spacing w:after="0" w:line="480" w:lineRule="auto"/>
        <w:jc w:val="both"/>
        <w:rPr>
          <w:rFonts w:eastAsiaTheme="minorEastAsia" w:cs="Times New Roman"/>
          <w:szCs w:val="24"/>
          <w:lang w:val="en-US"/>
        </w:rPr>
      </w:pPr>
      <w:r w:rsidRPr="00314EC8">
        <w:rPr>
          <w:rFonts w:eastAsiaTheme="minorEastAsia" w:cs="Times New Roman"/>
          <w:szCs w:val="24"/>
          <w:lang w:val="en-US"/>
        </w:rPr>
        <w:tab/>
        <w:t xml:space="preserve">The static contact angle (SCA) technique depicted in </w:t>
      </w:r>
      <w:r w:rsidR="003044BE">
        <w:rPr>
          <w:rFonts w:eastAsiaTheme="minorEastAsia" w:cs="Times New Roman"/>
          <w:szCs w:val="24"/>
          <w:lang w:val="en-US"/>
        </w:rPr>
        <w:t xml:space="preserve"> </w:t>
      </w:r>
      <w:r w:rsidR="003044BE">
        <w:rPr>
          <w:rFonts w:eastAsiaTheme="minorEastAsia" w:cs="Times New Roman"/>
          <w:szCs w:val="24"/>
          <w:lang w:val="en-US"/>
        </w:rPr>
        <w:fldChar w:fldCharType="begin"/>
      </w:r>
      <w:r w:rsidR="003044BE">
        <w:rPr>
          <w:rFonts w:eastAsiaTheme="minorEastAsia" w:cs="Times New Roman"/>
          <w:szCs w:val="24"/>
          <w:lang w:val="en-US"/>
        </w:rPr>
        <w:instrText xml:space="preserve"> REF _Ref45572705 \h </w:instrText>
      </w:r>
      <w:r w:rsidR="003044BE">
        <w:rPr>
          <w:rFonts w:eastAsiaTheme="minorEastAsia" w:cs="Times New Roman"/>
          <w:szCs w:val="24"/>
          <w:lang w:val="en-US"/>
        </w:rPr>
      </w:r>
      <w:r w:rsidR="003044BE">
        <w:rPr>
          <w:rFonts w:eastAsiaTheme="minorEastAsia" w:cs="Times New Roman"/>
          <w:szCs w:val="24"/>
          <w:lang w:val="en-US"/>
        </w:rPr>
        <w:fldChar w:fldCharType="separate"/>
      </w:r>
      <w:r w:rsidR="0008188F" w:rsidRPr="0070489C">
        <w:rPr>
          <w:lang w:val="en-US"/>
        </w:rPr>
        <w:t xml:space="preserve">Figure </w:t>
      </w:r>
      <w:r w:rsidR="0008188F">
        <w:rPr>
          <w:noProof/>
          <w:lang w:val="en-US"/>
        </w:rPr>
        <w:t>6</w:t>
      </w:r>
      <w:r w:rsidR="003044BE">
        <w:rPr>
          <w:rFonts w:eastAsiaTheme="minorEastAsia" w:cs="Times New Roman"/>
          <w:szCs w:val="24"/>
          <w:lang w:val="en-US"/>
        </w:rPr>
        <w:fldChar w:fldCharType="end"/>
      </w:r>
      <w:r w:rsidR="003044BE">
        <w:rPr>
          <w:rFonts w:eastAsiaTheme="minorEastAsia" w:cs="Times New Roman"/>
          <w:szCs w:val="24"/>
          <w:lang w:val="en-US"/>
        </w:rPr>
        <w:t>B</w:t>
      </w:r>
      <w:r w:rsidRPr="00314EC8">
        <w:rPr>
          <w:rFonts w:eastAsiaTheme="minorEastAsia" w:cs="Times New Roman"/>
          <w:szCs w:val="24"/>
          <w:lang w:val="en-US"/>
        </w:rPr>
        <w:t xml:space="preserve">, is typically carried out in a goniometer by dispensing a liquid droplet onto a solid surface, followed by the analysis of the drop profiles and the determination of wettability (in terms of contact angles) using the Laplace-Young equation. In comparison to other available methodologies, the static contact angle is one of the most efficient when cost and time are considered; however, its major disadvantage is associated with its limited accuracy in determining contact angles that are smaller than 20° </w:t>
      </w:r>
      <w:r w:rsidRPr="00314EC8">
        <w:rPr>
          <w:rFonts w:eastAsiaTheme="minorEastAsia" w:cs="Times New Roman"/>
          <w:szCs w:val="24"/>
          <w:vertAlign w:val="superscript"/>
          <w:lang w:val="en-US"/>
        </w:rPr>
        <w:fldChar w:fldCharType="begin" w:fldLock="1"/>
      </w:r>
      <w:r w:rsidR="004871C8">
        <w:rPr>
          <w:rFonts w:eastAsiaTheme="minorEastAsia"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mendeley":{"formattedCitation":"&lt;sup&gt;50&lt;/sup&gt;","plainTextFormattedCitation":"50","previouslyFormattedCitation":"&lt;sup&gt;50&lt;/sup&gt;"},"properties":{"noteIndex":0},"schema":"https://github.com/citation-style-language/schema/raw/master/csl-citation.json"}</w:instrText>
      </w:r>
      <w:r w:rsidRPr="00314EC8">
        <w:rPr>
          <w:rFonts w:eastAsiaTheme="minorEastAsia" w:cs="Times New Roman"/>
          <w:szCs w:val="24"/>
          <w:vertAlign w:val="superscript"/>
          <w:lang w:val="en-US"/>
        </w:rPr>
        <w:fldChar w:fldCharType="separate"/>
      </w:r>
      <w:r w:rsidR="00B01517" w:rsidRPr="00B01517">
        <w:rPr>
          <w:rFonts w:eastAsiaTheme="minorEastAsia" w:cs="Times New Roman"/>
          <w:noProof/>
          <w:szCs w:val="24"/>
          <w:vertAlign w:val="superscript"/>
          <w:lang w:val="en-US"/>
        </w:rPr>
        <w:t>50</w:t>
      </w:r>
      <w:r w:rsidRPr="00314EC8">
        <w:rPr>
          <w:rFonts w:eastAsiaTheme="minorEastAsia" w:cs="Times New Roman"/>
          <w:szCs w:val="24"/>
          <w:vertAlign w:val="superscript"/>
          <w:lang w:val="en-US"/>
        </w:rPr>
        <w:fldChar w:fldCharType="end"/>
      </w:r>
      <w:r w:rsidRPr="00314EC8">
        <w:rPr>
          <w:rFonts w:eastAsiaTheme="minorEastAsia" w:cs="Times New Roman"/>
          <w:szCs w:val="24"/>
          <w:lang w:val="en-US"/>
        </w:rPr>
        <w:t>. These problems are further exacerbated by surface roughness, whether it is a loose layer of powder or a pressed disc. It has been demonstrated that variations in these surface properties can cause the Laplace-Young contact angle to more closely resemble the apparent contact angle, thereby adversely impacting the ability to measure the wettability of a powder</w:t>
      </w:r>
      <w:r w:rsidRPr="00314EC8">
        <w:rPr>
          <w:rFonts w:eastAsiaTheme="minorEastAsia" w:cs="Times New Roman"/>
          <w:szCs w:val="24"/>
          <w:lang w:val="en-US"/>
        </w:rPr>
        <w:fldChar w:fldCharType="begin" w:fldLock="1"/>
      </w:r>
      <w:r w:rsidR="004871C8">
        <w:rPr>
          <w:rFonts w:eastAsiaTheme="minorEastAsia" w:cs="Times New Roman"/>
          <w:szCs w:val="24"/>
          <w:lang w:val="en-US"/>
        </w:rPr>
        <w:instrText>ADDIN CSL_CITATION {"citationItems":[{"id":"ITEM-1","itemData":{"DOI":"10.1002/jpln.201100431","ISSN":"1436-8730","abstract":"Abstract Water repellency is a relevant topic in soil-science research due to its effects on vegetation growth, occurrence of surface runoff, infiltration, and erosion. Different methods have been adapted for the assessment of soil wettability by measuring the contact angle (CA), like the capillary-rise method (CRM), where the liquid penetration dynamics into a dry sample is analyzed. However, questions related to sample preparation and the use of a suitable reference liquid in order to improve the reproducibility in such heterogeneous materials are still open. Different methods use ethanol as a reference liquid to quantify the degree of water repellency, like the molarity of ethanol droplets (MED), whereas other methods (CRM) suggest in addition n-hexane as reference. To date, no generally accepted protocol has been invented to apply the CRM to soil particles. By using model porous materials with defined and stable levels of water repellency (silt, sand, and glass beads), CA results were compared for different initial settings of the sample. The main objective was to prove the CRM as a reliable and reproducible method to characterize soil wettability and to specify general guidelines for its application for granular materials in terms of sample size, sample-packing procedure, and reference liquid. Results showed that a sample weight of ≈ 2 g has a relatively lower CA variation between replications. The packing procedure showed erratic results in CA, proving to be a critical factor in reproducibility. A uniform criterion of samples packing is recommended regarding application of CRM in soils. Regarding the reference liquid, n-hexane should be preferred instead of ethanol for dynamic CA determination, because ethanol increased the tendency of CRM to overestimate angles due to dynamic effects, especially in finer-textured materials (i.e., silt).","author":[{"dropping-particle":"","family":"C. Ramírez-Flores","given":"Juan","non-dropping-particle":"","parse-names":false,"suffix":""},{"dropping-particle":"","family":"Bachmann","given":"Jörg","non-dropping-particle":"","parse-names":false,"suffix":""}],"container-title":"Journal of Plant Nutrition and Soil Science","id":"ITEM-1","issue":"1","issued":{"date-parts":[["2013","2","1"]]},"note":"doi: 10.1002/jpln.201100431","page":"16-19","publisher":"John Wiley &amp; Sons, Ltd","title":"Analyzing capillary-rise method settings for contact-angle determination of granular media","type":"article-journal","volume":"176"},"uris":["http://www.mendeley.com/documents/?uuid=1f99f9d7-9e7e-4549-b79a-6025e538918a"]},{"id":"ITEM-2","itemData":{"DOI":"https://doi.org/10.1016/0032-5910(86)80027-4","ISBN":"0032-5910","abstract":"The value of contact angle measurements on compressed discs of powder has been critically examined as a method of assessing the wettability of five barbiturate powders. The contact angle was found to reduce with increased compression force, until a constant value was achieved. This was demonstrated, by use of scanning electron micrographs, to be due to plastic deformation of the powder surface. The values of θ obtained did not alter after electrostatic forces were discharged with an antistatic gun, and are thus not responsible for the hydrophobic nature of the loosely compressed beds. The effect of drop size, in the range 10 to 50 μl, and surface roughness were not large enough to be detected amongst the scatter of results. Small drops of water on the plane faces of large crystals formed a contact angle in close agreement with the plastic skin on the compacts. It is postulated that the crystal defects and heterogeneities are responsible for raising the value of θ in the uncompacted powders.","author":[{"dropping-particle":"","family":"Buckton","given":"G","non-dropping-particle":"","parse-names":false,"suffix":""},{"dropping-particle":"","family":"Newton","given":"J M","non-dropping-particle":"","parse-names":false,"suffix":""}],"container-title":"Powder Technology","id":"ITEM-2","issue":"2","issued":{"date-parts":[["1986"]]},"page":"201-208","title":"Assessment of the wettability of powders by use of compressed powder discs","type":"article-journal","volume":"46"},"uris":["http://www.mendeley.com/documents/?uuid=32eed424-1071-4a0a-88f0-b23cef737dec"]}],"mendeley":{"formattedCitation":"&lt;sup&gt;43,54&lt;/sup&gt;","plainTextFormattedCitation":"43,54","previouslyFormattedCitation":"&lt;sup&gt;43,54&lt;/sup&gt;"},"properties":{"noteIndex":0},"schema":"https://github.com/citation-style-language/schema/raw/master/csl-citation.json"}</w:instrText>
      </w:r>
      <w:r w:rsidRPr="00314EC8">
        <w:rPr>
          <w:rFonts w:eastAsiaTheme="minorEastAsia" w:cs="Times New Roman"/>
          <w:szCs w:val="24"/>
          <w:lang w:val="en-US"/>
        </w:rPr>
        <w:fldChar w:fldCharType="separate"/>
      </w:r>
      <w:r w:rsidR="00B01517" w:rsidRPr="00B01517">
        <w:rPr>
          <w:rFonts w:eastAsiaTheme="minorEastAsia" w:cs="Times New Roman"/>
          <w:noProof/>
          <w:szCs w:val="24"/>
          <w:vertAlign w:val="superscript"/>
          <w:lang w:val="en-US"/>
        </w:rPr>
        <w:t>43,54</w:t>
      </w:r>
      <w:r w:rsidRPr="00314EC8">
        <w:rPr>
          <w:rFonts w:eastAsiaTheme="minorEastAsia" w:cs="Times New Roman"/>
          <w:szCs w:val="24"/>
          <w:lang w:val="en-US"/>
        </w:rPr>
        <w:fldChar w:fldCharType="end"/>
      </w:r>
      <w:r w:rsidRPr="00314EC8">
        <w:rPr>
          <w:rFonts w:eastAsiaTheme="minorEastAsia" w:cs="Times New Roman"/>
          <w:szCs w:val="24"/>
          <w:lang w:val="en-US"/>
        </w:rPr>
        <w:t>.</w:t>
      </w:r>
    </w:p>
    <w:p w14:paraId="1CA93610" w14:textId="1904AB5E" w:rsidR="001C673D" w:rsidRPr="00314EC8" w:rsidRDefault="001C673D" w:rsidP="001C673D">
      <w:pPr>
        <w:spacing w:after="0" w:line="480" w:lineRule="auto"/>
        <w:ind w:firstLine="708"/>
        <w:jc w:val="both"/>
        <w:rPr>
          <w:rFonts w:eastAsiaTheme="minorEastAsia" w:cs="Times New Roman"/>
          <w:szCs w:val="24"/>
          <w:lang w:val="en-US"/>
        </w:rPr>
      </w:pPr>
      <w:r w:rsidRPr="00314EC8">
        <w:rPr>
          <w:rFonts w:eastAsiaTheme="minorEastAsia" w:cs="Times New Roman"/>
          <w:szCs w:val="24"/>
          <w:lang w:val="en-US"/>
        </w:rPr>
        <w:t>The Wilhelmy plate (WP) method is an interfacial tension analysis that is calculated based on the observation of advancing and receding contact angles as the substrate (nonporous, thin, rectangular and flat) is immersed into a liquid and then pulled back out into the position where the substrate (plate)</w:t>
      </w:r>
      <w:r w:rsidRPr="007C7ECC">
        <w:rPr>
          <w:rFonts w:eastAsiaTheme="minorEastAsia" w:cs="Times New Roman"/>
          <w:szCs w:val="24"/>
          <w:lang w:val="en-US"/>
        </w:rPr>
        <w:t xml:space="preserve"> first</w:t>
      </w:r>
      <w:r w:rsidRPr="00314EC8">
        <w:rPr>
          <w:rFonts w:eastAsiaTheme="minorEastAsia" w:cs="Times New Roman"/>
          <w:szCs w:val="24"/>
          <w:lang w:val="en-US"/>
        </w:rPr>
        <w:t xml:space="preserve"> makes contact with the liquid. During this process, the advancing and receding contact angle are obtained</w:t>
      </w:r>
      <w:r>
        <w:rPr>
          <w:rFonts w:eastAsiaTheme="minorEastAsia" w:cs="Times New Roman"/>
          <w:szCs w:val="24"/>
          <w:lang w:val="en-US"/>
        </w:rPr>
        <w:t xml:space="preserve"> from measurements of force after</w:t>
      </w:r>
      <w:r w:rsidRPr="00314EC8">
        <w:rPr>
          <w:rFonts w:eastAsiaTheme="minorEastAsia" w:cs="Times New Roman"/>
          <w:szCs w:val="24"/>
          <w:lang w:val="en-US"/>
        </w:rPr>
        <w:t xml:space="preserve"> taking the surface tension into consideration. Even though WP is more expensive </w:t>
      </w:r>
      <w:r>
        <w:rPr>
          <w:rFonts w:eastAsiaTheme="minorEastAsia" w:cs="Times New Roman"/>
          <w:szCs w:val="24"/>
          <w:lang w:val="en-US"/>
        </w:rPr>
        <w:t xml:space="preserve">due to </w:t>
      </w:r>
      <w:r w:rsidRPr="00314EC8">
        <w:rPr>
          <w:rFonts w:eastAsiaTheme="minorEastAsia" w:cs="Times New Roman"/>
          <w:szCs w:val="24"/>
          <w:lang w:val="en-US"/>
        </w:rPr>
        <w:t>the requirement for the utilization of a precision microbalance, this method has the advantage of being capable to</w:t>
      </w:r>
      <w:r>
        <w:rPr>
          <w:rFonts w:eastAsiaTheme="minorEastAsia" w:cs="Times New Roman"/>
          <w:szCs w:val="24"/>
          <w:lang w:val="en-US"/>
        </w:rPr>
        <w:t xml:space="preserve"> precisely</w:t>
      </w:r>
      <w:r w:rsidRPr="00314EC8">
        <w:rPr>
          <w:rFonts w:eastAsiaTheme="minorEastAsia" w:cs="Times New Roman"/>
          <w:szCs w:val="24"/>
          <w:lang w:val="en-US"/>
        </w:rPr>
        <w:t xml:space="preserve"> </w:t>
      </w:r>
      <w:r>
        <w:rPr>
          <w:rFonts w:eastAsiaTheme="minorEastAsia" w:cs="Times New Roman"/>
          <w:szCs w:val="24"/>
          <w:lang w:val="en-US"/>
        </w:rPr>
        <w:t>measure</w:t>
      </w:r>
      <w:r w:rsidRPr="00314EC8">
        <w:rPr>
          <w:rFonts w:eastAsiaTheme="minorEastAsia" w:cs="Times New Roman"/>
          <w:szCs w:val="24"/>
          <w:lang w:val="en-US"/>
        </w:rPr>
        <w:t xml:space="preserve"> small contact angles</w:t>
      </w:r>
      <w:r w:rsidRPr="00314EC8">
        <w:rPr>
          <w:rFonts w:eastAsiaTheme="minorEastAsia" w:cs="Times New Roman"/>
          <w:szCs w:val="24"/>
          <w:vertAlign w:val="superscript"/>
          <w:lang w:val="en-US"/>
        </w:rPr>
        <w:fldChar w:fldCharType="begin" w:fldLock="1"/>
      </w:r>
      <w:r w:rsidR="004871C8">
        <w:rPr>
          <w:rFonts w:eastAsiaTheme="minorEastAsia" w:cs="Times New Roman"/>
          <w:szCs w:val="24"/>
          <w:lang w:val="en-US"/>
        </w:rPr>
        <w:instrText>ADDIN CSL_CITATION {"citationItems":[{"id":"ITEM-1","itemData":{"DOI":"https://doi.org/10.1016/0928-0987(94)90030-2","ISBN":"0928-0987","abstract":"A Wilhelmy plate method has been used to study the surface energies of spray-dried salbutamol sulphate. Scanning electron micrographs of compacts, prepared for the measurement of contact angles, revealed that the surfaces of the formed compacts were rough, and the lowest compression pressure left spheres of material over the surface of the compact. As the perimeter of the plate is an essential measurement for use in calculation of contact angles from Wilhelmy plates, estimates of the true perimeter have been made, and the results compared to those obtained by the use of the apparent external perimeter. On the basis of fractal geometry, the perimeter will increase in relation to the sensitivity of the measurement method, and in actual fact may be very significantly greater than the perceived external measurement. The effective perimeter must be considered for measurements of contact angle obtained by the Wilhelmy plate technique; unfortunately this is not readily estimated.","author":[{"dropping-particle":"","family":"Chawla","given":"A","non-dropping-particle":"","parse-names":false,"suffix":""},{"dropping-particle":"","family":"Buckton","given":"G","non-dropping-particle":"","parse-names":false,"suffix":""},{"dropping-particle":"","family":"Taylor","given":"K M G","non-dropping-particle":"","parse-names":false,"suffix":""},{"dropping-particle":"","family":"Newton","given":"J M","non-dropping-particle":"","parse-names":false,"suffix":""},{"dropping-particle":"","family":"Johnson","given":"M C R","non-dropping-particle":"","parse-names":false,"suffix":""}],"container-title":"European Journal of Pharmaceutical Sciences","id":"ITEM-1","issue":"3","issued":{"date-parts":[["1994"]]},"page":"253-258","title":"Wilhelmy plate contact angle data on powder compacts: considerations of plate perimeter","type":"article-journal","volume":"2"},"uris":["http://www.mendeley.com/documents/?uuid=29609b0b-63ce-4bf1-89af-299245ec9eeb"]}],"mendeley":{"formattedCitation":"&lt;sup&gt;55&lt;/sup&gt;","plainTextFormattedCitation":"55","previouslyFormattedCitation":"&lt;sup&gt;55&lt;/sup&gt;"},"properties":{"noteIndex":0},"schema":"https://github.com/citation-style-language/schema/raw/master/csl-citation.json"}</w:instrText>
      </w:r>
      <w:r w:rsidRPr="00314EC8">
        <w:rPr>
          <w:rFonts w:eastAsiaTheme="minorEastAsia" w:cs="Times New Roman"/>
          <w:szCs w:val="24"/>
          <w:vertAlign w:val="superscript"/>
          <w:lang w:val="en-US"/>
        </w:rPr>
        <w:fldChar w:fldCharType="separate"/>
      </w:r>
      <w:r w:rsidR="00B01517" w:rsidRPr="00B01517">
        <w:rPr>
          <w:rFonts w:eastAsiaTheme="minorEastAsia" w:cs="Times New Roman"/>
          <w:bCs/>
          <w:noProof/>
          <w:szCs w:val="24"/>
          <w:vertAlign w:val="superscript"/>
          <w:lang w:val="en-US"/>
        </w:rPr>
        <w:t>55</w:t>
      </w:r>
      <w:r w:rsidRPr="00314EC8">
        <w:rPr>
          <w:rFonts w:eastAsiaTheme="minorEastAsia" w:cs="Times New Roman"/>
          <w:szCs w:val="24"/>
          <w:vertAlign w:val="superscript"/>
          <w:lang w:val="en-US"/>
        </w:rPr>
        <w:fldChar w:fldCharType="end"/>
      </w:r>
      <w:r w:rsidRPr="00314EC8">
        <w:rPr>
          <w:rFonts w:eastAsiaTheme="minorEastAsia" w:cs="Times New Roman"/>
          <w:szCs w:val="24"/>
          <w:lang w:val="en-US"/>
        </w:rPr>
        <w:t>. Based on these properties, researchers have adapted the WP method for powder-based specimens deposited onto the surfaces of wafer or glass slides and fixed using an adhesive</w:t>
      </w:r>
      <w:r w:rsidRPr="00314EC8">
        <w:rPr>
          <w:rFonts w:eastAsiaTheme="minorEastAsia" w:cs="Times New Roman"/>
          <w:szCs w:val="24"/>
          <w:vertAlign w:val="superscript"/>
          <w:lang w:val="en-US"/>
        </w:rPr>
        <w:fldChar w:fldCharType="begin" w:fldLock="1"/>
      </w:r>
      <w:r w:rsidR="004871C8">
        <w:rPr>
          <w:rFonts w:eastAsiaTheme="minorEastAsia"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mendeley":{"formattedCitation":"&lt;sup&gt;50&lt;/sup&gt;","plainTextFormattedCitation":"50","previouslyFormattedCitation":"&lt;sup&gt;50&lt;/sup&gt;"},"properties":{"noteIndex":0},"schema":"https://github.com/citation-style-language/schema/raw/master/csl-citation.json"}</w:instrText>
      </w:r>
      <w:r w:rsidRPr="00314EC8">
        <w:rPr>
          <w:rFonts w:eastAsiaTheme="minorEastAsia" w:cs="Times New Roman"/>
          <w:szCs w:val="24"/>
          <w:vertAlign w:val="superscript"/>
          <w:lang w:val="en-US"/>
        </w:rPr>
        <w:fldChar w:fldCharType="separate"/>
      </w:r>
      <w:r w:rsidR="00B01517" w:rsidRPr="00B01517">
        <w:rPr>
          <w:rFonts w:eastAsiaTheme="minorEastAsia" w:cs="Times New Roman"/>
          <w:noProof/>
          <w:szCs w:val="24"/>
          <w:vertAlign w:val="superscript"/>
          <w:lang w:val="en-US"/>
        </w:rPr>
        <w:t>50</w:t>
      </w:r>
      <w:r w:rsidRPr="00314EC8">
        <w:rPr>
          <w:rFonts w:eastAsiaTheme="minorEastAsia" w:cs="Times New Roman"/>
          <w:szCs w:val="24"/>
          <w:vertAlign w:val="superscript"/>
          <w:lang w:val="en-US"/>
        </w:rPr>
        <w:fldChar w:fldCharType="end"/>
      </w:r>
      <w:r w:rsidRPr="00314EC8">
        <w:rPr>
          <w:rFonts w:eastAsiaTheme="minorEastAsia" w:cs="Times New Roman"/>
          <w:szCs w:val="24"/>
          <w:lang w:val="en-US"/>
        </w:rPr>
        <w:t xml:space="preserve">. Potential sources of error are related to the uncertainties associated </w:t>
      </w:r>
      <w:r>
        <w:rPr>
          <w:rFonts w:eastAsiaTheme="minorEastAsia" w:cs="Times New Roman"/>
          <w:szCs w:val="24"/>
          <w:lang w:val="en-US"/>
        </w:rPr>
        <w:t>with</w:t>
      </w:r>
      <w:r w:rsidRPr="00314EC8">
        <w:rPr>
          <w:rFonts w:eastAsiaTheme="minorEastAsia" w:cs="Times New Roman"/>
          <w:szCs w:val="24"/>
          <w:lang w:val="en-US"/>
        </w:rPr>
        <w:t xml:space="preserve"> values of the wetted perimeter as directly influenced by surface roughness</w:t>
      </w:r>
      <w:r w:rsidRPr="00314EC8">
        <w:rPr>
          <w:rFonts w:eastAsiaTheme="minorEastAsia" w:cs="Times New Roman"/>
          <w:szCs w:val="24"/>
          <w:vertAlign w:val="superscript"/>
          <w:lang w:val="en-US"/>
        </w:rPr>
        <w:fldChar w:fldCharType="begin" w:fldLock="1"/>
      </w:r>
      <w:r w:rsidR="004871C8">
        <w:rPr>
          <w:rFonts w:eastAsiaTheme="minorEastAsia"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mendeley":{"formattedCitation":"&lt;sup&gt;50&lt;/sup&gt;","plainTextFormattedCitation":"50","previouslyFormattedCitation":"&lt;sup&gt;50&lt;/sup&gt;"},"properties":{"noteIndex":0},"schema":"https://github.com/citation-style-language/schema/raw/master/csl-citation.json"}</w:instrText>
      </w:r>
      <w:r w:rsidRPr="00314EC8">
        <w:rPr>
          <w:rFonts w:eastAsiaTheme="minorEastAsia" w:cs="Times New Roman"/>
          <w:szCs w:val="24"/>
          <w:vertAlign w:val="superscript"/>
          <w:lang w:val="en-US"/>
        </w:rPr>
        <w:fldChar w:fldCharType="separate"/>
      </w:r>
      <w:r w:rsidR="00B01517" w:rsidRPr="00B01517">
        <w:rPr>
          <w:rFonts w:eastAsiaTheme="minorEastAsia" w:cs="Times New Roman"/>
          <w:noProof/>
          <w:szCs w:val="24"/>
          <w:vertAlign w:val="superscript"/>
          <w:lang w:val="en-US"/>
        </w:rPr>
        <w:t>50</w:t>
      </w:r>
      <w:r w:rsidRPr="00314EC8">
        <w:rPr>
          <w:rFonts w:eastAsiaTheme="minorEastAsia" w:cs="Times New Roman"/>
          <w:szCs w:val="24"/>
          <w:vertAlign w:val="superscript"/>
          <w:lang w:val="en-US"/>
        </w:rPr>
        <w:fldChar w:fldCharType="end"/>
      </w:r>
      <w:r w:rsidRPr="00314EC8">
        <w:rPr>
          <w:rFonts w:eastAsiaTheme="minorEastAsia" w:cs="Times New Roman"/>
          <w:szCs w:val="24"/>
          <w:lang w:val="en-US"/>
        </w:rPr>
        <w:t xml:space="preserve"> and the possibility of added weight through the absorption of liquid into the porous substrate.</w:t>
      </w:r>
    </w:p>
    <w:p w14:paraId="228BCC49" w14:textId="65A30EA3" w:rsidR="001C673D" w:rsidRDefault="001C673D" w:rsidP="00F72667">
      <w:pPr>
        <w:spacing w:after="0" w:line="480" w:lineRule="auto"/>
        <w:jc w:val="both"/>
        <w:rPr>
          <w:rFonts w:eastAsiaTheme="minorEastAsia" w:cs="Times New Roman"/>
          <w:szCs w:val="24"/>
          <w:lang w:val="en-US"/>
        </w:rPr>
      </w:pPr>
      <w:r w:rsidRPr="00314EC8">
        <w:rPr>
          <w:rFonts w:eastAsiaTheme="minorEastAsia" w:cs="Times New Roman"/>
          <w:szCs w:val="24"/>
          <w:lang w:val="en-US"/>
        </w:rPr>
        <w:tab/>
        <w:t>Recently, Liu et al. introduced a modified approach to the Drop Penetration Method (DPM) and applied it to determine the wettability of powders displaying particle size-distributions between 10-100 μm</w:t>
      </w:r>
      <w:r w:rsidRPr="00314EC8" w:rsidDel="007375FB">
        <w:rPr>
          <w:rFonts w:eastAsiaTheme="minorEastAsia" w:cs="Times New Roman"/>
          <w:szCs w:val="24"/>
          <w:lang w:val="en-US"/>
        </w:rPr>
        <w:t xml:space="preserve"> </w:t>
      </w:r>
      <w:r w:rsidRPr="00314EC8">
        <w:rPr>
          <w:rFonts w:eastAsiaTheme="minorEastAsia" w:cs="Times New Roman"/>
          <w:szCs w:val="24"/>
          <w:vertAlign w:val="superscript"/>
          <w:lang w:val="en-US"/>
        </w:rPr>
        <w:fldChar w:fldCharType="begin" w:fldLock="1"/>
      </w:r>
      <w:r w:rsidR="004871C8">
        <w:rPr>
          <w:rFonts w:eastAsiaTheme="minorEastAsia" w:cs="Times New Roman"/>
          <w:szCs w:val="24"/>
          <w:lang w:val="en-US"/>
        </w:rPr>
        <w:instrText>ADDIN CSL_CITATION {"citationItems":[{"id":"ITEM-1","itemData":{"DOI":"10.1021/acs.langmuir.6b03589","ISBN":"0743-7463","author":[{"dropping-particle":"","family":"Liu","given":"Zhanjie","non-dropping-particle":"","parse-names":false,"suffix":""},{"dropping-particle":"","family":"Wang","given":"Yifan","non-dropping-particle":"","parse-names":false,"suffix":""},{"dropping-particle":"","family":"Muzzio","given":"Fernando J","non-dropping-particle":"","parse-names":false,"suffix":""},{"dropping-particle":"","family":"Callegari","given":"Gerardo","non-dropping-particle":"","parse-names":false,"suffix":""},{"dropping-particle":"","family":"Drazer","given":"German","non-dropping-particle":"","parse-names":false,"suffix":""}],"container-title":"Langmuir","id":"ITEM-1","issue":"1","issued":{"date-parts":[["2017"]]},"page":"56-65","publisher":"American Chemical Society","title":"Capillary drop penetration method to characterize the liquid wetting of powders","type":"article-journal","volume":"33"},"uris":["http://www.mendeley.com/documents/?uuid=b8554e32-441a-454b-9ec6-67703dbeec39"]}],"mendeley":{"formattedCitation":"&lt;sup&gt;56&lt;/sup&gt;","plainTextFormattedCitation":"56","previouslyFormattedCitation":"&lt;sup&gt;56&lt;/sup&gt;"},"properties":{"noteIndex":0},"schema":"https://github.com/citation-style-language/schema/raw/master/csl-citation.json"}</w:instrText>
      </w:r>
      <w:r w:rsidRPr="00314EC8">
        <w:rPr>
          <w:rFonts w:eastAsiaTheme="minorEastAsia" w:cs="Times New Roman"/>
          <w:szCs w:val="24"/>
          <w:vertAlign w:val="superscript"/>
          <w:lang w:val="en-US"/>
        </w:rPr>
        <w:fldChar w:fldCharType="separate"/>
      </w:r>
      <w:r w:rsidR="00B01517" w:rsidRPr="00B01517">
        <w:rPr>
          <w:rFonts w:eastAsiaTheme="minorEastAsia" w:cs="Times New Roman"/>
          <w:bCs/>
          <w:noProof/>
          <w:szCs w:val="24"/>
          <w:vertAlign w:val="superscript"/>
          <w:lang w:val="en-US"/>
        </w:rPr>
        <w:t>56</w:t>
      </w:r>
      <w:r w:rsidRPr="00314EC8">
        <w:rPr>
          <w:rFonts w:eastAsiaTheme="minorEastAsia" w:cs="Times New Roman"/>
          <w:szCs w:val="24"/>
          <w:vertAlign w:val="superscript"/>
          <w:lang w:val="en-US"/>
        </w:rPr>
        <w:fldChar w:fldCharType="end"/>
      </w:r>
      <w:r w:rsidRPr="00314EC8">
        <w:rPr>
          <w:rFonts w:eastAsiaTheme="minorEastAsia" w:cs="Times New Roman"/>
          <w:szCs w:val="24"/>
          <w:lang w:val="en-US"/>
        </w:rPr>
        <w:t xml:space="preserve">. This method has been proven to work effectively </w:t>
      </w:r>
      <w:r>
        <w:rPr>
          <w:rFonts w:eastAsiaTheme="minorEastAsia" w:cs="Times New Roman"/>
          <w:szCs w:val="24"/>
          <w:lang w:val="en-US"/>
        </w:rPr>
        <w:t>in measuring</w:t>
      </w:r>
      <w:r w:rsidRPr="00314EC8">
        <w:rPr>
          <w:rFonts w:eastAsiaTheme="minorEastAsia" w:cs="Times New Roman"/>
          <w:szCs w:val="24"/>
          <w:lang w:val="en-US"/>
        </w:rPr>
        <w:t xml:space="preserve"> the contact angles</w:t>
      </w:r>
      <w:r>
        <w:rPr>
          <w:rFonts w:eastAsiaTheme="minorEastAsia" w:cs="Times New Roman"/>
          <w:szCs w:val="24"/>
          <w:lang w:val="en-US"/>
        </w:rPr>
        <w:t xml:space="preserve"> of solvents</w:t>
      </w:r>
      <w:r w:rsidRPr="00314EC8">
        <w:rPr>
          <w:rFonts w:eastAsiaTheme="minorEastAsia" w:cs="Times New Roman"/>
          <w:szCs w:val="24"/>
          <w:lang w:val="en-US"/>
        </w:rPr>
        <w:t xml:space="preserve"> on micron sized particles; however, it would be beneficial if this method could also be used on nanoparticles. The Washburn method has been used for determining the contact angle of nanoparticles; however, this method, as noted above, is associated with issues such as channeling. The </w:t>
      </w:r>
      <w:r>
        <w:rPr>
          <w:rFonts w:eastAsiaTheme="minorEastAsia" w:cs="Times New Roman"/>
          <w:szCs w:val="24"/>
          <w:lang w:val="en-US"/>
        </w:rPr>
        <w:t xml:space="preserve">modified </w:t>
      </w:r>
      <w:r w:rsidRPr="00314EC8">
        <w:rPr>
          <w:rFonts w:eastAsiaTheme="minorEastAsia" w:cs="Times New Roman"/>
          <w:szCs w:val="24"/>
          <w:lang w:val="en-US"/>
        </w:rPr>
        <w:t>DPM is a promising technique that will not have wall effects that contribute to channeling issues. DPM</w:t>
      </w:r>
      <w:r>
        <w:rPr>
          <w:rFonts w:eastAsiaTheme="minorEastAsia" w:cs="Times New Roman"/>
          <w:szCs w:val="24"/>
          <w:lang w:val="en-US"/>
        </w:rPr>
        <w:t xml:space="preserve"> as introduced by Liu</w:t>
      </w:r>
      <w:r w:rsidRPr="00314EC8">
        <w:rPr>
          <w:rFonts w:eastAsiaTheme="minorEastAsia" w:cs="Times New Roman"/>
          <w:szCs w:val="24"/>
          <w:lang w:val="en-US"/>
        </w:rPr>
        <w:t xml:space="preserve"> is a technique where digital images are captured to provide a time-dependent assessment of the penetration of the liquids (reference solvent and investigated solvent) into wafer specimens fabricated from compressed powders. This approach combines elements of the SCA and WCR methods, wherein a droplet is dispensed onto a solid surface of interest and advancing contact angles can be observed while the liquid is drawn into the porous material by capillary action. Despite these similarities, DPM differs from the SCA and WCR methods when it comes to data processing and experimental output (in terms of contact angles’ numerical values). A significant difference between the WCR and DPM methods is that the former investigates liquid penetration opposed by gravitational forces while the latter works with gravity</w:t>
      </w:r>
      <w:r w:rsidR="00F72667">
        <w:rPr>
          <w:rFonts w:eastAsiaTheme="minorEastAsia" w:cs="Times New Roman"/>
          <w:szCs w:val="24"/>
          <w:lang w:val="en-US"/>
        </w:rPr>
        <w:t xml:space="preserve">. The </w:t>
      </w:r>
      <w:r w:rsidR="00F72667" w:rsidRPr="00F72667">
        <w:rPr>
          <w:rFonts w:eastAsiaTheme="minorEastAsia" w:cs="Times New Roman"/>
          <w:szCs w:val="24"/>
          <w:lang w:val="en-US"/>
        </w:rPr>
        <w:t>Bond number, which is</w:t>
      </w:r>
      <w:r w:rsidR="00F72667">
        <w:rPr>
          <w:rFonts w:eastAsiaTheme="minorEastAsia" w:cs="Times New Roman"/>
          <w:szCs w:val="24"/>
          <w:lang w:val="en-US"/>
        </w:rPr>
        <w:t xml:space="preserve"> </w:t>
      </w:r>
      <w:r w:rsidR="00F72667" w:rsidRPr="00F72667">
        <w:rPr>
          <w:rFonts w:eastAsiaTheme="minorEastAsia" w:cs="Times New Roman"/>
          <w:szCs w:val="24"/>
          <w:lang w:val="en-US"/>
        </w:rPr>
        <w:t>defined as the ratio of the gravity to capillary forces</w:t>
      </w:r>
      <w:r w:rsidR="00F83CAA">
        <w:rPr>
          <w:rFonts w:eastAsiaTheme="minorEastAsia" w:cs="Times New Roman"/>
          <w:szCs w:val="24"/>
          <w:lang w:val="en-US"/>
        </w:rPr>
        <w:fldChar w:fldCharType="begin" w:fldLock="1"/>
      </w:r>
      <w:r w:rsidR="004871C8">
        <w:rPr>
          <w:rFonts w:eastAsiaTheme="minorEastAsia" w:cs="Times New Roman"/>
          <w:szCs w:val="24"/>
          <w:lang w:val="en-US"/>
        </w:rPr>
        <w:instrText>ADDIN CSL_CITATION {"citationItems":[{"id":"ITEM-1","itemData":{"DOI":"https://doi.org/10.1016/j.petrol.2014.09.018","ISSN":"0920-4105","abstract":"The capillary, viscous and gravity forces were analyzed by performing numerical simulations of gas assisted gravity drainage (GAGD) process. The analysis was conducted using three dimensionless groups: capillary number (the ratio between the viscous and the capillary forces), bond number (the ratio between the gravity and the capillary forces) and gravity number (the ratio between the gravity and the viscous forces). The effect of each number on the oil recovery factor was evaluated. The results that were obtained from the numerical models were also compared with data that were obtained from the physical and visual models, core floods and gravity drainage field projects. The simulation results indicated that before the gas breakthrough, higher oil recoveries were obtained at lower capillary and bond numbers and higher gravity number. In addition, after the gas breakthrough, higher oil recoveries were obtained at higher capillary and bond numbers and lower gravity number. The numerical models are consistent with the reported results in the literature. In conclusion, a numerical simulation with dimensionless groups can be a useful tool to predict the performance of the gas-assisted gravity drainage process.","author":[{"dropping-particle":"","family":"Bautista","given":"Ernesto Vargas","non-dropping-particle":"","parse-names":false,"suffix":""},{"dropping-particle":"","family":"Barillas","given":"Jennys Lourdes Meneses","non-dropping-particle":"","parse-names":false,"suffix":""},{"dropping-particle":"","family":"Dutra","given":"Tarcilio Viana","non-dropping-particle":"","parse-names":false,"suffix":""},{"dropping-particle":"","family":"Mata","given":"Wilson","non-dropping-particle":"da","parse-names":false,"suffix":""}],"container-title":"Journal of Petroleum Science and Engineering","id":"ITEM-1","issued":{"date-parts":[["2014"]]},"page":"754-760","title":"Capillary, viscous and gravity forces in gas-assisted gravity drainage","type":"article-journal","volume":"122"},"uris":["http://www.mendeley.com/documents/?uuid=3e65ce0c-54fe-4a4b-a4c7-fea284416a02"]}],"mendeley":{"formattedCitation":"&lt;sup&gt;57&lt;/sup&gt;","plainTextFormattedCitation":"57","previouslyFormattedCitation":"&lt;sup&gt;57&lt;/sup&gt;"},"properties":{"noteIndex":0},"schema":"https://github.com/citation-style-language/schema/raw/master/csl-citation.json"}</w:instrText>
      </w:r>
      <w:r w:rsidR="00F83CAA">
        <w:rPr>
          <w:rFonts w:eastAsiaTheme="minorEastAsia" w:cs="Times New Roman"/>
          <w:szCs w:val="24"/>
          <w:lang w:val="en-US"/>
        </w:rPr>
        <w:fldChar w:fldCharType="separate"/>
      </w:r>
      <w:r w:rsidR="00B01517" w:rsidRPr="00B01517">
        <w:rPr>
          <w:rFonts w:eastAsiaTheme="minorEastAsia" w:cs="Times New Roman"/>
          <w:noProof/>
          <w:szCs w:val="24"/>
          <w:vertAlign w:val="superscript"/>
          <w:lang w:val="en-US"/>
        </w:rPr>
        <w:t>57</w:t>
      </w:r>
      <w:r w:rsidR="00F83CAA">
        <w:rPr>
          <w:rFonts w:eastAsiaTheme="minorEastAsia" w:cs="Times New Roman"/>
          <w:szCs w:val="24"/>
          <w:lang w:val="en-US"/>
        </w:rPr>
        <w:fldChar w:fldCharType="end"/>
      </w:r>
      <w:r w:rsidR="00F72667">
        <w:rPr>
          <w:rFonts w:eastAsiaTheme="minorEastAsia" w:cs="Times New Roman"/>
          <w:szCs w:val="24"/>
          <w:lang w:val="en-US"/>
        </w:rPr>
        <w:t xml:space="preserve"> (</w:t>
      </w:r>
      <w:r w:rsidR="00F72667">
        <w:rPr>
          <w:rFonts w:eastAsiaTheme="minorEastAsia" w:cs="Times New Roman"/>
          <w:szCs w:val="24"/>
          <w:lang w:val="en-US"/>
        </w:rPr>
        <w:fldChar w:fldCharType="begin"/>
      </w:r>
      <w:r w:rsidR="00F72667">
        <w:rPr>
          <w:rFonts w:eastAsiaTheme="minorEastAsia" w:cs="Times New Roman"/>
          <w:szCs w:val="24"/>
          <w:lang w:val="en-US"/>
        </w:rPr>
        <w:instrText xml:space="preserve"> REF _Ref45050980 \h </w:instrText>
      </w:r>
      <w:r w:rsidR="00F72667">
        <w:rPr>
          <w:rFonts w:eastAsiaTheme="minorEastAsia" w:cs="Times New Roman"/>
          <w:szCs w:val="24"/>
          <w:lang w:val="en-US"/>
        </w:rPr>
      </w:r>
      <w:r w:rsidR="00F72667">
        <w:rPr>
          <w:rFonts w:eastAsiaTheme="minorEastAsia" w:cs="Times New Roman"/>
          <w:szCs w:val="24"/>
          <w:lang w:val="en-US"/>
        </w:rPr>
        <w:fldChar w:fldCharType="separate"/>
      </w:r>
      <w:r w:rsidR="0008188F" w:rsidRPr="00F72667">
        <w:rPr>
          <w:lang w:val="en-US"/>
        </w:rPr>
        <w:t xml:space="preserve">Equation </w:t>
      </w:r>
      <w:r w:rsidR="0008188F">
        <w:rPr>
          <w:noProof/>
          <w:lang w:val="en-US"/>
        </w:rPr>
        <w:t>1</w:t>
      </w:r>
      <w:r w:rsidR="00F72667">
        <w:rPr>
          <w:rFonts w:eastAsiaTheme="minorEastAsia" w:cs="Times New Roman"/>
          <w:szCs w:val="24"/>
          <w:lang w:val="en-US"/>
        </w:rPr>
        <w:fldChar w:fldCharType="end"/>
      </w:r>
      <w:r w:rsidR="00F72667">
        <w:rPr>
          <w:rFonts w:eastAsiaTheme="minorEastAsia" w:cs="Times New Roman"/>
          <w:szCs w:val="24"/>
          <w:lang w:val="en-US"/>
        </w:rPr>
        <w:t>)</w:t>
      </w:r>
      <w:r w:rsidR="009B257C">
        <w:rPr>
          <w:rFonts w:eastAsiaTheme="minorEastAsia" w:cs="Times New Roman"/>
          <w:szCs w:val="24"/>
          <w:lang w:val="en-US"/>
        </w:rPr>
        <w:t>.</w:t>
      </w:r>
      <w:r w:rsidR="00F72667">
        <w:rPr>
          <w:rFonts w:eastAsiaTheme="minorEastAsia" w:cs="Times New Roman"/>
          <w:szCs w:val="24"/>
          <w:lang w:val="en-US"/>
        </w:rPr>
        <w:tab/>
      </w:r>
    </w:p>
    <w:p w14:paraId="7478C6F4" w14:textId="13E5F74A" w:rsidR="00F72667" w:rsidRDefault="00F72667" w:rsidP="00F72667">
      <w:pPr>
        <w:pStyle w:val="Caption"/>
        <w:rPr>
          <w:rFonts w:eastAsiaTheme="minorEastAsia"/>
          <w:b w:val="0"/>
          <w:bCs w:val="0"/>
          <w:color w:val="auto"/>
          <w:szCs w:val="24"/>
          <w:lang w:val="en-US"/>
        </w:rPr>
      </w:pPr>
      <w:bookmarkStart w:id="24" w:name="_Ref45050980"/>
      <w:r w:rsidRPr="00F72667">
        <w:rPr>
          <w:lang w:val="en-US"/>
        </w:rPr>
        <w:t xml:space="preserve">Equation </w:t>
      </w:r>
      <w:r>
        <w:fldChar w:fldCharType="begin"/>
      </w:r>
      <w:r w:rsidRPr="00F72667">
        <w:rPr>
          <w:lang w:val="en-US"/>
        </w:rPr>
        <w:instrText xml:space="preserve"> SEQ Equation \* ARABIC </w:instrText>
      </w:r>
      <w:r>
        <w:fldChar w:fldCharType="separate"/>
      </w:r>
      <w:r w:rsidR="0008188F">
        <w:rPr>
          <w:noProof/>
          <w:lang w:val="en-US"/>
        </w:rPr>
        <w:t>1</w:t>
      </w:r>
      <w:r>
        <w:fldChar w:fldCharType="end"/>
      </w:r>
      <w:bookmarkEnd w:id="24"/>
      <w:r w:rsidRPr="009B257C">
        <w:rPr>
          <w:lang w:val="en-US"/>
        </w:rPr>
        <w:tab/>
      </w:r>
      <w:r w:rsidRPr="009B257C">
        <w:rPr>
          <w:lang w:val="en-US"/>
        </w:rPr>
        <w:tab/>
      </w:r>
      <w:r w:rsidRPr="009B257C">
        <w:rPr>
          <w:lang w:val="en-US"/>
        </w:rPr>
        <w:tab/>
      </w:r>
      <m:oMath>
        <m:sSub>
          <m:sSubPr>
            <m:ctrlPr>
              <w:rPr>
                <w:rFonts w:ascii="Cambria Math" w:eastAsiaTheme="minorEastAsia" w:hAnsi="Cambria Math" w:cs="Times New Roman"/>
                <w:b w:val="0"/>
                <w:bCs w:val="0"/>
                <w:i/>
                <w:color w:val="auto"/>
                <w:szCs w:val="24"/>
                <w:lang w:val="en-US"/>
              </w:rPr>
            </m:ctrlPr>
          </m:sSubPr>
          <m:e>
            <m:r>
              <m:rPr>
                <m:sty m:val="bi"/>
              </m:rPr>
              <w:rPr>
                <w:rFonts w:ascii="Cambria Math" w:eastAsiaTheme="minorEastAsia" w:hAnsi="Cambria Math" w:cs="Times New Roman"/>
                <w:szCs w:val="24"/>
                <w:lang w:val="en-US"/>
              </w:rPr>
              <m:t>B</m:t>
            </m:r>
          </m:e>
          <m:sub>
            <m:r>
              <m:rPr>
                <m:sty m:val="bi"/>
              </m:rPr>
              <w:rPr>
                <w:rFonts w:ascii="Cambria Math" w:eastAsiaTheme="minorEastAsia" w:hAnsi="Cambria Math" w:cs="Times New Roman"/>
                <w:szCs w:val="24"/>
                <w:lang w:val="en-US"/>
              </w:rPr>
              <m:t>o</m:t>
            </m:r>
          </m:sub>
        </m:sSub>
        <m:r>
          <m:rPr>
            <m:sty m:val="bi"/>
          </m:rPr>
          <w:rPr>
            <w:rFonts w:ascii="Cambria Math" w:eastAsiaTheme="minorEastAsia" w:hAnsi="Cambria Math" w:cs="Times New Roman"/>
            <w:szCs w:val="24"/>
            <w:lang w:val="en-US"/>
          </w:rPr>
          <m:t>=</m:t>
        </m:r>
        <m:f>
          <m:fPr>
            <m:ctrlPr>
              <w:rPr>
                <w:rFonts w:ascii="Cambria Math" w:eastAsiaTheme="minorEastAsia" w:hAnsi="Cambria Math" w:cs="Times New Roman"/>
                <w:b w:val="0"/>
                <w:bCs w:val="0"/>
                <w:i/>
                <w:color w:val="auto"/>
                <w:szCs w:val="24"/>
                <w:lang w:val="en-US"/>
              </w:rPr>
            </m:ctrlPr>
          </m:fPr>
          <m:num>
            <m:r>
              <m:rPr>
                <m:sty m:val="bi"/>
              </m:rPr>
              <w:rPr>
                <w:rFonts w:ascii="Cambria Math" w:eastAsiaTheme="minorEastAsia" w:hAnsi="Cambria Math" w:cs="Times New Roman"/>
                <w:szCs w:val="24"/>
                <w:lang w:val="en-US"/>
              </w:rPr>
              <m:t>∆ρgRl</m:t>
            </m:r>
          </m:num>
          <m:den>
            <m:r>
              <m:rPr>
                <m:sty m:val="bi"/>
              </m:rPr>
              <w:rPr>
                <w:rFonts w:ascii="Cambria Math" w:eastAsiaTheme="minorEastAsia" w:hAnsi="Cambria Math" w:cs="Times New Roman"/>
                <w:szCs w:val="24"/>
                <w:lang w:val="en-US"/>
              </w:rPr>
              <m:t>σ</m:t>
            </m:r>
          </m:den>
        </m:f>
      </m:oMath>
    </w:p>
    <w:p w14:paraId="2DA5898E" w14:textId="70394269" w:rsidR="009B257C" w:rsidRPr="009B257C" w:rsidRDefault="009B257C" w:rsidP="009B257C">
      <w:pPr>
        <w:spacing w:line="480" w:lineRule="auto"/>
        <w:rPr>
          <w:lang w:val="en-US"/>
        </w:rPr>
      </w:pPr>
      <w:r>
        <w:rPr>
          <w:lang w:val="en-US"/>
        </w:rPr>
        <w:t xml:space="preserve">Where </w:t>
      </w:r>
      <w:r>
        <w:rPr>
          <w:rFonts w:cs="Times New Roman"/>
          <w:lang w:val="en-US"/>
        </w:rPr>
        <w:t>Δρ</w:t>
      </w:r>
      <w:r>
        <w:rPr>
          <w:lang w:val="en-US"/>
        </w:rPr>
        <w:t xml:space="preserve"> is the difference in densities, g is the gravitational constant, </w:t>
      </w:r>
      <w:r w:rsidRPr="009B257C">
        <w:rPr>
          <w:lang w:val="en-US"/>
        </w:rPr>
        <w:t>l is the core length</w:t>
      </w:r>
      <w:r>
        <w:rPr>
          <w:lang w:val="en-US"/>
        </w:rPr>
        <w:t xml:space="preserve">, </w:t>
      </w:r>
      <w:r w:rsidRPr="009B257C">
        <w:rPr>
          <w:lang w:val="en-US"/>
        </w:rPr>
        <w:t>R is a typical size of a pore</w:t>
      </w:r>
      <w:r>
        <w:rPr>
          <w:lang w:val="en-US"/>
        </w:rPr>
        <w:t xml:space="preserve">, and </w:t>
      </w:r>
      <w:r>
        <w:rPr>
          <w:rFonts w:cs="Times New Roman"/>
          <w:lang w:val="en-US"/>
        </w:rPr>
        <w:t>σ</w:t>
      </w:r>
      <w:r w:rsidRPr="009B257C">
        <w:rPr>
          <w:lang w:val="en-US"/>
        </w:rPr>
        <w:t xml:space="preserve"> </w:t>
      </w:r>
      <w:r w:rsidRPr="009B257C">
        <w:rPr>
          <w:rFonts w:cs="Times New Roman"/>
          <w:lang w:val="en-US"/>
        </w:rPr>
        <w:t>is the interfacial tension</w:t>
      </w:r>
      <w:r>
        <w:rPr>
          <w:rFonts w:cs="Times New Roman"/>
          <w:lang w:val="en-US"/>
        </w:rPr>
        <w:t>.</w:t>
      </w:r>
    </w:p>
    <w:p w14:paraId="6828D4D3" w14:textId="77777777" w:rsidR="001C673D" w:rsidRPr="00314EC8" w:rsidRDefault="001C673D" w:rsidP="001C673D">
      <w:pPr>
        <w:spacing w:after="0" w:line="480" w:lineRule="auto"/>
        <w:ind w:firstLine="708"/>
        <w:jc w:val="both"/>
        <w:rPr>
          <w:rFonts w:eastAsiaTheme="minorEastAsia" w:cs="Times New Roman"/>
          <w:szCs w:val="24"/>
          <w:lang w:val="en-US"/>
        </w:rPr>
      </w:pPr>
      <w:r w:rsidRPr="00314EC8">
        <w:rPr>
          <w:rFonts w:eastAsiaTheme="minorEastAsia" w:cs="Times New Roman"/>
          <w:szCs w:val="24"/>
          <w:lang w:val="en-US"/>
        </w:rPr>
        <w:t>Based on this critical scenario, the purpose of the present study was to examine the applicability of the DPM method reported by Liu et al. for the measurement of contact angles of powders composed of nanoparticles with dimensions that are 2-3 orders of magnitude smaller than those investigated by Liu et al. A wide range of solvents was employed in the present study to allow the determination of their contact angles on powders of nanoparticles of zinc oxide and titanium dioxide. Contact angle results obtained in the present study (modified-DPM) were compared to contact angle values previously reported in the literature for particles of similar compositions and size-distributions as determined using a variety of methodologies.</w:t>
      </w:r>
    </w:p>
    <w:p w14:paraId="0179875C" w14:textId="77777777" w:rsidR="001C673D" w:rsidRDefault="001C673D" w:rsidP="00830771">
      <w:pPr>
        <w:pStyle w:val="Heading3"/>
      </w:pPr>
      <w:bookmarkStart w:id="25" w:name="_Toc45837540"/>
      <w:r w:rsidRPr="00865A43">
        <w:t>Theory</w:t>
      </w:r>
      <w:bookmarkEnd w:id="25"/>
    </w:p>
    <w:p w14:paraId="7D044BF3" w14:textId="428342EE" w:rsidR="001C673D" w:rsidRDefault="001C673D" w:rsidP="001C673D">
      <w:pPr>
        <w:spacing w:after="0" w:line="480" w:lineRule="auto"/>
        <w:ind w:firstLine="708"/>
        <w:jc w:val="both"/>
        <w:rPr>
          <w:rFonts w:cs="Times New Roman"/>
          <w:szCs w:val="24"/>
          <w:lang w:val="en-US"/>
        </w:rPr>
      </w:pPr>
      <w:r>
        <w:rPr>
          <w:rFonts w:cs="Times New Roman"/>
          <w:szCs w:val="24"/>
          <w:lang w:val="en-US"/>
        </w:rPr>
        <w:t>The derivation of the Drop Penetration Method and equations involved are explained in details by Liu et al.</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10.1021/acs.langmuir.6b03589","ISBN":"0743-7463","author":[{"dropping-particle":"","family":"Liu","given":"Zhanjie","non-dropping-particle":"","parse-names":false,"suffix":""},{"dropping-particle":"","family":"Wang","given":"Yifan","non-dropping-particle":"","parse-names":false,"suffix":""},{"dropping-particle":"","family":"Muzzio","given":"Fernando J","non-dropping-particle":"","parse-names":false,"suffix":""},{"dropping-particle":"","family":"Callegari","given":"Gerardo","non-dropping-particle":"","parse-names":false,"suffix":""},{"dropping-particle":"","family":"Drazer","given":"German","non-dropping-particle":"","parse-names":false,"suffix":""}],"container-title":"Langmuir","id":"ITEM-1","issue":"1","issued":{"date-parts":[["2017"]]},"page":"56-65","publisher":"American Chemical Society","title":"Capillary drop penetration method to characterize the liquid wetting of powders","type":"article-journal","volume":"33"},"uris":["http://www.mendeley.com/documents/?uuid=b8554e32-441a-454b-9ec6-67703dbeec39"]}],"mendeley":{"formattedCitation":"&lt;sup&gt;56&lt;/sup&gt;","plainTextFormattedCitation":"56","previouslyFormattedCitation":"&lt;sup&gt;56&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noProof/>
          <w:szCs w:val="24"/>
          <w:vertAlign w:val="superscript"/>
          <w:lang w:val="en-US"/>
        </w:rPr>
        <w:t>56</w:t>
      </w:r>
      <w:r>
        <w:rPr>
          <w:rStyle w:val="FootnoteReference"/>
          <w:rFonts w:cs="Times New Roman"/>
          <w:szCs w:val="24"/>
          <w:lang w:val="en-US"/>
        </w:rPr>
        <w:fldChar w:fldCharType="end"/>
      </w:r>
      <w:r>
        <w:rPr>
          <w:rFonts w:cs="Times New Roman"/>
          <w:szCs w:val="24"/>
          <w:lang w:val="en-US"/>
        </w:rPr>
        <w:t>. Scaling and nondimensionalization of the governing equations led to a relationship for the contact angle, as demonstrated below by the final derived equation for contact angle determination:</w:t>
      </w:r>
      <w:r w:rsidR="00092402">
        <w:rPr>
          <w:rFonts w:cs="Times New Roman"/>
          <w:szCs w:val="24"/>
          <w:lang w:val="en-US"/>
        </w:rPr>
        <w:t xml:space="preserve"> </w:t>
      </w:r>
    </w:p>
    <w:p w14:paraId="28E292F7" w14:textId="7F6AF7CB" w:rsidR="001C673D" w:rsidRPr="001C673D" w:rsidRDefault="00092402" w:rsidP="004F74A6">
      <w:pPr>
        <w:pStyle w:val="Caption"/>
        <w:rPr>
          <w:rFonts w:cs="Times New Roman"/>
          <w:szCs w:val="24"/>
          <w:lang w:val="en-US"/>
        </w:rPr>
      </w:pPr>
      <w:bookmarkStart w:id="26" w:name="_Ref42538842"/>
      <w:r w:rsidRPr="00FE5369">
        <w:rPr>
          <w:lang w:val="en-US"/>
        </w:rPr>
        <w:t xml:space="preserve">Equation </w:t>
      </w:r>
      <w:r>
        <w:fldChar w:fldCharType="begin"/>
      </w:r>
      <w:r w:rsidRPr="00FE5369">
        <w:rPr>
          <w:lang w:val="en-US"/>
        </w:rPr>
        <w:instrText xml:space="preserve"> SEQ Equation \* ARABIC </w:instrText>
      </w:r>
      <w:r>
        <w:fldChar w:fldCharType="separate"/>
      </w:r>
      <w:r w:rsidR="0008188F">
        <w:rPr>
          <w:noProof/>
          <w:lang w:val="en-US"/>
        </w:rPr>
        <w:t>2</w:t>
      </w:r>
      <w:r>
        <w:fldChar w:fldCharType="end"/>
      </w:r>
      <w:bookmarkEnd w:id="26"/>
      <w:r w:rsidRPr="00FE5369">
        <w:rPr>
          <w:lang w:val="en-US"/>
        </w:rPr>
        <w:tab/>
      </w:r>
      <w:r w:rsidRPr="00FE5369">
        <w:rPr>
          <w:lang w:val="en-US"/>
        </w:rPr>
        <w:tab/>
      </w:r>
      <m:oMath>
        <m:func>
          <m:funcPr>
            <m:ctrlPr>
              <w:rPr>
                <w:rFonts w:ascii="Cambria Math" w:hAnsi="Cambria Math" w:cs="Times New Roman"/>
                <w:szCs w:val="24"/>
                <w:lang w:val="en-US"/>
              </w:rPr>
            </m:ctrlPr>
          </m:funcPr>
          <m:fName>
            <m:r>
              <m:rPr>
                <m:sty m:val="b"/>
              </m:rPr>
              <w:rPr>
                <w:rFonts w:ascii="Cambria Math" w:hAnsi="Cambria Math" w:cs="Times New Roman"/>
                <w:szCs w:val="24"/>
                <w:lang w:val="en-US"/>
              </w:rPr>
              <m:t>cos</m:t>
            </m:r>
          </m:fName>
          <m:e>
            <m:d>
              <m:dPr>
                <m:ctrlPr>
                  <w:rPr>
                    <w:rFonts w:ascii="Cambria Math" w:hAnsi="Cambria Math" w:cs="Times New Roman"/>
                    <w:szCs w:val="24"/>
                    <w:lang w:val="en-US"/>
                  </w:rPr>
                </m:ctrlPr>
              </m:dPr>
              <m:e>
                <m:sSub>
                  <m:sSubPr>
                    <m:ctrlPr>
                      <w:rPr>
                        <w:rFonts w:ascii="Cambria Math" w:hAnsi="Cambria Math" w:cs="Times New Roman"/>
                        <w:szCs w:val="24"/>
                        <w:lang w:val="en-US"/>
                      </w:rPr>
                    </m:ctrlPr>
                  </m:sSubPr>
                  <m:e>
                    <m:r>
                      <m:rPr>
                        <m:sty m:val="b"/>
                      </m:rPr>
                      <w:rPr>
                        <w:rFonts w:ascii="Cambria Math" w:hAnsi="Cambria Math" w:cs="Times New Roman"/>
                        <w:szCs w:val="24"/>
                        <w:lang w:val="en-US"/>
                      </w:rPr>
                      <m:t>θ</m:t>
                    </m:r>
                  </m:e>
                  <m:sub>
                    <m:r>
                      <m:rPr>
                        <m:sty m:val="b"/>
                      </m:rPr>
                      <w:rPr>
                        <w:rFonts w:ascii="Cambria Math" w:hAnsi="Cambria Math" w:cs="Times New Roman"/>
                        <w:szCs w:val="24"/>
                        <w:lang w:val="en-US"/>
                      </w:rPr>
                      <m:t>T</m:t>
                    </m:r>
                  </m:sub>
                </m:sSub>
              </m:e>
            </m:d>
          </m:e>
        </m:func>
        <m:r>
          <m:rPr>
            <m:sty m:val="b"/>
          </m:rPr>
          <w:rPr>
            <w:rFonts w:ascii="Cambria Math" w:hAnsi="Cambria Math" w:cs="Times New Roman"/>
            <w:szCs w:val="24"/>
            <w:lang w:val="en-US"/>
          </w:rPr>
          <m:t>=</m:t>
        </m:r>
        <m:f>
          <m:fPr>
            <m:ctrlPr>
              <w:rPr>
                <w:rFonts w:ascii="Cambria Math" w:hAnsi="Cambria Math" w:cs="Times New Roman"/>
                <w:szCs w:val="24"/>
                <w:lang w:val="en-US"/>
              </w:rPr>
            </m:ctrlPr>
          </m:fPr>
          <m:num>
            <m:sSub>
              <m:sSubPr>
                <m:ctrlPr>
                  <w:rPr>
                    <w:rFonts w:ascii="Cambria Math" w:hAnsi="Cambria Math" w:cs="Times New Roman"/>
                    <w:szCs w:val="24"/>
                    <w:lang w:val="en-US"/>
                  </w:rPr>
                </m:ctrlPr>
              </m:sSubPr>
              <m:e>
                <m:r>
                  <m:rPr>
                    <m:sty m:val="b"/>
                  </m:rPr>
                  <w:rPr>
                    <w:rFonts w:ascii="Cambria Math" w:hAnsi="Cambria Math" w:cs="Times New Roman"/>
                    <w:szCs w:val="24"/>
                    <w:lang w:val="en-US"/>
                  </w:rPr>
                  <m:t>τ</m:t>
                </m:r>
              </m:e>
              <m:sub>
                <m:r>
                  <m:rPr>
                    <m:sty m:val="b"/>
                  </m:rPr>
                  <w:rPr>
                    <w:rFonts w:ascii="Cambria Math" w:hAnsi="Cambria Math" w:cs="Times New Roman"/>
                    <w:szCs w:val="24"/>
                    <w:lang w:val="en-US"/>
                  </w:rPr>
                  <m:t>αR</m:t>
                </m:r>
              </m:sub>
            </m:sSub>
          </m:num>
          <m:den>
            <m:sSub>
              <m:sSubPr>
                <m:ctrlPr>
                  <w:rPr>
                    <w:rFonts w:ascii="Cambria Math" w:hAnsi="Cambria Math" w:cs="Times New Roman"/>
                    <w:szCs w:val="24"/>
                    <w:lang w:val="en-US"/>
                  </w:rPr>
                </m:ctrlPr>
              </m:sSubPr>
              <m:e>
                <m:r>
                  <m:rPr>
                    <m:sty m:val="b"/>
                  </m:rPr>
                  <w:rPr>
                    <w:rFonts w:ascii="Cambria Math" w:hAnsi="Cambria Math" w:cs="Times New Roman"/>
                    <w:szCs w:val="24"/>
                    <w:lang w:val="en-US"/>
                  </w:rPr>
                  <m:t>τ</m:t>
                </m:r>
              </m:e>
              <m:sub>
                <m:r>
                  <m:rPr>
                    <m:sty m:val="b"/>
                  </m:rPr>
                  <w:rPr>
                    <w:rFonts w:ascii="Cambria Math" w:hAnsi="Cambria Math" w:cs="Times New Roman"/>
                    <w:szCs w:val="24"/>
                    <w:lang w:val="en-US"/>
                  </w:rPr>
                  <m:t>αT</m:t>
                </m:r>
              </m:sub>
            </m:sSub>
          </m:den>
        </m:f>
        <m:f>
          <m:fPr>
            <m:ctrlPr>
              <w:rPr>
                <w:rFonts w:ascii="Cambria Math" w:hAnsi="Cambria Math" w:cs="Times New Roman"/>
                <w:szCs w:val="24"/>
                <w:lang w:val="en-US"/>
              </w:rPr>
            </m:ctrlPr>
          </m:fPr>
          <m:num>
            <m:sSub>
              <m:sSubPr>
                <m:ctrlPr>
                  <w:rPr>
                    <w:rFonts w:ascii="Cambria Math" w:hAnsi="Cambria Math" w:cs="Times New Roman"/>
                    <w:szCs w:val="24"/>
                    <w:lang w:val="en-US"/>
                  </w:rPr>
                </m:ctrlPr>
              </m:sSubPr>
              <m:e>
                <m:r>
                  <m:rPr>
                    <m:sty m:val="b"/>
                  </m:rPr>
                  <w:rPr>
                    <w:rFonts w:ascii="Cambria Math" w:hAnsi="Cambria Math" w:cs="Times New Roman"/>
                    <w:szCs w:val="24"/>
                    <w:lang w:val="en-US"/>
                  </w:rPr>
                  <m:t>μ</m:t>
                </m:r>
              </m:e>
              <m:sub>
                <m:r>
                  <m:rPr>
                    <m:sty m:val="b"/>
                  </m:rPr>
                  <w:rPr>
                    <w:rFonts w:ascii="Cambria Math" w:hAnsi="Cambria Math" w:cs="Times New Roman"/>
                    <w:szCs w:val="24"/>
                    <w:lang w:val="en-US"/>
                  </w:rPr>
                  <m:t>T</m:t>
                </m:r>
              </m:sub>
            </m:sSub>
          </m:num>
          <m:den>
            <m:sSub>
              <m:sSubPr>
                <m:ctrlPr>
                  <w:rPr>
                    <w:rFonts w:ascii="Cambria Math" w:hAnsi="Cambria Math" w:cs="Times New Roman"/>
                    <w:szCs w:val="24"/>
                    <w:lang w:val="en-US"/>
                  </w:rPr>
                </m:ctrlPr>
              </m:sSubPr>
              <m:e>
                <m:r>
                  <m:rPr>
                    <m:sty m:val="b"/>
                  </m:rPr>
                  <w:rPr>
                    <w:rFonts w:ascii="Cambria Math" w:hAnsi="Cambria Math" w:cs="Times New Roman"/>
                    <w:szCs w:val="24"/>
                    <w:lang w:val="en-US"/>
                  </w:rPr>
                  <m:t>μ</m:t>
                </m:r>
              </m:e>
              <m:sub>
                <m:r>
                  <m:rPr>
                    <m:sty m:val="b"/>
                  </m:rPr>
                  <w:rPr>
                    <w:rFonts w:ascii="Cambria Math" w:hAnsi="Cambria Math" w:cs="Times New Roman"/>
                    <w:szCs w:val="24"/>
                    <w:lang w:val="en-US"/>
                  </w:rPr>
                  <m:t>R</m:t>
                </m:r>
              </m:sub>
            </m:sSub>
          </m:den>
        </m:f>
        <m:sSup>
          <m:sSupPr>
            <m:ctrlPr>
              <w:rPr>
                <w:rFonts w:ascii="Cambria Math" w:hAnsi="Cambria Math" w:cs="Times New Roman"/>
                <w:szCs w:val="24"/>
                <w:lang w:val="en-US"/>
              </w:rPr>
            </m:ctrlPr>
          </m:sSupPr>
          <m:e>
            <m:d>
              <m:dPr>
                <m:ctrlPr>
                  <w:rPr>
                    <w:rFonts w:ascii="Cambria Math" w:hAnsi="Cambria Math" w:cs="Times New Roman"/>
                    <w:szCs w:val="24"/>
                    <w:lang w:val="en-US"/>
                  </w:rPr>
                </m:ctrlPr>
              </m:dPr>
              <m:e>
                <m:f>
                  <m:fPr>
                    <m:ctrlPr>
                      <w:rPr>
                        <w:rFonts w:ascii="Cambria Math" w:hAnsi="Cambria Math" w:cs="Times New Roman"/>
                        <w:szCs w:val="24"/>
                        <w:lang w:val="en-US"/>
                      </w:rPr>
                    </m:ctrlPr>
                  </m:fPr>
                  <m:num>
                    <m:sSub>
                      <m:sSubPr>
                        <m:ctrlPr>
                          <w:rPr>
                            <w:rFonts w:ascii="Cambria Math" w:hAnsi="Cambria Math" w:cs="Times New Roman"/>
                            <w:szCs w:val="24"/>
                            <w:lang w:val="en-US"/>
                          </w:rPr>
                        </m:ctrlPr>
                      </m:sSubPr>
                      <m:e>
                        <m:r>
                          <m:rPr>
                            <m:sty m:val="b"/>
                          </m:rPr>
                          <w:rPr>
                            <w:rFonts w:ascii="Cambria Math" w:hAnsi="Cambria Math" w:cs="Times New Roman"/>
                            <w:szCs w:val="24"/>
                            <w:lang w:val="en-US"/>
                          </w:rPr>
                          <m:t>r</m:t>
                        </m:r>
                      </m:e>
                      <m:sub>
                        <m:r>
                          <m:rPr>
                            <m:sty m:val="b"/>
                          </m:rPr>
                          <w:rPr>
                            <w:rFonts w:ascii="Cambria Math" w:hAnsi="Cambria Math" w:cs="Times New Roman"/>
                            <w:szCs w:val="24"/>
                            <w:lang w:val="en-US"/>
                          </w:rPr>
                          <m:t>cT</m:t>
                        </m:r>
                      </m:sub>
                    </m:sSub>
                  </m:num>
                  <m:den>
                    <m:sSub>
                      <m:sSubPr>
                        <m:ctrlPr>
                          <w:rPr>
                            <w:rFonts w:ascii="Cambria Math" w:hAnsi="Cambria Math" w:cs="Times New Roman"/>
                            <w:szCs w:val="24"/>
                            <w:lang w:val="en-US"/>
                          </w:rPr>
                        </m:ctrlPr>
                      </m:sSubPr>
                      <m:e>
                        <m:r>
                          <m:rPr>
                            <m:sty m:val="b"/>
                          </m:rPr>
                          <w:rPr>
                            <w:rFonts w:ascii="Cambria Math" w:hAnsi="Cambria Math" w:cs="Times New Roman"/>
                            <w:szCs w:val="24"/>
                            <w:lang w:val="en-US"/>
                          </w:rPr>
                          <m:t>r</m:t>
                        </m:r>
                      </m:e>
                      <m:sub>
                        <m:r>
                          <m:rPr>
                            <m:sty m:val="b"/>
                          </m:rPr>
                          <w:rPr>
                            <w:rFonts w:ascii="Cambria Math" w:hAnsi="Cambria Math" w:cs="Times New Roman"/>
                            <w:szCs w:val="24"/>
                            <w:lang w:val="en-US"/>
                          </w:rPr>
                          <m:t>cR</m:t>
                        </m:r>
                      </m:sub>
                    </m:sSub>
                  </m:den>
                </m:f>
              </m:e>
            </m:d>
          </m:e>
          <m:sup>
            <m:r>
              <m:rPr>
                <m:sty m:val="b"/>
              </m:rPr>
              <w:rPr>
                <w:rFonts w:ascii="Cambria Math" w:hAnsi="Cambria Math" w:cs="Times New Roman"/>
                <w:szCs w:val="24"/>
                <w:lang w:val="en-US"/>
              </w:rPr>
              <m:t>2</m:t>
            </m:r>
          </m:sup>
        </m:sSup>
        <m:f>
          <m:fPr>
            <m:ctrlPr>
              <w:rPr>
                <w:rFonts w:ascii="Cambria Math" w:hAnsi="Cambria Math" w:cs="Times New Roman"/>
                <w:szCs w:val="24"/>
                <w:lang w:val="en-US"/>
              </w:rPr>
            </m:ctrlPr>
          </m:fPr>
          <m:num>
            <m:sSub>
              <m:sSubPr>
                <m:ctrlPr>
                  <w:rPr>
                    <w:rFonts w:ascii="Cambria Math" w:hAnsi="Cambria Math" w:cs="Times New Roman"/>
                    <w:szCs w:val="24"/>
                    <w:lang w:val="en-US"/>
                  </w:rPr>
                </m:ctrlPr>
              </m:sSubPr>
              <m:e>
                <m:r>
                  <m:rPr>
                    <m:sty m:val="b"/>
                  </m:rPr>
                  <w:rPr>
                    <w:rFonts w:ascii="Cambria Math" w:hAnsi="Cambria Math" w:cs="Times New Roman"/>
                    <w:szCs w:val="24"/>
                    <w:lang w:val="en-US"/>
                  </w:rPr>
                  <m:t>γ</m:t>
                </m:r>
              </m:e>
              <m:sub>
                <m:r>
                  <m:rPr>
                    <m:sty m:val="b"/>
                  </m:rPr>
                  <w:rPr>
                    <w:rFonts w:ascii="Cambria Math" w:hAnsi="Cambria Math" w:cs="Times New Roman"/>
                    <w:szCs w:val="24"/>
                    <w:lang w:val="en-US"/>
                  </w:rPr>
                  <m:t>R</m:t>
                </m:r>
              </m:sub>
            </m:sSub>
          </m:num>
          <m:den>
            <m:sSub>
              <m:sSubPr>
                <m:ctrlPr>
                  <w:rPr>
                    <w:rFonts w:ascii="Cambria Math" w:hAnsi="Cambria Math" w:cs="Times New Roman"/>
                    <w:szCs w:val="24"/>
                    <w:lang w:val="en-US"/>
                  </w:rPr>
                </m:ctrlPr>
              </m:sSubPr>
              <m:e>
                <m:r>
                  <m:rPr>
                    <m:sty m:val="b"/>
                  </m:rPr>
                  <w:rPr>
                    <w:rFonts w:ascii="Cambria Math" w:hAnsi="Cambria Math" w:cs="Times New Roman"/>
                    <w:szCs w:val="24"/>
                    <w:lang w:val="en-US"/>
                  </w:rPr>
                  <m:t>γ</m:t>
                </m:r>
              </m:e>
              <m:sub>
                <m:r>
                  <m:rPr>
                    <m:sty m:val="b"/>
                  </m:rPr>
                  <w:rPr>
                    <w:rFonts w:ascii="Cambria Math" w:hAnsi="Cambria Math" w:cs="Times New Roman"/>
                    <w:szCs w:val="24"/>
                    <w:lang w:val="en-US"/>
                  </w:rPr>
                  <m:t>T</m:t>
                </m:r>
              </m:sub>
            </m:sSub>
          </m:den>
        </m:f>
        <m:r>
          <m:rPr>
            <m:sty m:val="b"/>
          </m:rPr>
          <w:rPr>
            <w:rFonts w:ascii="Cambria Math" w:hAnsi="Cambria Math" w:cs="Times New Roman"/>
            <w:szCs w:val="24"/>
            <w:lang w:val="en-US"/>
          </w:rPr>
          <m:t xml:space="preserve"> </m:t>
        </m:r>
      </m:oMath>
      <w:r w:rsidR="001C673D" w:rsidRPr="001C673D">
        <w:rPr>
          <w:rFonts w:eastAsiaTheme="minorEastAsia" w:cs="Times New Roman"/>
          <w:szCs w:val="24"/>
          <w:lang w:val="en-US"/>
        </w:rPr>
        <w:t xml:space="preserve"> </w:t>
      </w:r>
    </w:p>
    <w:p w14:paraId="2F0D711C" w14:textId="216783F3" w:rsidR="001C673D" w:rsidRDefault="001C673D" w:rsidP="00FE5369">
      <w:pPr>
        <w:spacing w:after="240" w:line="480" w:lineRule="auto"/>
        <w:ind w:firstLine="708"/>
        <w:jc w:val="both"/>
        <w:rPr>
          <w:rFonts w:cs="Times New Roman"/>
          <w:szCs w:val="24"/>
          <w:lang w:val="en-US"/>
        </w:rPr>
      </w:pPr>
      <w:r>
        <w:rPr>
          <w:rFonts w:cs="Times New Roman"/>
          <w:szCs w:val="24"/>
          <w:lang w:val="en-US"/>
        </w:rPr>
        <w:t>w</w:t>
      </w:r>
      <w:r w:rsidRPr="00BD55A6">
        <w:rPr>
          <w:rFonts w:cs="Times New Roman"/>
          <w:szCs w:val="24"/>
          <w:lang w:val="en-US"/>
        </w:rPr>
        <w:t>here τ</w:t>
      </w:r>
      <w:r w:rsidRPr="006A634B">
        <w:rPr>
          <w:rFonts w:cs="Times New Roman"/>
          <w:szCs w:val="24"/>
          <w:vertAlign w:val="subscript"/>
          <w:lang w:val="en-US"/>
        </w:rPr>
        <w:t>α</w:t>
      </w:r>
      <w:r>
        <w:rPr>
          <w:rFonts w:cs="Times New Roman"/>
          <w:szCs w:val="24"/>
          <w:vertAlign w:val="subscript"/>
          <w:lang w:val="en-US"/>
        </w:rPr>
        <w:t xml:space="preserve"> </w:t>
      </w:r>
      <w:r>
        <w:rPr>
          <w:rFonts w:cs="Times New Roman"/>
          <w:szCs w:val="24"/>
          <w:lang w:val="en-US"/>
        </w:rPr>
        <w:t>represents the</w:t>
      </w:r>
      <w:r w:rsidRPr="00BD55A6">
        <w:rPr>
          <w:rFonts w:cs="Times New Roman"/>
          <w:szCs w:val="24"/>
          <w:lang w:val="en-US"/>
        </w:rPr>
        <w:t xml:space="preserve"> penetration time</w:t>
      </w:r>
      <w:r>
        <w:rPr>
          <w:rFonts w:cs="Times New Roman"/>
          <w:szCs w:val="24"/>
          <w:lang w:val="en-US"/>
        </w:rPr>
        <w:t>s</w:t>
      </w:r>
      <w:r w:rsidRPr="00BD55A6">
        <w:rPr>
          <w:rFonts w:cs="Times New Roman"/>
          <w:szCs w:val="24"/>
          <w:lang w:val="en-US"/>
        </w:rPr>
        <w:t xml:space="preserve">, μ </w:t>
      </w:r>
      <w:r>
        <w:rPr>
          <w:rFonts w:cs="Times New Roman"/>
          <w:szCs w:val="24"/>
          <w:lang w:val="en-US"/>
        </w:rPr>
        <w:t>represents</w:t>
      </w:r>
      <w:r w:rsidRPr="00BD55A6">
        <w:rPr>
          <w:rFonts w:cs="Times New Roman"/>
          <w:szCs w:val="24"/>
          <w:lang w:val="en-US"/>
        </w:rPr>
        <w:t xml:space="preserve"> viscosi</w:t>
      </w:r>
      <w:r>
        <w:rPr>
          <w:rFonts w:cs="Times New Roman"/>
          <w:szCs w:val="24"/>
          <w:lang w:val="en-US"/>
        </w:rPr>
        <w:t>ty</w:t>
      </w:r>
      <w:r w:rsidRPr="00BD55A6">
        <w:rPr>
          <w:rFonts w:cs="Times New Roman"/>
          <w:szCs w:val="24"/>
          <w:lang w:val="en-US"/>
        </w:rPr>
        <w:t>, r</w:t>
      </w:r>
      <w:r w:rsidRPr="006A634B">
        <w:rPr>
          <w:rFonts w:cs="Times New Roman"/>
          <w:szCs w:val="24"/>
          <w:vertAlign w:val="subscript"/>
          <w:lang w:val="en-US"/>
        </w:rPr>
        <w:t>c</w:t>
      </w:r>
      <w:r w:rsidRPr="00BD55A6">
        <w:rPr>
          <w:rFonts w:cs="Times New Roman"/>
          <w:szCs w:val="24"/>
          <w:lang w:val="en-US"/>
        </w:rPr>
        <w:t xml:space="preserve"> </w:t>
      </w:r>
      <w:r>
        <w:rPr>
          <w:rFonts w:cs="Times New Roman"/>
          <w:szCs w:val="24"/>
          <w:lang w:val="en-US"/>
        </w:rPr>
        <w:t>represents the</w:t>
      </w:r>
      <w:r w:rsidRPr="00BD55A6">
        <w:rPr>
          <w:rFonts w:cs="Times New Roman"/>
          <w:szCs w:val="24"/>
          <w:lang w:val="en-US"/>
        </w:rPr>
        <w:t xml:space="preserve"> contact radi</w:t>
      </w:r>
      <w:r>
        <w:rPr>
          <w:rFonts w:cs="Times New Roman"/>
          <w:szCs w:val="24"/>
          <w:lang w:val="en-US"/>
        </w:rPr>
        <w:t>us</w:t>
      </w:r>
      <w:r w:rsidRPr="00BD55A6">
        <w:rPr>
          <w:rFonts w:cs="Times New Roman"/>
          <w:szCs w:val="24"/>
          <w:lang w:val="en-US"/>
        </w:rPr>
        <w:t xml:space="preserve">, </w:t>
      </w:r>
      <w:r w:rsidRPr="0036037C">
        <w:rPr>
          <w:rFonts w:cs="Times New Roman"/>
          <w:szCs w:val="24"/>
          <w:lang w:val="en-US"/>
        </w:rPr>
        <w:t>γ</w:t>
      </w:r>
      <w:r w:rsidRPr="00BD55A6">
        <w:rPr>
          <w:rFonts w:cs="Times New Roman"/>
          <w:szCs w:val="24"/>
          <w:lang w:val="en-US"/>
        </w:rPr>
        <w:t xml:space="preserve"> </w:t>
      </w:r>
      <w:r>
        <w:rPr>
          <w:rFonts w:cs="Times New Roman"/>
          <w:szCs w:val="24"/>
          <w:lang w:val="en-US"/>
        </w:rPr>
        <w:t>represents</w:t>
      </w:r>
      <w:r w:rsidRPr="00BD55A6">
        <w:rPr>
          <w:rFonts w:cs="Times New Roman"/>
          <w:szCs w:val="24"/>
          <w:lang w:val="en-US"/>
        </w:rPr>
        <w:t xml:space="preserve"> surface tension</w:t>
      </w:r>
      <w:r>
        <w:rPr>
          <w:rFonts w:cs="Times New Roman"/>
          <w:szCs w:val="24"/>
          <w:lang w:val="en-US"/>
        </w:rPr>
        <w:t xml:space="preserve">, and subscripts </w:t>
      </w:r>
      <w:r w:rsidRPr="00BD55A6">
        <w:rPr>
          <w:rFonts w:cs="Times New Roman"/>
          <w:szCs w:val="24"/>
          <w:lang w:val="en-US"/>
        </w:rPr>
        <w:t xml:space="preserve">R </w:t>
      </w:r>
      <w:r>
        <w:rPr>
          <w:rFonts w:cs="Times New Roman"/>
          <w:szCs w:val="24"/>
          <w:lang w:val="en-US"/>
        </w:rPr>
        <w:t xml:space="preserve">and T </w:t>
      </w:r>
      <w:r w:rsidRPr="00BD55A6">
        <w:rPr>
          <w:rFonts w:cs="Times New Roman"/>
          <w:szCs w:val="24"/>
          <w:lang w:val="en-US"/>
        </w:rPr>
        <w:t>represen</w:t>
      </w:r>
      <w:r>
        <w:rPr>
          <w:rFonts w:cs="Times New Roman"/>
          <w:szCs w:val="24"/>
          <w:lang w:val="en-US"/>
        </w:rPr>
        <w:t>t</w:t>
      </w:r>
      <w:r w:rsidRPr="00BD55A6">
        <w:rPr>
          <w:rFonts w:cs="Times New Roman"/>
          <w:szCs w:val="24"/>
          <w:lang w:val="en-US"/>
        </w:rPr>
        <w:t xml:space="preserve"> the reference liquid and test liquid</w:t>
      </w:r>
      <w:r>
        <w:rPr>
          <w:rFonts w:cs="Times New Roman"/>
          <w:szCs w:val="24"/>
          <w:lang w:val="en-US"/>
        </w:rPr>
        <w:t>, respectively</w:t>
      </w:r>
      <w:r>
        <w:rPr>
          <w:rStyle w:val="FootnoteReference"/>
        </w:rPr>
        <w:fldChar w:fldCharType="begin" w:fldLock="1"/>
      </w:r>
      <w:r w:rsidR="004871C8">
        <w:rPr>
          <w:lang w:val="en-US"/>
        </w:rPr>
        <w:instrText>ADDIN CSL_CITATION {"citationItems":[{"id":"ITEM-1","itemData":{"DOI":"10.1021/acs.langmuir.6b03589","ISBN":"0743-7463","author":[{"dropping-particle":"","family":"Liu","given":"Zhanjie","non-dropping-particle":"","parse-names":false,"suffix":""},{"dropping-particle":"","family":"Wang","given":"Yifan","non-dropping-particle":"","parse-names":false,"suffix":""},{"dropping-particle":"","family":"Muzzio","given":"Fernando J","non-dropping-particle":"","parse-names":false,"suffix":""},{"dropping-particle":"","family":"Callegari","given":"Gerardo","non-dropping-particle":"","parse-names":false,"suffix":""},{"dropping-particle":"","family":"Drazer","given":"German","non-dropping-particle":"","parse-names":false,"suffix":""}],"container-title":"Langmuir","id":"ITEM-1","issue":"1","issued":{"date-parts":[["2017"]]},"page":"56-65","publisher":"American Chemical Society","title":"Capillary drop penetration method to characterize the liquid wetting of powders","type":"article-journal","volume":"33"},"uris":["http://www.mendeley.com/documents/?uuid=b8554e32-441a-454b-9ec6-67703dbeec39"]}],"mendeley":{"formattedCitation":"&lt;sup&gt;56&lt;/sup&gt;","plainTextFormattedCitation":"56","previouslyFormattedCitation":"&lt;sup&gt;56&lt;/sup&gt;"},"properties":{"noteIndex":0},"schema":"https://github.com/citation-style-language/schema/raw/master/csl-citation.json"}</w:instrText>
      </w:r>
      <w:r>
        <w:rPr>
          <w:rStyle w:val="FootnoteReference"/>
        </w:rPr>
        <w:fldChar w:fldCharType="separate"/>
      </w:r>
      <w:r w:rsidR="00B01517" w:rsidRPr="00B01517">
        <w:rPr>
          <w:noProof/>
          <w:vertAlign w:val="superscript"/>
          <w:lang w:val="en-US"/>
        </w:rPr>
        <w:t>56</w:t>
      </w:r>
      <w:r>
        <w:rPr>
          <w:rStyle w:val="FootnoteReference"/>
        </w:rPr>
        <w:fldChar w:fldCharType="end"/>
      </w:r>
      <w:r>
        <w:rPr>
          <w:rFonts w:cs="Times New Roman"/>
          <w:szCs w:val="24"/>
          <w:lang w:val="en-US"/>
        </w:rPr>
        <w:t xml:space="preserve">. Subscript </w:t>
      </w:r>
      <w:r>
        <w:rPr>
          <w:rFonts w:ascii="Symbol" w:eastAsia="Symbol" w:hAnsi="Symbol" w:cs="Symbol"/>
          <w:szCs w:val="24"/>
          <w:lang w:val="en-US"/>
        </w:rPr>
        <w:t></w:t>
      </w:r>
      <w:r>
        <w:rPr>
          <w:rFonts w:cs="Times New Roman"/>
          <w:szCs w:val="24"/>
          <w:lang w:val="en-US"/>
        </w:rPr>
        <w:t xml:space="preserve"> indicates the particular fraction of the droplet volume that has penetrated into the disk for the value of </w:t>
      </w:r>
      <m:oMath>
        <m:r>
          <m:rPr>
            <m:sty m:val="p"/>
          </m:rPr>
          <w:rPr>
            <w:rFonts w:ascii="Cambria Math" w:hAnsi="Cambria Math" w:cs="Times New Roman"/>
            <w:szCs w:val="24"/>
            <w:lang w:val="en-US"/>
          </w:rPr>
          <m:t>τ</m:t>
        </m:r>
      </m:oMath>
      <w:r>
        <w:rPr>
          <w:rFonts w:cs="Times New Roman"/>
          <w:szCs w:val="24"/>
          <w:lang w:val="en-US"/>
        </w:rPr>
        <w:t xml:space="preserve">. </w:t>
      </w:r>
      <w:r w:rsidRPr="00BD55A6">
        <w:rPr>
          <w:rFonts w:cs="Times New Roman"/>
          <w:szCs w:val="24"/>
          <w:lang w:val="en-US"/>
        </w:rPr>
        <w:t>The reference liquid must have a zero-contact angle with the powder under consideration, that is, complete wetting cos(θ</w:t>
      </w:r>
      <w:r w:rsidRPr="006A634B">
        <w:rPr>
          <w:rFonts w:cs="Times New Roman"/>
          <w:szCs w:val="24"/>
          <w:vertAlign w:val="subscript"/>
          <w:lang w:val="en-US"/>
        </w:rPr>
        <w:t>R</w:t>
      </w:r>
      <w:r w:rsidRPr="00BD55A6">
        <w:rPr>
          <w:rFonts w:cs="Times New Roman"/>
          <w:szCs w:val="24"/>
          <w:lang w:val="en-US"/>
        </w:rPr>
        <w:t>) = 1.</w:t>
      </w:r>
      <w:r>
        <w:rPr>
          <w:rFonts w:cs="Times New Roman"/>
          <w:szCs w:val="24"/>
          <w:lang w:val="en-US"/>
        </w:rPr>
        <w:t xml:space="preserve"> In addition, the contact radius of the drop must remain constant throughout most of the penetration for both test and reference solvent (</w:t>
      </w:r>
      <w:r w:rsidR="001F18F2">
        <w:rPr>
          <w:rFonts w:cs="Times New Roman"/>
          <w:szCs w:val="24"/>
          <w:lang w:val="en-US"/>
        </w:rPr>
        <w:fldChar w:fldCharType="begin"/>
      </w:r>
      <w:r w:rsidR="001F18F2">
        <w:rPr>
          <w:rFonts w:cs="Times New Roman"/>
          <w:szCs w:val="24"/>
          <w:lang w:val="en-US"/>
        </w:rPr>
        <w:instrText xml:space="preserve"> REF _Ref45572676 \h </w:instrText>
      </w:r>
      <w:r w:rsidR="001F18F2">
        <w:rPr>
          <w:rFonts w:cs="Times New Roman"/>
          <w:szCs w:val="24"/>
          <w:lang w:val="en-US"/>
        </w:rPr>
      </w:r>
      <w:r w:rsidR="001F18F2">
        <w:rPr>
          <w:rFonts w:cs="Times New Roman"/>
          <w:szCs w:val="24"/>
          <w:lang w:val="en-US"/>
        </w:rPr>
        <w:fldChar w:fldCharType="separate"/>
      </w:r>
      <w:r w:rsidR="0008188F" w:rsidRPr="00227A3F">
        <w:rPr>
          <w:lang w:val="en-US"/>
        </w:rPr>
        <w:t xml:space="preserve">Figure </w:t>
      </w:r>
      <w:r w:rsidR="0008188F">
        <w:rPr>
          <w:noProof/>
          <w:lang w:val="en-US"/>
        </w:rPr>
        <w:t>7</w:t>
      </w:r>
      <w:r w:rsidR="001F18F2">
        <w:rPr>
          <w:rFonts w:cs="Times New Roman"/>
          <w:szCs w:val="24"/>
          <w:lang w:val="en-US"/>
        </w:rPr>
        <w:fldChar w:fldCharType="end"/>
      </w:r>
      <w:r>
        <w:rPr>
          <w:rFonts w:cs="Times New Roman"/>
          <w:szCs w:val="24"/>
          <w:lang w:val="en-US"/>
        </w:rPr>
        <w:t xml:space="preserve">). </w:t>
      </w:r>
    </w:p>
    <w:p w14:paraId="31B91CE9" w14:textId="77777777" w:rsidR="001C673D" w:rsidRDefault="001C673D" w:rsidP="001C673D">
      <w:pPr>
        <w:spacing w:after="0" w:line="480" w:lineRule="auto"/>
        <w:jc w:val="center"/>
      </w:pPr>
      <w:r>
        <w:rPr>
          <w:noProof/>
          <w:lang w:val="en-US"/>
        </w:rPr>
        <w:drawing>
          <wp:inline distT="0" distB="0" distL="0" distR="0" wp14:anchorId="4BE5E7EB" wp14:editId="4DFEF1B8">
            <wp:extent cx="5057775" cy="1085850"/>
            <wp:effectExtent l="0" t="0" r="0" b="0"/>
            <wp:docPr id="42" name="Picture 165525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254710"/>
                    <pic:cNvPicPr/>
                  </pic:nvPicPr>
                  <pic:blipFill>
                    <a:blip r:embed="rId21">
                      <a:extLst>
                        <a:ext uri="{28A0092B-C50C-407E-A947-70E740481C1C}">
                          <a14:useLocalDpi xmlns:a14="http://schemas.microsoft.com/office/drawing/2010/main" val="0"/>
                        </a:ext>
                      </a:extLst>
                    </a:blip>
                    <a:stretch>
                      <a:fillRect/>
                    </a:stretch>
                  </pic:blipFill>
                  <pic:spPr>
                    <a:xfrm>
                      <a:off x="0" y="0"/>
                      <a:ext cx="5057775" cy="1085850"/>
                    </a:xfrm>
                    <a:prstGeom prst="rect">
                      <a:avLst/>
                    </a:prstGeom>
                  </pic:spPr>
                </pic:pic>
              </a:graphicData>
            </a:graphic>
          </wp:inline>
        </w:drawing>
      </w:r>
    </w:p>
    <w:p w14:paraId="2596D30A" w14:textId="64A46AF0" w:rsidR="001C673D" w:rsidRPr="00227A3F" w:rsidRDefault="001C673D" w:rsidP="001C673D">
      <w:pPr>
        <w:pStyle w:val="Caption"/>
        <w:rPr>
          <w:lang w:val="en-US"/>
        </w:rPr>
      </w:pPr>
      <w:bookmarkStart w:id="27" w:name="_Ref45572676"/>
      <w:bookmarkStart w:id="28" w:name="_Toc45837578"/>
      <w:r w:rsidRPr="00227A3F">
        <w:rPr>
          <w:lang w:val="en-US"/>
        </w:rPr>
        <w:t xml:space="preserve">Figure </w:t>
      </w:r>
      <w:r>
        <w:fldChar w:fldCharType="begin"/>
      </w:r>
      <w:r w:rsidRPr="00227A3F">
        <w:rPr>
          <w:lang w:val="en-US"/>
        </w:rPr>
        <w:instrText xml:space="preserve"> SEQ Figure \* ARABIC </w:instrText>
      </w:r>
      <w:r>
        <w:fldChar w:fldCharType="separate"/>
      </w:r>
      <w:r w:rsidR="0008188F">
        <w:rPr>
          <w:noProof/>
          <w:lang w:val="en-US"/>
        </w:rPr>
        <w:t>7</w:t>
      </w:r>
      <w:r>
        <w:fldChar w:fldCharType="end"/>
      </w:r>
      <w:bookmarkEnd w:id="27"/>
      <w:r w:rsidR="001F18F2" w:rsidRPr="001F18F2">
        <w:rPr>
          <w:lang w:val="en-US"/>
        </w:rPr>
        <w:t xml:space="preserve"> – Sessile droplet</w:t>
      </w:r>
      <w:bookmarkEnd w:id="28"/>
    </w:p>
    <w:p w14:paraId="262AE98C" w14:textId="67B6AC49" w:rsidR="001C673D" w:rsidRPr="00E65D1C" w:rsidRDefault="001C673D" w:rsidP="001C673D">
      <w:pPr>
        <w:spacing w:after="0" w:line="480" w:lineRule="auto"/>
        <w:jc w:val="center"/>
        <w:rPr>
          <w:rFonts w:cs="Times New Roman"/>
          <w:szCs w:val="24"/>
          <w:lang w:val="en-US"/>
        </w:rPr>
      </w:pPr>
      <w:r w:rsidRPr="00246FF5">
        <w:rPr>
          <w:rFonts w:cs="Times New Roman"/>
          <w:szCs w:val="24"/>
          <w:lang w:val="en-US"/>
        </w:rPr>
        <w:t xml:space="preserve">View of a sessile drop as the </w:t>
      </w:r>
      <w:r>
        <w:rPr>
          <w:rFonts w:cs="Times New Roman"/>
          <w:szCs w:val="24"/>
          <w:lang w:val="en-US"/>
        </w:rPr>
        <w:t>liquid</w:t>
      </w:r>
      <w:r w:rsidRPr="00246FF5">
        <w:rPr>
          <w:rFonts w:cs="Times New Roman"/>
          <w:szCs w:val="24"/>
          <w:lang w:val="en-US"/>
        </w:rPr>
        <w:t xml:space="preserve"> penetrates into the dry </w:t>
      </w:r>
      <w:r>
        <w:rPr>
          <w:rFonts w:cs="Times New Roman"/>
          <w:szCs w:val="24"/>
          <w:lang w:val="en-US"/>
        </w:rPr>
        <w:t>nanoparticle</w:t>
      </w:r>
      <w:r w:rsidRPr="00246FF5">
        <w:rPr>
          <w:rFonts w:cs="Times New Roman"/>
          <w:szCs w:val="24"/>
          <w:lang w:val="en-US"/>
        </w:rPr>
        <w:t xml:space="preserve"> bed and begins wetting the surface</w:t>
      </w:r>
      <w:r>
        <w:rPr>
          <w:rFonts w:cs="Times New Roman"/>
          <w:szCs w:val="24"/>
          <w:lang w:val="en-US"/>
        </w:rPr>
        <w:t xml:space="preserve"> using the drop penetration method.</w:t>
      </w:r>
    </w:p>
    <w:p w14:paraId="5B11D3DF" w14:textId="77777777" w:rsidR="001C673D" w:rsidRPr="004F74A6" w:rsidRDefault="001C673D" w:rsidP="004F74A6">
      <w:pPr>
        <w:rPr>
          <w:lang w:val="en-US"/>
        </w:rPr>
      </w:pPr>
    </w:p>
    <w:p w14:paraId="6990104F" w14:textId="71DDD178" w:rsidR="00F07199" w:rsidRPr="00243583" w:rsidRDefault="00F07199" w:rsidP="002003DD">
      <w:pPr>
        <w:pStyle w:val="Heading2"/>
      </w:pPr>
      <w:bookmarkStart w:id="29" w:name="_Toc45837541"/>
      <w:r w:rsidRPr="00243583">
        <w:t>Materials and Methods</w:t>
      </w:r>
      <w:bookmarkEnd w:id="29"/>
    </w:p>
    <w:p w14:paraId="56CEA0D5" w14:textId="54EE6BD1" w:rsidR="00F07199" w:rsidRPr="006D7DB3" w:rsidRDefault="00F07199" w:rsidP="00830771">
      <w:pPr>
        <w:pStyle w:val="Heading3"/>
      </w:pPr>
      <w:bookmarkStart w:id="30" w:name="_Toc45837542"/>
      <w:r w:rsidRPr="006D7DB3">
        <w:t>Nanoparticle Powders</w:t>
      </w:r>
      <w:bookmarkEnd w:id="30"/>
    </w:p>
    <w:p w14:paraId="4FFCE811" w14:textId="2404BC8C" w:rsidR="00F07199" w:rsidRPr="006D7DB3" w:rsidRDefault="00F07199" w:rsidP="00F07199">
      <w:pPr>
        <w:spacing w:after="0" w:line="480" w:lineRule="auto"/>
        <w:ind w:firstLine="708"/>
        <w:jc w:val="both"/>
        <w:rPr>
          <w:rFonts w:cs="Times New Roman"/>
          <w:szCs w:val="24"/>
          <w:lang w:val="en-US"/>
        </w:rPr>
      </w:pPr>
      <w:r w:rsidRPr="006D7DB3">
        <w:rPr>
          <w:rFonts w:cs="Times New Roman"/>
          <w:szCs w:val="24"/>
          <w:lang w:val="en-US"/>
        </w:rPr>
        <w:t xml:space="preserve">The </w:t>
      </w:r>
      <w:r w:rsidR="00A860D4" w:rsidRPr="006D7DB3">
        <w:rPr>
          <w:rFonts w:cs="Times New Roman"/>
          <w:szCs w:val="24"/>
          <w:lang w:val="en-US"/>
        </w:rPr>
        <w:t>metal oxide</w:t>
      </w:r>
      <w:r>
        <w:rPr>
          <w:rFonts w:cs="Times New Roman"/>
          <w:szCs w:val="24"/>
          <w:lang w:val="en-US"/>
        </w:rPr>
        <w:t xml:space="preserve"> nanoparticles</w:t>
      </w:r>
      <w:r w:rsidRPr="006D7DB3">
        <w:rPr>
          <w:rFonts w:cs="Times New Roman"/>
          <w:szCs w:val="24"/>
          <w:lang w:val="en-US"/>
        </w:rPr>
        <w:t xml:space="preserve"> </w:t>
      </w:r>
      <w:r>
        <w:rPr>
          <w:rFonts w:cs="Times New Roman"/>
          <w:szCs w:val="24"/>
          <w:lang w:val="en-US"/>
        </w:rPr>
        <w:t>investiga</w:t>
      </w:r>
      <w:r w:rsidRPr="006D7DB3">
        <w:rPr>
          <w:rFonts w:cs="Times New Roman"/>
          <w:szCs w:val="24"/>
          <w:lang w:val="en-US"/>
        </w:rPr>
        <w:t xml:space="preserve">ted in </w:t>
      </w:r>
      <w:r>
        <w:rPr>
          <w:rFonts w:cs="Times New Roman"/>
          <w:szCs w:val="24"/>
          <w:lang w:val="en-US"/>
        </w:rPr>
        <w:t>the present</w:t>
      </w:r>
      <w:r w:rsidRPr="006D7DB3">
        <w:rPr>
          <w:rFonts w:cs="Times New Roman"/>
          <w:szCs w:val="24"/>
          <w:lang w:val="en-US"/>
        </w:rPr>
        <w:t xml:space="preserve"> study </w:t>
      </w:r>
      <w:r>
        <w:rPr>
          <w:rFonts w:cs="Times New Roman"/>
          <w:szCs w:val="24"/>
          <w:lang w:val="en-US"/>
        </w:rPr>
        <w:t>were</w:t>
      </w:r>
      <w:r w:rsidRPr="006D7DB3">
        <w:rPr>
          <w:rFonts w:cs="Times New Roman"/>
          <w:szCs w:val="24"/>
          <w:lang w:val="en-US"/>
        </w:rPr>
        <w:t xml:space="preserve"> zinc oxide and titanium dioxide. Two types of commercially available zinc oxide nanoparticles </w:t>
      </w:r>
      <w:r>
        <w:rPr>
          <w:rFonts w:cs="Times New Roman"/>
          <w:szCs w:val="24"/>
          <w:lang w:val="en-US"/>
        </w:rPr>
        <w:t>have been tested</w:t>
      </w:r>
      <w:r w:rsidRPr="006D7DB3">
        <w:rPr>
          <w:rFonts w:cs="Times New Roman"/>
          <w:szCs w:val="24"/>
          <w:lang w:val="en-US"/>
        </w:rPr>
        <w:t>: Nanogard</w:t>
      </w:r>
      <w:r w:rsidRPr="006D7DB3">
        <w:rPr>
          <w:rFonts w:cs="Times New Roman"/>
          <w:szCs w:val="24"/>
          <w:vertAlign w:val="superscript"/>
          <w:lang w:val="en-US"/>
        </w:rPr>
        <w:t>TM</w:t>
      </w:r>
      <w:r w:rsidRPr="006D7DB3">
        <w:rPr>
          <w:rFonts w:cs="Times New Roman"/>
          <w:szCs w:val="24"/>
          <w:lang w:val="en-US"/>
        </w:rPr>
        <w:t xml:space="preserve"> </w:t>
      </w:r>
      <w:r>
        <w:rPr>
          <w:rFonts w:cs="Times New Roman"/>
          <w:szCs w:val="24"/>
          <w:lang w:val="en-US"/>
        </w:rPr>
        <w:t xml:space="preserve">(Lot: B13Y045, Alfa Aesar) </w:t>
      </w:r>
      <w:r w:rsidRPr="006D7DB3">
        <w:rPr>
          <w:rFonts w:cs="Times New Roman"/>
          <w:szCs w:val="24"/>
          <w:lang w:val="en-US"/>
        </w:rPr>
        <w:t>and NanoTek</w:t>
      </w:r>
      <w:r w:rsidRPr="006D7DB3">
        <w:rPr>
          <w:rFonts w:cs="Times New Roman"/>
          <w:szCs w:val="24"/>
          <w:vertAlign w:val="superscript"/>
          <w:lang w:val="en-US"/>
        </w:rPr>
        <w:t>TM</w:t>
      </w:r>
      <w:r>
        <w:rPr>
          <w:rFonts w:cs="Times New Roman"/>
          <w:szCs w:val="24"/>
          <w:vertAlign w:val="superscript"/>
          <w:lang w:val="en-US"/>
        </w:rPr>
        <w:t xml:space="preserve"> </w:t>
      </w:r>
      <w:r>
        <w:rPr>
          <w:rFonts w:cs="Times New Roman"/>
          <w:szCs w:val="24"/>
          <w:lang w:val="en-US"/>
        </w:rPr>
        <w:t xml:space="preserve">(Lot: D22W010, Alfa Aesar). </w:t>
      </w:r>
      <w:r w:rsidRPr="006D7DB3">
        <w:rPr>
          <w:rFonts w:cs="Times New Roman"/>
          <w:szCs w:val="24"/>
          <w:lang w:val="en-US"/>
        </w:rPr>
        <w:t>Nanogard</w:t>
      </w:r>
      <w:r w:rsidRPr="006D7DB3">
        <w:rPr>
          <w:rFonts w:cs="Times New Roman"/>
          <w:szCs w:val="24"/>
          <w:vertAlign w:val="superscript"/>
          <w:lang w:val="en-US"/>
        </w:rPr>
        <w:t>TM</w:t>
      </w:r>
      <w:r w:rsidRPr="006D7DB3">
        <w:rPr>
          <w:rFonts w:cs="Times New Roman"/>
          <w:szCs w:val="24"/>
          <w:lang w:val="en-US"/>
        </w:rPr>
        <w:t xml:space="preserve"> nanoparticles are 40-100</w:t>
      </w:r>
      <w:r>
        <w:rPr>
          <w:rFonts w:cs="Times New Roman"/>
          <w:szCs w:val="24"/>
          <w:lang w:val="en-US"/>
        </w:rPr>
        <w:t xml:space="preserve"> </w:t>
      </w:r>
      <w:r w:rsidRPr="006D7DB3">
        <w:rPr>
          <w:rFonts w:cs="Times New Roman"/>
          <w:szCs w:val="24"/>
          <w:lang w:val="en-US"/>
        </w:rPr>
        <w:t>nm in size and &gt;99% purity. The NanoTek</w:t>
      </w:r>
      <w:r w:rsidRPr="006D7DB3">
        <w:rPr>
          <w:rFonts w:cs="Times New Roman"/>
          <w:szCs w:val="24"/>
          <w:vertAlign w:val="superscript"/>
          <w:lang w:val="en-US"/>
        </w:rPr>
        <w:t>TM</w:t>
      </w:r>
      <w:r w:rsidRPr="006D7DB3">
        <w:rPr>
          <w:rFonts w:cs="Times New Roman"/>
          <w:szCs w:val="24"/>
          <w:lang w:val="en-US"/>
        </w:rPr>
        <w:t xml:space="preserve"> nanoparticles are</w:t>
      </w:r>
      <w:r>
        <w:rPr>
          <w:rFonts w:cs="Times New Roman"/>
          <w:szCs w:val="24"/>
          <w:lang w:val="en-US"/>
        </w:rPr>
        <w:t xml:space="preserve"> similar at</w:t>
      </w:r>
      <w:r w:rsidRPr="006D7DB3">
        <w:rPr>
          <w:rFonts w:cs="Times New Roman"/>
          <w:szCs w:val="24"/>
          <w:lang w:val="en-US"/>
        </w:rPr>
        <w:t xml:space="preserve"> 40-100</w:t>
      </w:r>
      <w:r>
        <w:rPr>
          <w:rFonts w:cs="Times New Roman"/>
          <w:szCs w:val="24"/>
          <w:lang w:val="en-US"/>
        </w:rPr>
        <w:t xml:space="preserve"> </w:t>
      </w:r>
      <w:r w:rsidRPr="006D7DB3">
        <w:rPr>
          <w:rFonts w:cs="Times New Roman"/>
          <w:szCs w:val="24"/>
          <w:lang w:val="en-US"/>
        </w:rPr>
        <w:t>nm in size and 99% purity</w:t>
      </w:r>
      <w:r>
        <w:rPr>
          <w:rFonts w:cs="Times New Roman"/>
          <w:szCs w:val="24"/>
          <w:lang w:val="en-US"/>
        </w:rPr>
        <w:t>, but they differ in being</w:t>
      </w:r>
      <w:r w:rsidRPr="006D7DB3">
        <w:rPr>
          <w:rFonts w:cs="Times New Roman"/>
          <w:szCs w:val="24"/>
          <w:lang w:val="en-US"/>
        </w:rPr>
        <w:t xml:space="preserve"> </w:t>
      </w:r>
      <w:r w:rsidRPr="677E1CE1">
        <w:rPr>
          <w:rFonts w:cs="Times New Roman"/>
          <w:szCs w:val="24"/>
          <w:lang w:val="en-US"/>
        </w:rPr>
        <w:t xml:space="preserve">hydrophobic </w:t>
      </w:r>
      <w:r>
        <w:rPr>
          <w:rFonts w:cs="Times New Roman"/>
          <w:szCs w:val="24"/>
          <w:lang w:val="en-US"/>
        </w:rPr>
        <w:t>with</w:t>
      </w:r>
      <w:r w:rsidRPr="677E1CE1">
        <w:rPr>
          <w:rFonts w:cs="Times New Roman"/>
          <w:szCs w:val="24"/>
          <w:lang w:val="en-US"/>
        </w:rPr>
        <w:t xml:space="preserve"> an organosilane coating.</w:t>
      </w:r>
      <w:r>
        <w:rPr>
          <w:rFonts w:cs="Times New Roman"/>
          <w:szCs w:val="24"/>
          <w:lang w:val="en-US"/>
        </w:rPr>
        <w:t xml:space="preserve"> </w:t>
      </w:r>
      <w:r w:rsidRPr="006D7DB3">
        <w:rPr>
          <w:rFonts w:cs="Times New Roman"/>
          <w:szCs w:val="24"/>
          <w:lang w:val="en-US"/>
        </w:rPr>
        <w:t>Commercially available titanium dioxide nanoparticle</w:t>
      </w:r>
      <w:r>
        <w:rPr>
          <w:rFonts w:cs="Times New Roman"/>
          <w:szCs w:val="24"/>
          <w:lang w:val="en-US"/>
        </w:rPr>
        <w:t>s of two sizes were examined</w:t>
      </w:r>
      <w:r w:rsidRPr="006D7DB3">
        <w:rPr>
          <w:rFonts w:cs="Times New Roman"/>
          <w:szCs w:val="24"/>
          <w:lang w:val="en-US"/>
        </w:rPr>
        <w:t xml:space="preserve"> as the second type of</w:t>
      </w:r>
      <w:r>
        <w:rPr>
          <w:rFonts w:cs="Times New Roman"/>
          <w:szCs w:val="24"/>
          <w:lang w:val="en-US"/>
        </w:rPr>
        <w:t xml:space="preserve"> metal oxide</w:t>
      </w:r>
      <w:r w:rsidRPr="006D7DB3">
        <w:rPr>
          <w:rFonts w:cs="Times New Roman"/>
          <w:szCs w:val="24"/>
          <w:lang w:val="en-US"/>
        </w:rPr>
        <w:t xml:space="preserve"> nanoparticles.</w:t>
      </w:r>
      <w:r>
        <w:rPr>
          <w:rFonts w:cs="Times New Roman"/>
          <w:szCs w:val="24"/>
          <w:lang w:val="en-US"/>
        </w:rPr>
        <w:t xml:space="preserve"> The first of the titanium dioxide nanopowders contained 21nm diameter particles comprised of a rutile and anatase mixture (Lot: MKCD9677, Aldrich). The second titanium dioxide nanopowder had larger particles (&lt;100 nm), also containing a mixture of rutile and anatase (Lot: MKCG0376, Aldrich). The nanoparticles were used ‘as received’.</w:t>
      </w:r>
    </w:p>
    <w:p w14:paraId="345FA21A" w14:textId="77777777" w:rsidR="00F07199" w:rsidRPr="00EA559E" w:rsidRDefault="00F07199" w:rsidP="00830771">
      <w:pPr>
        <w:pStyle w:val="Heading3"/>
      </w:pPr>
      <w:bookmarkStart w:id="31" w:name="_Toc45837543"/>
      <w:r>
        <w:t>Fabrication of</w:t>
      </w:r>
      <w:r w:rsidRPr="00EA559E">
        <w:t xml:space="preserve"> </w:t>
      </w:r>
      <w:r>
        <w:t>specimens</w:t>
      </w:r>
      <w:bookmarkEnd w:id="31"/>
      <w:r>
        <w:t xml:space="preserve"> </w:t>
      </w:r>
    </w:p>
    <w:p w14:paraId="53DA95B0" w14:textId="4BE13E3F" w:rsidR="00F07199" w:rsidRPr="00241A81" w:rsidRDefault="00F07199" w:rsidP="00F07199">
      <w:pPr>
        <w:spacing w:line="480" w:lineRule="auto"/>
        <w:ind w:firstLine="708"/>
        <w:jc w:val="both"/>
        <w:rPr>
          <w:rFonts w:cs="Times New Roman"/>
          <w:szCs w:val="24"/>
          <w:lang w:val="en-US"/>
        </w:rPr>
      </w:pPr>
      <w:r w:rsidRPr="006D7DB3">
        <w:rPr>
          <w:rFonts w:cs="Times New Roman"/>
          <w:szCs w:val="24"/>
          <w:lang w:val="en-US"/>
        </w:rPr>
        <w:t>A stainless</w:t>
      </w:r>
      <w:r>
        <w:rPr>
          <w:rFonts w:cs="Times New Roman"/>
          <w:szCs w:val="24"/>
          <w:lang w:val="en-US"/>
        </w:rPr>
        <w:t>-steel</w:t>
      </w:r>
      <w:r w:rsidRPr="006D7DB3">
        <w:rPr>
          <w:rFonts w:cs="Times New Roman"/>
          <w:szCs w:val="24"/>
          <w:lang w:val="en-US"/>
        </w:rPr>
        <w:t xml:space="preserve"> </w:t>
      </w:r>
      <w:r>
        <w:rPr>
          <w:rFonts w:cs="Times New Roman"/>
          <w:szCs w:val="24"/>
          <w:lang w:val="en-US"/>
        </w:rPr>
        <w:t>mold (</w:t>
      </w:r>
      <w:r w:rsidRPr="006D7DB3">
        <w:rPr>
          <w:rFonts w:cs="Times New Roman"/>
          <w:szCs w:val="24"/>
          <w:lang w:val="en-US"/>
        </w:rPr>
        <w:t>25</w:t>
      </w:r>
      <w:r>
        <w:rPr>
          <w:rFonts w:cs="Times New Roman"/>
          <w:szCs w:val="24"/>
          <w:lang w:val="en-US"/>
        </w:rPr>
        <w:t xml:space="preserve"> </w:t>
      </w:r>
      <w:r w:rsidRPr="006D7DB3">
        <w:rPr>
          <w:rFonts w:cs="Times New Roman"/>
          <w:szCs w:val="24"/>
          <w:lang w:val="en-US"/>
        </w:rPr>
        <w:t>mm I.D.</w:t>
      </w:r>
      <w:r>
        <w:rPr>
          <w:rFonts w:cs="Times New Roman"/>
          <w:szCs w:val="24"/>
          <w:lang w:val="en-US"/>
        </w:rPr>
        <w:t>)</w:t>
      </w:r>
      <w:r w:rsidRPr="006D7DB3">
        <w:rPr>
          <w:rFonts w:cs="Times New Roman"/>
          <w:szCs w:val="24"/>
          <w:lang w:val="en-US"/>
        </w:rPr>
        <w:t xml:space="preserve"> </w:t>
      </w:r>
      <w:r>
        <w:rPr>
          <w:rFonts w:cs="Times New Roman"/>
          <w:szCs w:val="24"/>
          <w:lang w:val="en-US"/>
        </w:rPr>
        <w:t>was</w:t>
      </w:r>
      <w:r w:rsidRPr="006D7DB3">
        <w:rPr>
          <w:rFonts w:cs="Times New Roman"/>
          <w:szCs w:val="24"/>
          <w:lang w:val="en-US"/>
        </w:rPr>
        <w:t xml:space="preserve"> used to </w:t>
      </w:r>
      <w:r>
        <w:rPr>
          <w:rFonts w:cs="Times New Roman"/>
          <w:szCs w:val="24"/>
          <w:lang w:val="en-US"/>
        </w:rPr>
        <w:t>fabricate flat</w:t>
      </w:r>
      <w:r w:rsidRPr="006D7DB3">
        <w:rPr>
          <w:rFonts w:cs="Times New Roman"/>
          <w:szCs w:val="24"/>
          <w:lang w:val="en-US"/>
        </w:rPr>
        <w:t xml:space="preserve"> disc</w:t>
      </w:r>
      <w:r>
        <w:rPr>
          <w:rFonts w:cs="Times New Roman"/>
          <w:szCs w:val="24"/>
          <w:lang w:val="en-US"/>
        </w:rPr>
        <w:t xml:space="preserve"> shaped specimens composed of compacted nanoparticles’</w:t>
      </w:r>
      <w:r w:rsidRPr="006D7DB3">
        <w:rPr>
          <w:rFonts w:cs="Times New Roman"/>
          <w:szCs w:val="24"/>
          <w:lang w:val="en-US"/>
        </w:rPr>
        <w:t xml:space="preserve"> powders</w:t>
      </w:r>
      <w:r>
        <w:rPr>
          <w:rFonts w:cs="Times New Roman"/>
          <w:szCs w:val="24"/>
          <w:lang w:val="en-US"/>
        </w:rPr>
        <w:t xml:space="preserve"> (either ZnO [with or without organosilane coating] or TiO</w:t>
      </w:r>
      <w:r w:rsidRPr="00EF1051">
        <w:rPr>
          <w:rFonts w:cs="Times New Roman"/>
          <w:szCs w:val="24"/>
          <w:vertAlign w:val="subscript"/>
          <w:lang w:val="en-US"/>
        </w:rPr>
        <w:t>2</w:t>
      </w:r>
      <w:r>
        <w:rPr>
          <w:rFonts w:cs="Times New Roman"/>
          <w:szCs w:val="24"/>
          <w:lang w:val="en-US"/>
        </w:rPr>
        <w:t>)</w:t>
      </w:r>
      <w:r w:rsidRPr="006D7DB3">
        <w:rPr>
          <w:rFonts w:cs="Times New Roman"/>
          <w:szCs w:val="24"/>
          <w:lang w:val="en-US"/>
        </w:rPr>
        <w:t>.</w:t>
      </w:r>
      <w:r>
        <w:rPr>
          <w:rFonts w:cs="Times New Roman"/>
          <w:szCs w:val="24"/>
          <w:lang w:val="en-US"/>
        </w:rPr>
        <w:t xml:space="preserve"> A pilot study was conducted to determine the necessary masses (1.4 g of ZnO and 1.0 g  of TiO</w:t>
      </w:r>
      <w:r w:rsidRPr="00024040">
        <w:rPr>
          <w:rFonts w:cs="Times New Roman"/>
          <w:szCs w:val="24"/>
          <w:vertAlign w:val="subscript"/>
          <w:lang w:val="en-US"/>
        </w:rPr>
        <w:t>2</w:t>
      </w:r>
      <w:r w:rsidRPr="00C53AFB">
        <w:rPr>
          <w:rFonts w:cs="Times New Roman"/>
          <w:szCs w:val="24"/>
          <w:lang w:val="en-US"/>
        </w:rPr>
        <w:t xml:space="preserve">, </w:t>
      </w:r>
      <w:r>
        <w:rPr>
          <w:rFonts w:cs="Times New Roman"/>
          <w:szCs w:val="24"/>
          <w:lang w:val="en-US"/>
        </w:rPr>
        <w:t>respectively) of nanoparticles required to fabricate specimens with thicknesses that did not allow the complete penetration of solvent droplets</w:t>
      </w:r>
      <w:r w:rsidR="00314EC8">
        <w:rPr>
          <w:rFonts w:cs="Times New Roman"/>
          <w:szCs w:val="24"/>
          <w:lang w:val="en-US"/>
        </w:rPr>
        <w:t xml:space="preserve"> through to the other side of the disc </w:t>
      </w:r>
      <w:r>
        <w:rPr>
          <w:rFonts w:cs="Times New Roman"/>
          <w:szCs w:val="24"/>
          <w:lang w:val="en-US"/>
        </w:rPr>
        <w:t xml:space="preserve">during CA measurements. </w:t>
      </w:r>
      <w:r w:rsidR="00314EC8" w:rsidRPr="00314EC8">
        <w:rPr>
          <w:rFonts w:cs="Times New Roman"/>
          <w:szCs w:val="24"/>
          <w:lang w:val="en-US"/>
        </w:rPr>
        <w:t xml:space="preserve">Because the DPM is based on interaction of the solvent with particles, if the solvent penetrates completely through the disc to the other side, another interface is introduced to the testing environment. This is similar to wall effects in the Washburn method. To determine the necessary thickness, one considers the volume of the droplet, porosity, and horizontal spread of the solvent in the disc. </w:t>
      </w:r>
      <w:r w:rsidR="00314EC8">
        <w:rPr>
          <w:rFonts w:cs="Times New Roman"/>
          <w:szCs w:val="24"/>
          <w:lang w:val="en-US"/>
        </w:rPr>
        <w:t>N</w:t>
      </w:r>
      <w:r w:rsidRPr="006D7DB3">
        <w:rPr>
          <w:rFonts w:cs="Times New Roman"/>
          <w:szCs w:val="24"/>
          <w:lang w:val="en-US"/>
        </w:rPr>
        <w:t xml:space="preserve">anoparticles </w:t>
      </w:r>
      <w:r>
        <w:rPr>
          <w:rFonts w:cs="Times New Roman"/>
          <w:szCs w:val="24"/>
          <w:lang w:val="en-US"/>
        </w:rPr>
        <w:t xml:space="preserve">were </w:t>
      </w:r>
      <w:r w:rsidRPr="006D7DB3">
        <w:rPr>
          <w:rFonts w:cs="Times New Roman"/>
          <w:szCs w:val="24"/>
          <w:lang w:val="en-US"/>
        </w:rPr>
        <w:t>placed</w:t>
      </w:r>
      <w:r>
        <w:rPr>
          <w:rFonts w:cs="Times New Roman"/>
          <w:szCs w:val="24"/>
          <w:lang w:val="en-US"/>
        </w:rPr>
        <w:t xml:space="preserve"> into the cavity of the mold, were evenly distributed to produce wafers of similar porosity and roughness, and were subjected to 140 MPa (2 min, 25</w:t>
      </w:r>
      <w:r>
        <w:rPr>
          <w:rFonts w:ascii="Symbol" w:eastAsia="Symbol" w:hAnsi="Symbol" w:cs="Symbol"/>
          <w:szCs w:val="24"/>
          <w:lang w:val="en-US"/>
        </w:rPr>
        <w:t></w:t>
      </w:r>
      <w:r>
        <w:rPr>
          <w:rFonts w:cs="Times New Roman"/>
          <w:szCs w:val="24"/>
          <w:lang w:val="en-US"/>
        </w:rPr>
        <w:t xml:space="preserve">C) of compressive forces delivered by a manual press </w:t>
      </w:r>
      <w:r w:rsidRPr="006D7DB3">
        <w:rPr>
          <w:rFonts w:cs="Times New Roman"/>
          <w:szCs w:val="24"/>
          <w:lang w:val="en-US"/>
        </w:rPr>
        <w:t>(Specac Atlas 15T hydraulic press)</w:t>
      </w:r>
      <w:r>
        <w:rPr>
          <w:rFonts w:cs="Times New Roman"/>
          <w:szCs w:val="24"/>
          <w:lang w:val="en-US"/>
        </w:rPr>
        <w:t>. The rationale for the selection of compressive forces described was based on previous</w:t>
      </w:r>
      <w:r w:rsidR="00647296">
        <w:rPr>
          <w:rFonts w:cs="Times New Roman"/>
          <w:szCs w:val="24"/>
          <w:lang w:val="en-US"/>
        </w:rPr>
        <w:t>ly</w:t>
      </w:r>
      <w:r>
        <w:rPr>
          <w:rFonts w:cs="Times New Roman"/>
          <w:szCs w:val="24"/>
          <w:lang w:val="en-US"/>
        </w:rPr>
        <w:t xml:space="preserve"> published reports</w:t>
      </w:r>
      <w:r w:rsidR="00782551">
        <w:rPr>
          <w:rStyle w:val="FootnoteReference"/>
          <w:rFonts w:cs="Times New Roman"/>
          <w:szCs w:val="24"/>
          <w:lang w:val="en-US"/>
        </w:rPr>
        <w:fldChar w:fldCharType="begin" w:fldLock="1"/>
      </w:r>
      <w:r w:rsidR="004871C8">
        <w:rPr>
          <w:rFonts w:cs="Times New Roman"/>
          <w:szCs w:val="24"/>
          <w:lang w:val="en-US"/>
        </w:rPr>
        <w:instrText>ADDIN CSL_CITATION {"citationItems":[{"id":"ITEM-1","itemData":{"DOI":"https://doi.org/10.1016/j.fuproc.2015.01.037","ISSN":"0378-3820","abstract":"To satisfy the demand of reducing extensive usage of wood as a raw material for pellets production, application of alternative raw materials, particularly residues, is necessary. The purpose of this paper is, therefore, to study feasibility of alternative wood pellets with addition of waste vegetable oil and to examine how the oil affects pellet's physical quality, surface properties and pelleting process. Furthermore, a novel approach for estimation hydrophobic properties of biomass pellets was presented. Pellet surface hydrophobicity and water drop absorption rate were assessed by measuring contact angle along time. Oil addition was 2.2% and 5.8% based on dry solids. Pellets were produced by single pellet press method under four compacting pressures (75, 150, 225 and 300MPa) at three pelleting temperatures (60, 120 and 180°C). The results show that oil addition significantly increases energy content in wood pellets (p&lt;0.05). Energy content was increased from 19.69MJ/kg (control) to 20.05MJ/kg (2.2% of oil) and 20.64MJ/kg (5.8% of oil). Strength of pellets, as well as sawdust compressibility, was reduced when adding oil. The oil caused lower friction on the pellet–die wall contact area.","author":[{"dropping-particle":"","family":"Mišljenović","given":"Nevena","non-dropping-particle":"","parse-names":false,"suffix":""},{"dropping-particle":"","family":"Mosbye","given":"John","non-dropping-particle":"","parse-names":false,"suffix":""},{"dropping-particle":"","family":"Schüller","given":"Reidar Barfod","non-dropping-particle":"","parse-names":false,"suffix":""},{"dropping-particle":"","family":"Lekang","given":"Odd-Ivar","non-dropping-particle":"","parse-names":false,"suffix":""},{"dropping-particle":"","family":"Salas-Bringas","given":"Carlos","non-dropping-particle":"","parse-names":false,"suffix":""}],"container-title":"Fuel processing technology","id":"ITEM-1","issued":{"date-parts":[["2015"]]},"page":"214-222","title":"Physical quality and surface hydration properties of wood based pellets blended with waste vegetable oil","type":"article-journal","volume":"134"},"uris":["http://www.mendeley.com/documents/?uuid=1de26e3e-86f1-4217-bc28-d9fc5dff919e"]},{"id":"ITEM-2","itemData":{"DOI":"https://doi.org/10.1016/j.ijpharm.2017.12.034","ISBN":"0378-5173","abstract":"Water wettability of pharmaceutical blends affects important quality attributes of final products. We investigate the wetting properties of a pharmaceutical blend lubricated with Magnesium Stearate (MgSt) as a function of the mechanical shear strain applied to the blend. We measure the penetration dynamics of sessile drops deposited on slightly compressed powder beds. We consider a blend composed of 9% Acetaminophen 90% Lactose and 1% MgSt by weight. Comparing the penetration time of water and a reference liquid Polydimethylsiloxane (silicon oil) we obtain an effective cosine of the contact angle with water, based on a recently developed drop penetration method. We repeat the experiments for blends exposed to increasing levels of shear strain and demonstrate a significant decrease in water wettability (decrease in the cosine of the contact angle). The results are consistent with the development of a hydrophobic film coating the powder particles as a result of the increased shear strain. Finally, we show that, as expected dissolution times increase with the level of shear strain. Therefore, the proposed drop penetration method could be used to directly assess the state of lubrication of a pharmaceutical blend and act as a quality control on powder blend attributes before the blend is tableted.","author":[{"dropping-particle":"","family":"Wang","given":"Yifan","non-dropping-particle":"","parse-names":false,"suffix":""},{"dropping-particle":"","family":"Liu","given":"Zhanjie","non-dropping-particle":"","parse-names":false,"suffix":""},{"dropping-particle":"","family":"Muzzio","given":"Fernando","non-dropping-particle":"","parse-names":false,"suffix":""},{"dropping-particle":"","family":"Drazer","given":"German","non-dropping-particle":"","parse-names":false,"suffix":""},{"dropping-particle":"","family":"Callegari","given":"Gerardo","non-dropping-particle":"","parse-names":false,"suffix":""}],"container-title":"International Journal of Pharmaceutics","id":"ITEM-2","issue":"1","issued":{"date-parts":[["2018"]]},"page":"112-118","title":"A drop penetration method to measure powder blend wettability","type":"article-journal","volume":"538"},"uris":["http://www.mendeley.com/documents/?uuid=baed6c5c-241e-469f-92fd-43e039a0bf43"]},{"id":"ITEM-3","itemData":{"DOI":"https://doi.org/10.1016/j.powtec.2015.10.002","ISBN":"0032-5910","abstract":"This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Technology","id":"ITEM-3","issued":{"date-parts":[["2016"]]},"page":"201-215","title":"Techniques for determining contact angle and wettability of powders","type":"article-journal","volume":"287"},"uris":["http://www.mendeley.com/documents/?uuid=9b259ee9-6bb4-436c-bcd1-ca263f61b45c"]}],"mendeley":{"formattedCitation":"&lt;sup&gt;50,58,59&lt;/sup&gt;","plainTextFormattedCitation":"50,58,59","previouslyFormattedCitation":"&lt;sup&gt;50,58,59&lt;/sup&gt;"},"properties":{"noteIndex":0},"schema":"https://github.com/citation-style-language/schema/raw/master/csl-citation.json"}</w:instrText>
      </w:r>
      <w:r w:rsidR="00782551">
        <w:rPr>
          <w:rStyle w:val="FootnoteReference"/>
          <w:rFonts w:cs="Times New Roman"/>
          <w:szCs w:val="24"/>
          <w:lang w:val="en-US"/>
        </w:rPr>
        <w:fldChar w:fldCharType="separate"/>
      </w:r>
      <w:r w:rsidR="00B01517" w:rsidRPr="00B01517">
        <w:rPr>
          <w:rFonts w:cs="Times New Roman"/>
          <w:noProof/>
          <w:szCs w:val="24"/>
          <w:vertAlign w:val="superscript"/>
          <w:lang w:val="en-US"/>
        </w:rPr>
        <w:t>50,58,59</w:t>
      </w:r>
      <w:r w:rsidR="00782551">
        <w:rPr>
          <w:rStyle w:val="FootnoteReference"/>
          <w:rFonts w:cs="Times New Roman"/>
          <w:szCs w:val="24"/>
          <w:lang w:val="en-US"/>
        </w:rPr>
        <w:fldChar w:fldCharType="end"/>
      </w:r>
      <w:r w:rsidR="00782551">
        <w:rPr>
          <w:rFonts w:cs="Times New Roman"/>
          <w:szCs w:val="24"/>
          <w:lang w:val="en-US"/>
        </w:rPr>
        <w:t xml:space="preserve"> </w:t>
      </w:r>
      <w:r w:rsidRPr="008D0D64">
        <w:rPr>
          <w:rFonts w:cs="Times New Roman"/>
          <w:szCs w:val="24"/>
          <w:lang w:val="en-US"/>
        </w:rPr>
        <w:t>indicating</w:t>
      </w:r>
      <w:r w:rsidRPr="00046A81">
        <w:rPr>
          <w:rFonts w:cs="Times New Roman"/>
          <w:szCs w:val="24"/>
          <w:lang w:val="en-US"/>
        </w:rPr>
        <w:t xml:space="preserve"> that the utilization of </w:t>
      </w:r>
      <w:r w:rsidRPr="00BD0EBA">
        <w:rPr>
          <w:rFonts w:cs="Times New Roman"/>
          <w:szCs w:val="24"/>
          <w:lang w:val="en-US"/>
        </w:rPr>
        <w:t xml:space="preserve">compressive forces </w:t>
      </w:r>
      <w:r w:rsidRPr="00285C77">
        <w:rPr>
          <w:rFonts w:cs="Times New Roman"/>
          <w:szCs w:val="24"/>
          <w:lang w:val="en-US"/>
        </w:rPr>
        <w:t>between</w:t>
      </w:r>
      <w:r w:rsidRPr="001464B8">
        <w:rPr>
          <w:rFonts w:cs="Times New Roman"/>
          <w:szCs w:val="24"/>
          <w:lang w:val="en-US"/>
        </w:rPr>
        <w:t xml:space="preserve"> 70 to 800 MPa </w:t>
      </w:r>
      <w:r w:rsidRPr="00D82C39">
        <w:rPr>
          <w:rFonts w:cs="Times New Roman"/>
          <w:szCs w:val="24"/>
          <w:lang w:val="en-US"/>
        </w:rPr>
        <w:t xml:space="preserve">resulted in specimens displaying </w:t>
      </w:r>
      <w:r w:rsidRPr="008D0D64">
        <w:rPr>
          <w:rFonts w:cs="Times New Roman"/>
          <w:szCs w:val="24"/>
          <w:lang w:val="en-US"/>
        </w:rPr>
        <w:t xml:space="preserve">acceptable compression and mechanical properties without adversely impacting the nanoparticles (e.g., textures, morphologies and structures). </w:t>
      </w:r>
      <w:r>
        <w:rPr>
          <w:rFonts w:cs="Times New Roman"/>
          <w:szCs w:val="24"/>
          <w:lang w:val="en-US"/>
        </w:rPr>
        <w:t xml:space="preserve">Fabricated specimens were then carefully removed from the mold and stored in Petri dishes (dry and dark conditions) until use </w:t>
      </w:r>
      <w:r w:rsidRPr="00241A81">
        <w:rPr>
          <w:rFonts w:cs="Times New Roman"/>
          <w:szCs w:val="24"/>
          <w:lang w:val="en-US"/>
        </w:rPr>
        <w:t>(</w:t>
      </w:r>
      <w:r w:rsidR="008B6260">
        <w:rPr>
          <w:rFonts w:cs="Times New Roman"/>
          <w:szCs w:val="24"/>
          <w:lang w:val="en-US"/>
        </w:rPr>
        <w:fldChar w:fldCharType="begin"/>
      </w:r>
      <w:r w:rsidR="008B6260">
        <w:rPr>
          <w:rFonts w:cs="Times New Roman"/>
          <w:szCs w:val="24"/>
          <w:lang w:val="en-US"/>
        </w:rPr>
        <w:instrText xml:space="preserve"> REF _Ref36304373 \h </w:instrText>
      </w:r>
      <w:r w:rsidR="008B6260">
        <w:rPr>
          <w:rFonts w:cs="Times New Roman"/>
          <w:szCs w:val="24"/>
          <w:lang w:val="en-US"/>
        </w:rPr>
      </w:r>
      <w:r w:rsidR="008B6260">
        <w:rPr>
          <w:rFonts w:cs="Times New Roman"/>
          <w:szCs w:val="24"/>
          <w:lang w:val="en-US"/>
        </w:rPr>
        <w:fldChar w:fldCharType="separate"/>
      </w:r>
      <w:r w:rsidR="0008188F" w:rsidRPr="00241A81">
        <w:rPr>
          <w:rFonts w:cs="Times New Roman"/>
          <w:sz w:val="22"/>
          <w:szCs w:val="24"/>
          <w:lang w:val="en-US"/>
        </w:rPr>
        <w:t xml:space="preserve">Figure </w:t>
      </w:r>
      <w:r w:rsidR="0008188F">
        <w:rPr>
          <w:rFonts w:cs="Times New Roman"/>
          <w:noProof/>
          <w:sz w:val="22"/>
          <w:szCs w:val="24"/>
          <w:lang w:val="en-US"/>
        </w:rPr>
        <w:t>8</w:t>
      </w:r>
      <w:r w:rsidR="008B6260">
        <w:rPr>
          <w:rFonts w:cs="Times New Roman"/>
          <w:szCs w:val="24"/>
          <w:lang w:val="en-US"/>
        </w:rPr>
        <w:fldChar w:fldCharType="end"/>
      </w:r>
      <w:r w:rsidRPr="00241A81">
        <w:rPr>
          <w:rFonts w:cs="Times New Roman"/>
          <w:szCs w:val="24"/>
          <w:lang w:val="en-US"/>
        </w:rPr>
        <w:t>).</w:t>
      </w:r>
    </w:p>
    <w:p w14:paraId="03AD5D67" w14:textId="77777777" w:rsidR="00F07199" w:rsidRPr="00241A81" w:rsidRDefault="00F07199" w:rsidP="00F07199">
      <w:pPr>
        <w:spacing w:line="480" w:lineRule="auto"/>
        <w:jc w:val="center"/>
        <w:rPr>
          <w:rFonts w:cs="Times New Roman"/>
          <w:szCs w:val="24"/>
          <w:lang w:val="en-US"/>
        </w:rPr>
      </w:pPr>
      <w:r w:rsidRPr="00241A81">
        <w:rPr>
          <w:rFonts w:cs="Times New Roman"/>
          <w:noProof/>
          <w:szCs w:val="24"/>
          <w:lang w:val="en-US"/>
        </w:rPr>
        <w:drawing>
          <wp:inline distT="0" distB="0" distL="0" distR="0" wp14:anchorId="548D152B" wp14:editId="4371F6E0">
            <wp:extent cx="946041" cy="1644761"/>
            <wp:effectExtent l="0" t="6667" r="317" b="31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oparticle pellet.jpg"/>
                    <pic:cNvPicPr/>
                  </pic:nvPicPr>
                  <pic:blipFill rotWithShape="1">
                    <a:blip r:embed="rId22">
                      <a:extLst>
                        <a:ext uri="{28A0092B-C50C-407E-A947-70E740481C1C}">
                          <a14:useLocalDpi xmlns:a14="http://schemas.microsoft.com/office/drawing/2010/main" val="0"/>
                        </a:ext>
                      </a:extLst>
                    </a:blip>
                    <a:srcRect l="45267" t="31395" r="38738" b="31528"/>
                    <a:stretch/>
                  </pic:blipFill>
                  <pic:spPr bwMode="auto">
                    <a:xfrm rot="5400000">
                      <a:off x="0" y="0"/>
                      <a:ext cx="950676" cy="1652819"/>
                    </a:xfrm>
                    <a:prstGeom prst="rect">
                      <a:avLst/>
                    </a:prstGeom>
                    <a:ln>
                      <a:noFill/>
                    </a:ln>
                    <a:extLst>
                      <a:ext uri="{53640926-AAD7-44D8-BBD7-CCE9431645EC}">
                        <a14:shadowObscured xmlns:a14="http://schemas.microsoft.com/office/drawing/2010/main"/>
                      </a:ext>
                    </a:extLst>
                  </pic:spPr>
                </pic:pic>
              </a:graphicData>
            </a:graphic>
          </wp:inline>
        </w:drawing>
      </w:r>
    </w:p>
    <w:p w14:paraId="2CE4F171" w14:textId="060C9841" w:rsidR="00F07199" w:rsidRPr="00117EF2" w:rsidRDefault="00F07199" w:rsidP="00F07199">
      <w:pPr>
        <w:pStyle w:val="Caption"/>
        <w:spacing w:line="480" w:lineRule="auto"/>
        <w:rPr>
          <w:rFonts w:cs="Times New Roman"/>
          <w:sz w:val="22"/>
          <w:szCs w:val="24"/>
          <w:lang w:val="en-US"/>
        </w:rPr>
      </w:pPr>
      <w:bookmarkStart w:id="32" w:name="_Ref36304373"/>
      <w:bookmarkStart w:id="33" w:name="_Toc45837579"/>
      <w:r w:rsidRPr="00241A81">
        <w:rPr>
          <w:rFonts w:cs="Times New Roman"/>
          <w:sz w:val="22"/>
          <w:szCs w:val="24"/>
          <w:lang w:val="en-US"/>
        </w:rPr>
        <w:t xml:space="preserve">Figure </w:t>
      </w:r>
      <w:r w:rsidRPr="00241A81">
        <w:rPr>
          <w:rFonts w:cs="Times New Roman"/>
          <w:sz w:val="22"/>
          <w:szCs w:val="24"/>
        </w:rPr>
        <w:fldChar w:fldCharType="begin"/>
      </w:r>
      <w:r w:rsidRPr="00241A81">
        <w:rPr>
          <w:rFonts w:cs="Times New Roman"/>
          <w:sz w:val="22"/>
          <w:szCs w:val="24"/>
          <w:lang w:val="en-US"/>
        </w:rPr>
        <w:instrText xml:space="preserve"> SEQ Figure \* ARABIC </w:instrText>
      </w:r>
      <w:r w:rsidRPr="00241A81">
        <w:rPr>
          <w:rFonts w:cs="Times New Roman"/>
          <w:sz w:val="22"/>
          <w:szCs w:val="24"/>
        </w:rPr>
        <w:fldChar w:fldCharType="separate"/>
      </w:r>
      <w:r w:rsidR="0008188F">
        <w:rPr>
          <w:rFonts w:cs="Times New Roman"/>
          <w:noProof/>
          <w:sz w:val="22"/>
          <w:szCs w:val="24"/>
          <w:lang w:val="en-US"/>
        </w:rPr>
        <w:t>8</w:t>
      </w:r>
      <w:r w:rsidRPr="00241A81">
        <w:rPr>
          <w:rFonts w:cs="Times New Roman"/>
          <w:sz w:val="22"/>
          <w:szCs w:val="24"/>
        </w:rPr>
        <w:fldChar w:fldCharType="end"/>
      </w:r>
      <w:bookmarkEnd w:id="32"/>
      <w:r w:rsidRPr="00241A81">
        <w:rPr>
          <w:rFonts w:cs="Times New Roman"/>
          <w:sz w:val="22"/>
          <w:szCs w:val="24"/>
          <w:lang w:val="en-US"/>
        </w:rPr>
        <w:t xml:space="preserve"> – Nanogard </w:t>
      </w:r>
      <w:r>
        <w:rPr>
          <w:rFonts w:cs="Times New Roman"/>
          <w:sz w:val="22"/>
          <w:szCs w:val="24"/>
          <w:lang w:val="en-US"/>
        </w:rPr>
        <w:t>disc</w:t>
      </w:r>
      <w:r w:rsidRPr="00241A81">
        <w:rPr>
          <w:rFonts w:cs="Times New Roman"/>
          <w:sz w:val="22"/>
          <w:szCs w:val="24"/>
          <w:lang w:val="en-US"/>
        </w:rPr>
        <w:t xml:space="preserve"> after powder press</w:t>
      </w:r>
      <w:bookmarkEnd w:id="33"/>
    </w:p>
    <w:p w14:paraId="660F384B" w14:textId="77777777" w:rsidR="00F07199" w:rsidRPr="00EA559E" w:rsidRDefault="00F07199" w:rsidP="00830771">
      <w:pPr>
        <w:pStyle w:val="Heading3"/>
      </w:pPr>
      <w:bookmarkStart w:id="34" w:name="_Toc45837544"/>
      <w:r w:rsidRPr="00EA559E">
        <w:t>Solvents</w:t>
      </w:r>
      <w:bookmarkEnd w:id="34"/>
    </w:p>
    <w:p w14:paraId="70EF7095" w14:textId="665CFDC1" w:rsidR="00F07199" w:rsidRDefault="00F07199" w:rsidP="00F07199">
      <w:pPr>
        <w:spacing w:line="480" w:lineRule="auto"/>
        <w:jc w:val="both"/>
        <w:rPr>
          <w:rFonts w:cs="Times New Roman"/>
          <w:szCs w:val="24"/>
          <w:lang w:val="en-US"/>
        </w:rPr>
      </w:pPr>
      <w:r>
        <w:rPr>
          <w:rFonts w:cs="Times New Roman"/>
          <w:i/>
          <w:iCs/>
          <w:szCs w:val="24"/>
          <w:lang w:val="en-US"/>
        </w:rPr>
        <w:tab/>
      </w:r>
      <w:r>
        <w:rPr>
          <w:rFonts w:cs="Times New Roman"/>
          <w:szCs w:val="24"/>
          <w:lang w:val="en-US"/>
        </w:rPr>
        <w:t>Six solvents (distilled water [lab grade], diiodomethane [Lot: S7359453, MilliporeSigma], bromonaphthalene [Lot: S6971210, MilliporeSigma], formamide [Lot: 94011020, Roche], ethanol [Lot: SHBK0402, Sigma-Aldrich] and ethylene glycol [Lot: SHBK3427, Sigma-Aldrich]) were selected based on their ability to meet the requirements of a reference liquid (e.g., complete wetting) and were used to determine the CA of specimens’ surfaces using the DPM method according to a method previously published</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mendeley":{"formattedCitation":"&lt;sup&gt;50&lt;/sup&gt;","plainTextFormattedCitation":"50","previouslyFormattedCitation":"&lt;sup&gt;50&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noProof/>
          <w:szCs w:val="24"/>
          <w:vertAlign w:val="superscript"/>
          <w:lang w:val="en-US"/>
        </w:rPr>
        <w:t>50</w:t>
      </w:r>
      <w:r>
        <w:rPr>
          <w:rStyle w:val="FootnoteReference"/>
          <w:rFonts w:cs="Times New Roman"/>
          <w:szCs w:val="24"/>
          <w:lang w:val="en-US"/>
        </w:rPr>
        <w:fldChar w:fldCharType="end"/>
      </w:r>
      <w:r w:rsidR="009C035F">
        <w:rPr>
          <w:rFonts w:cs="Times New Roman"/>
          <w:szCs w:val="24"/>
          <w:lang w:val="en-US"/>
        </w:rPr>
        <w:t>.</w:t>
      </w:r>
      <w:r>
        <w:rPr>
          <w:rFonts w:cs="Times New Roman"/>
          <w:szCs w:val="24"/>
          <w:lang w:val="en-US"/>
        </w:rPr>
        <w:t xml:space="preserve"> </w:t>
      </w:r>
      <w:r w:rsidR="002E55F3">
        <w:rPr>
          <w:rFonts w:cs="Times New Roman"/>
          <w:szCs w:val="24"/>
          <w:lang w:val="en-US"/>
        </w:rPr>
        <w:fldChar w:fldCharType="begin"/>
      </w:r>
      <w:r w:rsidR="002E55F3">
        <w:rPr>
          <w:rFonts w:cs="Times New Roman"/>
          <w:szCs w:val="24"/>
          <w:lang w:val="en-US"/>
        </w:rPr>
        <w:instrText xml:space="preserve"> REF _Ref46954131 \h </w:instrText>
      </w:r>
      <w:r w:rsidR="002E55F3">
        <w:rPr>
          <w:rFonts w:cs="Times New Roman"/>
          <w:szCs w:val="24"/>
          <w:lang w:val="en-US"/>
        </w:rPr>
      </w:r>
      <w:r w:rsidR="002E55F3">
        <w:rPr>
          <w:rFonts w:cs="Times New Roman"/>
          <w:szCs w:val="24"/>
          <w:lang w:val="en-US"/>
        </w:rPr>
        <w:fldChar w:fldCharType="separate"/>
      </w:r>
      <w:r w:rsidR="0008188F" w:rsidRPr="0008188F">
        <w:rPr>
          <w:lang w:val="en-US"/>
        </w:rPr>
        <w:t xml:space="preserve">Table </w:t>
      </w:r>
      <w:r w:rsidR="0008188F" w:rsidRPr="0008188F">
        <w:rPr>
          <w:noProof/>
          <w:lang w:val="en-US"/>
        </w:rPr>
        <w:t>1</w:t>
      </w:r>
      <w:r w:rsidR="002E55F3">
        <w:rPr>
          <w:rFonts w:cs="Times New Roman"/>
          <w:szCs w:val="24"/>
          <w:lang w:val="en-US"/>
        </w:rPr>
        <w:fldChar w:fldCharType="end"/>
      </w:r>
      <w:r w:rsidR="002E55F3">
        <w:rPr>
          <w:rFonts w:cs="Times New Roman"/>
          <w:szCs w:val="24"/>
          <w:lang w:val="en-US"/>
        </w:rPr>
        <w:t xml:space="preserve"> </w:t>
      </w:r>
      <w:r>
        <w:rPr>
          <w:rFonts w:cs="Times New Roman"/>
          <w:szCs w:val="24"/>
          <w:lang w:val="en-US"/>
        </w:rPr>
        <w:t>describes the viscosity, surface tension, and density properties of solvents investigated.</w:t>
      </w:r>
    </w:p>
    <w:p w14:paraId="077F60A1" w14:textId="77777777" w:rsidR="002E55F3" w:rsidRDefault="002E55F3" w:rsidP="00F07199">
      <w:pPr>
        <w:spacing w:line="480" w:lineRule="auto"/>
        <w:jc w:val="both"/>
        <w:rPr>
          <w:rFonts w:cs="Times New Roman"/>
          <w:szCs w:val="24"/>
          <w:lang w:val="en-US"/>
        </w:rPr>
      </w:pPr>
    </w:p>
    <w:p w14:paraId="79B01814" w14:textId="4CD04C5C" w:rsidR="001F18F2" w:rsidRDefault="001F18F2" w:rsidP="001F18F2">
      <w:pPr>
        <w:pStyle w:val="Caption"/>
        <w:rPr>
          <w:rFonts w:cs="Times New Roman"/>
          <w:szCs w:val="24"/>
          <w:lang w:val="en-US"/>
        </w:rPr>
      </w:pPr>
      <w:bookmarkStart w:id="35" w:name="_Ref46954131"/>
      <w:r>
        <w:t xml:space="preserve">Table </w:t>
      </w:r>
      <w:r w:rsidR="0008188F">
        <w:fldChar w:fldCharType="begin"/>
      </w:r>
      <w:r w:rsidR="0008188F">
        <w:instrText xml:space="preserve"> SEQ Table \* ARABIC </w:instrText>
      </w:r>
      <w:r w:rsidR="0008188F">
        <w:fldChar w:fldCharType="separate"/>
      </w:r>
      <w:r w:rsidR="0008188F">
        <w:rPr>
          <w:noProof/>
        </w:rPr>
        <w:t>1</w:t>
      </w:r>
      <w:r w:rsidR="0008188F">
        <w:rPr>
          <w:noProof/>
        </w:rPr>
        <w:fldChar w:fldCharType="end"/>
      </w:r>
      <w:bookmarkEnd w:id="35"/>
    </w:p>
    <w:tbl>
      <w:tblPr>
        <w:tblW w:w="6647" w:type="dxa"/>
        <w:jc w:val="center"/>
        <w:tblLook w:val="04A0" w:firstRow="1" w:lastRow="0" w:firstColumn="1" w:lastColumn="0" w:noHBand="0" w:noVBand="1"/>
      </w:tblPr>
      <w:tblGrid>
        <w:gridCol w:w="2043"/>
        <w:gridCol w:w="1495"/>
        <w:gridCol w:w="1654"/>
        <w:gridCol w:w="1455"/>
      </w:tblGrid>
      <w:tr w:rsidR="00F07199" w:rsidRPr="008B1BF4" w14:paraId="23B7F5BB" w14:textId="77777777" w:rsidTr="001F18F2">
        <w:trPr>
          <w:trHeight w:val="610"/>
          <w:jc w:val="center"/>
        </w:trPr>
        <w:tc>
          <w:tcPr>
            <w:tcW w:w="2043" w:type="dxa"/>
            <w:tcBorders>
              <w:top w:val="nil"/>
              <w:left w:val="nil"/>
              <w:bottom w:val="single" w:sz="4" w:space="0" w:color="auto"/>
              <w:right w:val="nil"/>
            </w:tcBorders>
            <w:shd w:val="clear" w:color="auto" w:fill="FFFFFF" w:themeFill="background1"/>
            <w:noWrap/>
            <w:vAlign w:val="center"/>
            <w:hideMark/>
          </w:tcPr>
          <w:p w14:paraId="2CBEEE14"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Solvent</w:t>
            </w:r>
          </w:p>
        </w:tc>
        <w:tc>
          <w:tcPr>
            <w:tcW w:w="1495" w:type="dxa"/>
            <w:tcBorders>
              <w:top w:val="nil"/>
              <w:left w:val="nil"/>
              <w:bottom w:val="single" w:sz="4" w:space="0" w:color="auto"/>
              <w:right w:val="nil"/>
            </w:tcBorders>
            <w:shd w:val="clear" w:color="auto" w:fill="FFFFFF" w:themeFill="background1"/>
            <w:vAlign w:val="bottom"/>
            <w:hideMark/>
          </w:tcPr>
          <w:p w14:paraId="33C0491D" w14:textId="77777777" w:rsidR="00F07199" w:rsidRPr="008B1BF4" w:rsidRDefault="00F07199" w:rsidP="00CC2C28">
            <w:pPr>
              <w:spacing w:after="0" w:line="240" w:lineRule="auto"/>
              <w:jc w:val="both"/>
              <w:rPr>
                <w:rFonts w:eastAsia="Times New Roman" w:cs="Times New Roman"/>
                <w:color w:val="000000" w:themeColor="text1"/>
                <w:lang w:val="en-US"/>
              </w:rPr>
            </w:pPr>
            <w:r w:rsidRPr="677E1CE1">
              <w:rPr>
                <w:rFonts w:eastAsia="Times New Roman" w:cs="Times New Roman"/>
                <w:color w:val="000000" w:themeColor="text1"/>
                <w:lang w:val="en-US"/>
              </w:rPr>
              <w:t xml:space="preserve">Viscosity </w:t>
            </w:r>
          </w:p>
          <w:p w14:paraId="72C19AD3" w14:textId="4295150D" w:rsidR="00F07199" w:rsidRPr="008B1BF4" w:rsidRDefault="00F07199" w:rsidP="00CC2C28">
            <w:pPr>
              <w:spacing w:after="0" w:line="240" w:lineRule="auto"/>
              <w:jc w:val="both"/>
              <w:rPr>
                <w:rFonts w:eastAsia="Times New Roman" w:cs="Times New Roman"/>
                <w:color w:val="000000" w:themeColor="text1"/>
                <w:lang w:val="en-US"/>
              </w:rPr>
            </w:pPr>
            <w:r w:rsidRPr="7579317E">
              <w:rPr>
                <w:rFonts w:eastAsia="Times New Roman" w:cs="Times New Roman"/>
                <w:color w:val="000000" w:themeColor="text1"/>
                <w:lang w:val="en-US"/>
              </w:rPr>
              <w:t>x 10</w:t>
            </w:r>
            <w:r w:rsidRPr="7579317E">
              <w:rPr>
                <w:rFonts w:eastAsia="Times New Roman" w:cs="Times New Roman"/>
                <w:color w:val="000000" w:themeColor="text1"/>
                <w:vertAlign w:val="superscript"/>
                <w:lang w:val="en-US"/>
              </w:rPr>
              <w:t>3</w:t>
            </w:r>
            <w:r w:rsidRPr="7579317E">
              <w:rPr>
                <w:rFonts w:eastAsia="Times New Roman" w:cs="Times New Roman"/>
                <w:color w:val="000000" w:themeColor="text1"/>
                <w:lang w:val="en-US"/>
              </w:rPr>
              <w:t xml:space="preserve"> (Pa</w:t>
            </w:r>
            <w:r w:rsidR="00782551">
              <w:rPr>
                <w:rFonts w:eastAsia="Times New Roman" w:cs="Times New Roman"/>
                <w:color w:val="000000" w:themeColor="text1"/>
                <w:lang w:val="en-US"/>
              </w:rPr>
              <w:t>.</w:t>
            </w:r>
            <w:r w:rsidRPr="7579317E">
              <w:rPr>
                <w:rFonts w:eastAsia="Times New Roman" w:cs="Times New Roman"/>
                <w:color w:val="000000" w:themeColor="text1"/>
                <w:lang w:val="en-US"/>
              </w:rPr>
              <w:t>s)</w:t>
            </w:r>
          </w:p>
        </w:tc>
        <w:tc>
          <w:tcPr>
            <w:tcW w:w="1654" w:type="dxa"/>
            <w:tcBorders>
              <w:top w:val="nil"/>
              <w:left w:val="nil"/>
              <w:bottom w:val="single" w:sz="4" w:space="0" w:color="auto"/>
              <w:right w:val="nil"/>
            </w:tcBorders>
            <w:shd w:val="clear" w:color="auto" w:fill="FFFFFF" w:themeFill="background1"/>
            <w:vAlign w:val="bottom"/>
            <w:hideMark/>
          </w:tcPr>
          <w:p w14:paraId="085D80D3" w14:textId="77777777" w:rsidR="00F07199" w:rsidRPr="008B1BF4" w:rsidRDefault="00F07199" w:rsidP="00CC2C28">
            <w:pPr>
              <w:spacing w:after="0" w:line="240" w:lineRule="auto"/>
              <w:jc w:val="both"/>
              <w:rPr>
                <w:rFonts w:eastAsia="Times New Roman" w:cs="Times New Roman"/>
                <w:color w:val="000000" w:themeColor="text1"/>
                <w:lang w:val="en-US"/>
              </w:rPr>
            </w:pPr>
            <w:r w:rsidRPr="677E1CE1">
              <w:rPr>
                <w:rFonts w:eastAsia="Times New Roman" w:cs="Times New Roman"/>
                <w:color w:val="000000" w:themeColor="text1"/>
                <w:lang w:val="en-US"/>
              </w:rPr>
              <w:t>Surface Tension</w:t>
            </w:r>
          </w:p>
          <w:p w14:paraId="0623CEFC" w14:textId="77777777" w:rsidR="00F07199" w:rsidRPr="008B1BF4" w:rsidRDefault="00F07199" w:rsidP="00CC2C28">
            <w:pPr>
              <w:spacing w:after="0" w:line="240" w:lineRule="auto"/>
              <w:jc w:val="both"/>
              <w:rPr>
                <w:rFonts w:eastAsia="Times New Roman" w:cs="Times New Roman"/>
                <w:color w:val="000000" w:themeColor="text1"/>
                <w:lang w:val="en-US"/>
              </w:rPr>
            </w:pPr>
            <w:r w:rsidRPr="7579317E">
              <w:rPr>
                <w:rFonts w:eastAsia="Times New Roman" w:cs="Times New Roman"/>
                <w:color w:val="000000" w:themeColor="text1"/>
                <w:lang w:val="en-US"/>
              </w:rPr>
              <w:t>x 10</w:t>
            </w:r>
            <w:r w:rsidRPr="7579317E">
              <w:rPr>
                <w:rFonts w:eastAsia="Times New Roman" w:cs="Times New Roman"/>
                <w:color w:val="000000" w:themeColor="text1"/>
                <w:vertAlign w:val="superscript"/>
                <w:lang w:val="en-US"/>
              </w:rPr>
              <w:t>3</w:t>
            </w:r>
            <w:r w:rsidRPr="7579317E">
              <w:rPr>
                <w:rFonts w:eastAsia="Times New Roman" w:cs="Times New Roman"/>
                <w:color w:val="000000" w:themeColor="text1"/>
                <w:lang w:val="en-US"/>
              </w:rPr>
              <w:t xml:space="preserve"> (N/m)</w:t>
            </w:r>
          </w:p>
        </w:tc>
        <w:tc>
          <w:tcPr>
            <w:tcW w:w="1455" w:type="dxa"/>
            <w:tcBorders>
              <w:top w:val="nil"/>
              <w:left w:val="nil"/>
              <w:bottom w:val="single" w:sz="4" w:space="0" w:color="auto"/>
              <w:right w:val="nil"/>
            </w:tcBorders>
            <w:shd w:val="clear" w:color="auto" w:fill="FFFFFF" w:themeFill="background1"/>
            <w:vAlign w:val="bottom"/>
            <w:hideMark/>
          </w:tcPr>
          <w:p w14:paraId="26C85318" w14:textId="77777777" w:rsidR="00F07199" w:rsidRPr="008B1BF4" w:rsidRDefault="00F07199" w:rsidP="00CC2C28">
            <w:pPr>
              <w:spacing w:after="0" w:line="240" w:lineRule="auto"/>
              <w:jc w:val="both"/>
              <w:rPr>
                <w:rFonts w:eastAsia="Times New Roman" w:cs="Times New Roman"/>
                <w:color w:val="000000" w:themeColor="text1"/>
                <w:lang w:val="en-US"/>
              </w:rPr>
            </w:pPr>
            <w:r w:rsidRPr="677E1CE1">
              <w:rPr>
                <w:rFonts w:eastAsia="Times New Roman" w:cs="Times New Roman"/>
                <w:color w:val="000000" w:themeColor="text1"/>
                <w:lang w:val="en-US"/>
              </w:rPr>
              <w:t xml:space="preserve">Density </w:t>
            </w:r>
          </w:p>
          <w:p w14:paraId="6E288660" w14:textId="77777777" w:rsidR="00F07199" w:rsidRPr="008B1BF4" w:rsidRDefault="00F07199" w:rsidP="00CC2C28">
            <w:pPr>
              <w:spacing w:after="0" w:line="240" w:lineRule="auto"/>
              <w:jc w:val="both"/>
              <w:rPr>
                <w:rFonts w:eastAsia="Times New Roman" w:cs="Times New Roman"/>
                <w:color w:val="000000" w:themeColor="text1"/>
                <w:lang w:val="en-US"/>
              </w:rPr>
            </w:pPr>
            <w:r w:rsidRPr="7579317E">
              <w:rPr>
                <w:rFonts w:eastAsia="Times New Roman" w:cs="Times New Roman"/>
                <w:color w:val="000000" w:themeColor="text1"/>
                <w:lang w:val="en-US"/>
              </w:rPr>
              <w:t>x 10</w:t>
            </w:r>
            <w:r w:rsidRPr="7579317E">
              <w:rPr>
                <w:rFonts w:eastAsia="Times New Roman" w:cs="Times New Roman"/>
                <w:color w:val="000000" w:themeColor="text1"/>
                <w:vertAlign w:val="superscript"/>
                <w:lang w:val="en-US"/>
              </w:rPr>
              <w:t>3</w:t>
            </w:r>
            <w:r w:rsidRPr="7579317E">
              <w:rPr>
                <w:rFonts w:eastAsia="Times New Roman" w:cs="Times New Roman"/>
                <w:color w:val="000000" w:themeColor="text1"/>
                <w:lang w:val="en-US"/>
              </w:rPr>
              <w:t xml:space="preserve"> (kg/m</w:t>
            </w:r>
            <w:r w:rsidRPr="7579317E">
              <w:rPr>
                <w:rFonts w:eastAsia="Times New Roman" w:cs="Times New Roman"/>
                <w:color w:val="000000" w:themeColor="text1"/>
                <w:vertAlign w:val="superscript"/>
                <w:lang w:val="en-US"/>
              </w:rPr>
              <w:t>3</w:t>
            </w:r>
            <w:r w:rsidRPr="7579317E">
              <w:rPr>
                <w:rFonts w:eastAsia="Times New Roman" w:cs="Times New Roman"/>
                <w:color w:val="000000" w:themeColor="text1"/>
                <w:lang w:val="en-US"/>
              </w:rPr>
              <w:t>)</w:t>
            </w:r>
          </w:p>
        </w:tc>
      </w:tr>
      <w:tr w:rsidR="00F07199" w:rsidRPr="008B1BF4" w14:paraId="1E5ABE69" w14:textId="77777777" w:rsidTr="001F18F2">
        <w:trPr>
          <w:trHeight w:val="290"/>
          <w:jc w:val="center"/>
        </w:trPr>
        <w:tc>
          <w:tcPr>
            <w:tcW w:w="2043" w:type="dxa"/>
            <w:tcBorders>
              <w:top w:val="nil"/>
              <w:left w:val="nil"/>
              <w:bottom w:val="nil"/>
              <w:right w:val="nil"/>
            </w:tcBorders>
            <w:shd w:val="clear" w:color="auto" w:fill="FFFFFF" w:themeFill="background1"/>
            <w:noWrap/>
            <w:vAlign w:val="bottom"/>
            <w:hideMark/>
          </w:tcPr>
          <w:p w14:paraId="635ACD4A"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Diiodomethane</w:t>
            </w:r>
          </w:p>
        </w:tc>
        <w:tc>
          <w:tcPr>
            <w:tcW w:w="1495" w:type="dxa"/>
            <w:tcBorders>
              <w:top w:val="nil"/>
              <w:left w:val="nil"/>
              <w:bottom w:val="nil"/>
              <w:right w:val="nil"/>
            </w:tcBorders>
            <w:shd w:val="clear" w:color="auto" w:fill="FFFFFF" w:themeFill="background1"/>
            <w:noWrap/>
            <w:vAlign w:val="center"/>
            <w:hideMark/>
          </w:tcPr>
          <w:p w14:paraId="2D827F3A"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2.6</w:t>
            </w:r>
          </w:p>
        </w:tc>
        <w:tc>
          <w:tcPr>
            <w:tcW w:w="1654" w:type="dxa"/>
            <w:tcBorders>
              <w:top w:val="nil"/>
              <w:left w:val="nil"/>
              <w:bottom w:val="nil"/>
              <w:right w:val="nil"/>
            </w:tcBorders>
            <w:shd w:val="clear" w:color="auto" w:fill="FFFFFF" w:themeFill="background1"/>
            <w:noWrap/>
            <w:vAlign w:val="center"/>
            <w:hideMark/>
          </w:tcPr>
          <w:p w14:paraId="0257AAC4"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50.8</w:t>
            </w:r>
          </w:p>
        </w:tc>
        <w:tc>
          <w:tcPr>
            <w:tcW w:w="1455" w:type="dxa"/>
            <w:tcBorders>
              <w:top w:val="nil"/>
              <w:left w:val="nil"/>
              <w:bottom w:val="nil"/>
              <w:right w:val="nil"/>
            </w:tcBorders>
            <w:shd w:val="clear" w:color="auto" w:fill="FFFFFF" w:themeFill="background1"/>
            <w:noWrap/>
            <w:vAlign w:val="center"/>
            <w:hideMark/>
          </w:tcPr>
          <w:p w14:paraId="783EDABF"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3.33</w:t>
            </w:r>
          </w:p>
        </w:tc>
      </w:tr>
      <w:tr w:rsidR="00F07199" w:rsidRPr="008B1BF4" w14:paraId="019C4009" w14:textId="77777777" w:rsidTr="001F18F2">
        <w:trPr>
          <w:trHeight w:val="290"/>
          <w:jc w:val="center"/>
        </w:trPr>
        <w:tc>
          <w:tcPr>
            <w:tcW w:w="2043" w:type="dxa"/>
            <w:tcBorders>
              <w:top w:val="nil"/>
              <w:left w:val="nil"/>
              <w:bottom w:val="nil"/>
              <w:right w:val="nil"/>
            </w:tcBorders>
            <w:shd w:val="clear" w:color="auto" w:fill="FFFFFF" w:themeFill="background1"/>
            <w:noWrap/>
            <w:vAlign w:val="bottom"/>
            <w:hideMark/>
          </w:tcPr>
          <w:p w14:paraId="1A4797A4"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Formamide</w:t>
            </w:r>
          </w:p>
        </w:tc>
        <w:tc>
          <w:tcPr>
            <w:tcW w:w="1495" w:type="dxa"/>
            <w:tcBorders>
              <w:top w:val="nil"/>
              <w:left w:val="nil"/>
              <w:bottom w:val="nil"/>
              <w:right w:val="nil"/>
            </w:tcBorders>
            <w:shd w:val="clear" w:color="auto" w:fill="FFFFFF" w:themeFill="background1"/>
            <w:noWrap/>
            <w:vAlign w:val="center"/>
            <w:hideMark/>
          </w:tcPr>
          <w:p w14:paraId="47912BB8"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3.34</w:t>
            </w:r>
          </w:p>
        </w:tc>
        <w:tc>
          <w:tcPr>
            <w:tcW w:w="1654" w:type="dxa"/>
            <w:tcBorders>
              <w:top w:val="nil"/>
              <w:left w:val="nil"/>
              <w:bottom w:val="nil"/>
              <w:right w:val="nil"/>
            </w:tcBorders>
            <w:shd w:val="clear" w:color="auto" w:fill="FFFFFF" w:themeFill="background1"/>
            <w:noWrap/>
            <w:vAlign w:val="center"/>
            <w:hideMark/>
          </w:tcPr>
          <w:p w14:paraId="27471414"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58</w:t>
            </w:r>
          </w:p>
        </w:tc>
        <w:tc>
          <w:tcPr>
            <w:tcW w:w="1455" w:type="dxa"/>
            <w:tcBorders>
              <w:top w:val="nil"/>
              <w:left w:val="nil"/>
              <w:bottom w:val="nil"/>
              <w:right w:val="nil"/>
            </w:tcBorders>
            <w:shd w:val="clear" w:color="auto" w:fill="FFFFFF" w:themeFill="background1"/>
            <w:noWrap/>
            <w:vAlign w:val="center"/>
            <w:hideMark/>
          </w:tcPr>
          <w:p w14:paraId="6CD9FBC2"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1.13</w:t>
            </w:r>
          </w:p>
        </w:tc>
      </w:tr>
      <w:tr w:rsidR="00F07199" w:rsidRPr="008B1BF4" w14:paraId="2370EBCB" w14:textId="77777777" w:rsidTr="001F18F2">
        <w:trPr>
          <w:trHeight w:val="290"/>
          <w:jc w:val="center"/>
        </w:trPr>
        <w:tc>
          <w:tcPr>
            <w:tcW w:w="2043" w:type="dxa"/>
            <w:tcBorders>
              <w:top w:val="nil"/>
              <w:left w:val="nil"/>
              <w:bottom w:val="nil"/>
              <w:right w:val="nil"/>
            </w:tcBorders>
            <w:shd w:val="clear" w:color="auto" w:fill="FFFFFF" w:themeFill="background1"/>
            <w:noWrap/>
            <w:vAlign w:val="bottom"/>
            <w:hideMark/>
          </w:tcPr>
          <w:p w14:paraId="625144CD"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 xml:space="preserve">Ethylene </w:t>
            </w:r>
            <w:r>
              <w:rPr>
                <w:rFonts w:eastAsia="Times New Roman" w:cs="Times New Roman"/>
                <w:color w:val="000000"/>
                <w:lang w:val="en-US"/>
              </w:rPr>
              <w:t>g</w:t>
            </w:r>
            <w:r w:rsidRPr="008B1BF4">
              <w:rPr>
                <w:rFonts w:eastAsia="Times New Roman" w:cs="Times New Roman"/>
                <w:color w:val="000000"/>
                <w:lang w:val="en-US"/>
              </w:rPr>
              <w:t>lycol</w:t>
            </w:r>
          </w:p>
        </w:tc>
        <w:tc>
          <w:tcPr>
            <w:tcW w:w="1495" w:type="dxa"/>
            <w:tcBorders>
              <w:top w:val="nil"/>
              <w:left w:val="nil"/>
              <w:bottom w:val="nil"/>
              <w:right w:val="nil"/>
            </w:tcBorders>
            <w:shd w:val="clear" w:color="auto" w:fill="FFFFFF" w:themeFill="background1"/>
            <w:noWrap/>
            <w:vAlign w:val="center"/>
            <w:hideMark/>
          </w:tcPr>
          <w:p w14:paraId="62C95AC4"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16.2</w:t>
            </w:r>
          </w:p>
        </w:tc>
        <w:tc>
          <w:tcPr>
            <w:tcW w:w="1654" w:type="dxa"/>
            <w:tcBorders>
              <w:top w:val="nil"/>
              <w:left w:val="nil"/>
              <w:bottom w:val="nil"/>
              <w:right w:val="nil"/>
            </w:tcBorders>
            <w:shd w:val="clear" w:color="auto" w:fill="FFFFFF" w:themeFill="background1"/>
            <w:noWrap/>
            <w:vAlign w:val="center"/>
            <w:hideMark/>
          </w:tcPr>
          <w:p w14:paraId="61AC04E4"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48</w:t>
            </w:r>
          </w:p>
        </w:tc>
        <w:tc>
          <w:tcPr>
            <w:tcW w:w="1455" w:type="dxa"/>
            <w:tcBorders>
              <w:top w:val="nil"/>
              <w:left w:val="nil"/>
              <w:bottom w:val="nil"/>
              <w:right w:val="nil"/>
            </w:tcBorders>
            <w:shd w:val="clear" w:color="auto" w:fill="FFFFFF" w:themeFill="background1"/>
            <w:noWrap/>
            <w:vAlign w:val="center"/>
            <w:hideMark/>
          </w:tcPr>
          <w:p w14:paraId="1F448A0E"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1.11</w:t>
            </w:r>
          </w:p>
        </w:tc>
      </w:tr>
      <w:tr w:rsidR="00F07199" w:rsidRPr="008B1BF4" w14:paraId="5B32E4C7" w14:textId="77777777" w:rsidTr="001F18F2">
        <w:trPr>
          <w:trHeight w:val="290"/>
          <w:jc w:val="center"/>
        </w:trPr>
        <w:tc>
          <w:tcPr>
            <w:tcW w:w="2043" w:type="dxa"/>
            <w:tcBorders>
              <w:top w:val="nil"/>
              <w:left w:val="nil"/>
              <w:bottom w:val="nil"/>
              <w:right w:val="nil"/>
            </w:tcBorders>
            <w:shd w:val="clear" w:color="auto" w:fill="FFFFFF" w:themeFill="background1"/>
            <w:noWrap/>
            <w:vAlign w:val="bottom"/>
            <w:hideMark/>
          </w:tcPr>
          <w:p w14:paraId="3E1280C5"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Bromonaphthalene</w:t>
            </w:r>
          </w:p>
        </w:tc>
        <w:tc>
          <w:tcPr>
            <w:tcW w:w="1495" w:type="dxa"/>
            <w:tcBorders>
              <w:top w:val="nil"/>
              <w:left w:val="nil"/>
              <w:bottom w:val="nil"/>
              <w:right w:val="nil"/>
            </w:tcBorders>
            <w:shd w:val="clear" w:color="auto" w:fill="FFFFFF" w:themeFill="background1"/>
            <w:noWrap/>
            <w:vAlign w:val="center"/>
            <w:hideMark/>
          </w:tcPr>
          <w:p w14:paraId="66E2DDFB" w14:textId="77777777" w:rsidR="00F07199" w:rsidRPr="00E56895" w:rsidRDefault="00F07199" w:rsidP="00CC2C28">
            <w:pPr>
              <w:spacing w:after="0" w:line="240" w:lineRule="auto"/>
              <w:jc w:val="both"/>
              <w:rPr>
                <w:rFonts w:eastAsia="Times New Roman" w:cs="Times New Roman"/>
                <w:color w:val="000000"/>
                <w:vertAlign w:val="superscript"/>
                <w:lang w:val="en-US"/>
              </w:rPr>
            </w:pPr>
            <w:r w:rsidRPr="008B1BF4">
              <w:rPr>
                <w:rFonts w:eastAsia="Times New Roman" w:cs="Times New Roman"/>
                <w:color w:val="000000"/>
                <w:lang w:val="en-US"/>
              </w:rPr>
              <w:t>4.8</w:t>
            </w:r>
            <w:r>
              <w:rPr>
                <w:rFonts w:eastAsia="Times New Roman" w:cs="Times New Roman"/>
                <w:color w:val="000000"/>
                <w:vertAlign w:val="superscript"/>
                <w:lang w:val="en-US"/>
              </w:rPr>
              <w:t>a</w:t>
            </w:r>
          </w:p>
        </w:tc>
        <w:tc>
          <w:tcPr>
            <w:tcW w:w="1654" w:type="dxa"/>
            <w:tcBorders>
              <w:top w:val="nil"/>
              <w:left w:val="nil"/>
              <w:bottom w:val="nil"/>
              <w:right w:val="nil"/>
            </w:tcBorders>
            <w:shd w:val="clear" w:color="auto" w:fill="FFFFFF" w:themeFill="background1"/>
            <w:noWrap/>
            <w:vAlign w:val="center"/>
            <w:hideMark/>
          </w:tcPr>
          <w:p w14:paraId="286ACCE9"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44.4</w:t>
            </w:r>
          </w:p>
        </w:tc>
        <w:tc>
          <w:tcPr>
            <w:tcW w:w="1455" w:type="dxa"/>
            <w:tcBorders>
              <w:top w:val="nil"/>
              <w:left w:val="nil"/>
              <w:bottom w:val="nil"/>
              <w:right w:val="nil"/>
            </w:tcBorders>
            <w:shd w:val="clear" w:color="auto" w:fill="FFFFFF" w:themeFill="background1"/>
            <w:noWrap/>
            <w:vAlign w:val="center"/>
            <w:hideMark/>
          </w:tcPr>
          <w:p w14:paraId="2443E19C"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1.48</w:t>
            </w:r>
          </w:p>
        </w:tc>
      </w:tr>
      <w:tr w:rsidR="00F07199" w:rsidRPr="008B1BF4" w14:paraId="037BF6AD" w14:textId="77777777" w:rsidTr="001F18F2">
        <w:trPr>
          <w:trHeight w:val="290"/>
          <w:jc w:val="center"/>
        </w:trPr>
        <w:tc>
          <w:tcPr>
            <w:tcW w:w="2043" w:type="dxa"/>
            <w:tcBorders>
              <w:top w:val="nil"/>
              <w:left w:val="nil"/>
              <w:bottom w:val="nil"/>
              <w:right w:val="nil"/>
            </w:tcBorders>
            <w:shd w:val="clear" w:color="auto" w:fill="FFFFFF" w:themeFill="background1"/>
            <w:noWrap/>
            <w:vAlign w:val="bottom"/>
            <w:hideMark/>
          </w:tcPr>
          <w:p w14:paraId="4A7F8E98"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Water</w:t>
            </w:r>
          </w:p>
        </w:tc>
        <w:tc>
          <w:tcPr>
            <w:tcW w:w="1495" w:type="dxa"/>
            <w:tcBorders>
              <w:top w:val="nil"/>
              <w:left w:val="nil"/>
              <w:bottom w:val="nil"/>
              <w:right w:val="nil"/>
            </w:tcBorders>
            <w:shd w:val="clear" w:color="auto" w:fill="FFFFFF" w:themeFill="background1"/>
            <w:noWrap/>
            <w:vAlign w:val="center"/>
            <w:hideMark/>
          </w:tcPr>
          <w:p w14:paraId="1A8E3111"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0.89</w:t>
            </w:r>
          </w:p>
        </w:tc>
        <w:tc>
          <w:tcPr>
            <w:tcW w:w="1654" w:type="dxa"/>
            <w:tcBorders>
              <w:top w:val="nil"/>
              <w:left w:val="nil"/>
              <w:bottom w:val="nil"/>
              <w:right w:val="nil"/>
            </w:tcBorders>
            <w:shd w:val="clear" w:color="auto" w:fill="FFFFFF" w:themeFill="background1"/>
            <w:noWrap/>
            <w:vAlign w:val="center"/>
            <w:hideMark/>
          </w:tcPr>
          <w:p w14:paraId="5BFD1677"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72.8</w:t>
            </w:r>
          </w:p>
        </w:tc>
        <w:tc>
          <w:tcPr>
            <w:tcW w:w="1455" w:type="dxa"/>
            <w:tcBorders>
              <w:top w:val="nil"/>
              <w:left w:val="nil"/>
              <w:bottom w:val="nil"/>
              <w:right w:val="nil"/>
            </w:tcBorders>
            <w:shd w:val="clear" w:color="auto" w:fill="FFFFFF" w:themeFill="background1"/>
            <w:noWrap/>
            <w:vAlign w:val="center"/>
            <w:hideMark/>
          </w:tcPr>
          <w:p w14:paraId="1753C367"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1</w:t>
            </w:r>
          </w:p>
        </w:tc>
      </w:tr>
      <w:tr w:rsidR="00F07199" w:rsidRPr="008B1BF4" w14:paraId="78221CE6" w14:textId="77777777" w:rsidTr="001F18F2">
        <w:trPr>
          <w:trHeight w:val="290"/>
          <w:jc w:val="center"/>
        </w:trPr>
        <w:tc>
          <w:tcPr>
            <w:tcW w:w="2043" w:type="dxa"/>
            <w:tcBorders>
              <w:top w:val="nil"/>
              <w:left w:val="nil"/>
              <w:bottom w:val="single" w:sz="4" w:space="0" w:color="auto"/>
              <w:right w:val="nil"/>
            </w:tcBorders>
            <w:shd w:val="clear" w:color="auto" w:fill="FFFFFF" w:themeFill="background1"/>
            <w:noWrap/>
            <w:vAlign w:val="bottom"/>
            <w:hideMark/>
          </w:tcPr>
          <w:p w14:paraId="45B2FD6D"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Ethanol</w:t>
            </w:r>
          </w:p>
        </w:tc>
        <w:tc>
          <w:tcPr>
            <w:tcW w:w="1495" w:type="dxa"/>
            <w:tcBorders>
              <w:top w:val="nil"/>
              <w:left w:val="nil"/>
              <w:bottom w:val="single" w:sz="4" w:space="0" w:color="auto"/>
              <w:right w:val="nil"/>
            </w:tcBorders>
            <w:shd w:val="clear" w:color="auto" w:fill="FFFFFF" w:themeFill="background1"/>
            <w:noWrap/>
            <w:vAlign w:val="center"/>
            <w:hideMark/>
          </w:tcPr>
          <w:p w14:paraId="7EB1095F"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1.095</w:t>
            </w:r>
          </w:p>
        </w:tc>
        <w:tc>
          <w:tcPr>
            <w:tcW w:w="1654" w:type="dxa"/>
            <w:tcBorders>
              <w:top w:val="nil"/>
              <w:left w:val="nil"/>
              <w:bottom w:val="single" w:sz="4" w:space="0" w:color="auto"/>
              <w:right w:val="nil"/>
            </w:tcBorders>
            <w:shd w:val="clear" w:color="auto" w:fill="FFFFFF" w:themeFill="background1"/>
            <w:noWrap/>
            <w:vAlign w:val="center"/>
            <w:hideMark/>
          </w:tcPr>
          <w:p w14:paraId="68C18C5A"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22.4</w:t>
            </w:r>
          </w:p>
        </w:tc>
        <w:tc>
          <w:tcPr>
            <w:tcW w:w="1455" w:type="dxa"/>
            <w:tcBorders>
              <w:top w:val="nil"/>
              <w:left w:val="nil"/>
              <w:bottom w:val="single" w:sz="4" w:space="0" w:color="auto"/>
              <w:right w:val="nil"/>
            </w:tcBorders>
            <w:shd w:val="clear" w:color="auto" w:fill="FFFFFF" w:themeFill="background1"/>
            <w:noWrap/>
            <w:vAlign w:val="center"/>
            <w:hideMark/>
          </w:tcPr>
          <w:p w14:paraId="643248DC" w14:textId="77777777" w:rsidR="00F07199" w:rsidRPr="008B1BF4" w:rsidRDefault="00F07199" w:rsidP="00CC2C28">
            <w:pPr>
              <w:spacing w:after="0" w:line="240" w:lineRule="auto"/>
              <w:jc w:val="both"/>
              <w:rPr>
                <w:rFonts w:eastAsia="Times New Roman" w:cs="Times New Roman"/>
                <w:color w:val="000000"/>
                <w:lang w:val="en-US"/>
              </w:rPr>
            </w:pPr>
            <w:r w:rsidRPr="008B1BF4">
              <w:rPr>
                <w:rFonts w:eastAsia="Times New Roman" w:cs="Times New Roman"/>
                <w:color w:val="000000"/>
                <w:lang w:val="en-US"/>
              </w:rPr>
              <w:t>0.79</w:t>
            </w:r>
          </w:p>
        </w:tc>
      </w:tr>
    </w:tbl>
    <w:p w14:paraId="7D1707D6" w14:textId="40DCC59D" w:rsidR="001F18F2" w:rsidRPr="001F18F2" w:rsidRDefault="001F18F2" w:rsidP="001F18F2">
      <w:pPr>
        <w:rPr>
          <w:lang w:val="en-US"/>
        </w:rPr>
      </w:pPr>
      <w:r w:rsidRPr="001F18F2">
        <w:rPr>
          <w:lang w:val="en-US"/>
        </w:rPr>
        <w:t>Liquid properties of solvents at 25°C; Note: All data cited from Van Oss et al. unless denoted otherwise</w:t>
      </w:r>
      <w:r>
        <w:rPr>
          <w:lang w:val="en-US"/>
        </w:rPr>
        <w:fldChar w:fldCharType="begin" w:fldLock="1"/>
      </w:r>
      <w:r w:rsidR="004871C8">
        <w:rPr>
          <w:lang w:val="en-US"/>
        </w:rPr>
        <w:instrText>ADDIN CSL_CITATION {"citationItems":[{"id":"ITEM-1","itemData":{"DOI":"doi:10.1002/jctb.280640321","author":[{"dropping-particle":"","family":"(ed.)","given":"C.J. van Oss","non-dropping-particle":"","parse-names":false,"suffix":""}],"container-title":"CRC Press","edition":"2nd","id":"ITEM-1","issue":"3","issued":{"date-parts":[["2006"]]},"number-of-pages":"311","title":"Interfacial forces in aqueous media","type":"book","volume":"64"},"uris":["http://www.mendeley.com/documents/?uuid=9f07f5a7-3534-4d9f-86e7-8156d6725ee5"]}],"mendeley":{"formattedCitation":"&lt;sup&gt;60&lt;/sup&gt;","plainTextFormattedCitation":"60","previouslyFormattedCitation":"&lt;sup&gt;60&lt;/sup&gt;"},"properties":{"noteIndex":0},"schema":"https://github.com/citation-style-language/schema/raw/master/csl-citation.json"}</w:instrText>
      </w:r>
      <w:r>
        <w:rPr>
          <w:lang w:val="en-US"/>
        </w:rPr>
        <w:fldChar w:fldCharType="separate"/>
      </w:r>
      <w:r w:rsidR="00B01517" w:rsidRPr="00B01517">
        <w:rPr>
          <w:noProof/>
          <w:vertAlign w:val="superscript"/>
          <w:lang w:val="en-US"/>
        </w:rPr>
        <w:t>60</w:t>
      </w:r>
      <w:r>
        <w:rPr>
          <w:lang w:val="en-US"/>
        </w:rPr>
        <w:fldChar w:fldCharType="end"/>
      </w:r>
      <w:r w:rsidRPr="001F18F2">
        <w:rPr>
          <w:lang w:val="en-US"/>
        </w:rPr>
        <w:t>. a</w:t>
      </w:r>
      <w:r>
        <w:rPr>
          <w:lang w:val="en-US"/>
        </w:rPr>
        <w:fldChar w:fldCharType="begin" w:fldLock="1"/>
      </w:r>
      <w:r w:rsidR="004871C8">
        <w:rPr>
          <w:lang w:val="en-US"/>
        </w:rPr>
        <w:instrText>ADDIN CSL_CITATION {"citationItems":[{"id":"ITEM-1","itemData":{"DOI":"10.1007/BF01329266","ISSN":"00354511","abstract":"Illinois coal was ground and wet-sieved to prepare three powder stocks\\nwhose particle-size distributions were characterized. Three suspending\\nfluids were used (glycerin, bromonaphthalene, Aroclor), with viscositieseegr\\ns that differed by a factor of 100 and with very different chemistries,\\nbut whose densities matched that of the coal. Suspensions were prepared\\nunder vacuum, with coal volume fractionsphgr that ranged up to 0.46.\\nViscosities were measured in a cone-and-plate over a shear rate (\\dot\\nγ) range 10</w:instrText>
      </w:r>
      <w:r w:rsidR="004871C8">
        <w:rPr>
          <w:rFonts w:ascii="Tahoma" w:hAnsi="Tahoma" w:cs="Tahoma"/>
          <w:lang w:val="en-US"/>
        </w:rPr>
        <w:instrText>�</w:instrText>
      </w:r>
      <w:r w:rsidR="004871C8">
        <w:rPr>
          <w:lang w:val="en-US"/>
        </w:rPr>
        <w:instrText>3</w:instrText>
      </w:r>
      <w:r w:rsidR="004871C8">
        <w:rPr>
          <w:rFonts w:ascii="Tahoma" w:hAnsi="Tahoma" w:cs="Tahoma"/>
          <w:lang w:val="en-US"/>
        </w:rPr>
        <w:instrText>�</w:instrText>
      </w:r>
      <w:r w:rsidR="004871C8">
        <w:rPr>
          <w:lang w:val="en-US"/>
        </w:rPr>
        <w:instrText>102 s</w:instrText>
      </w:r>
      <w:r w:rsidR="004871C8">
        <w:rPr>
          <w:rFonts w:ascii="Tahoma" w:hAnsi="Tahoma" w:cs="Tahoma"/>
          <w:lang w:val="en-US"/>
        </w:rPr>
        <w:instrText>�</w:instrText>
      </w:r>
      <w:r w:rsidR="004871C8">
        <w:rPr>
          <w:lang w:val="en-US"/>
        </w:rPr>
        <w:instrText>1. Reduced viscosityeegr r = eegr/eegrs\\nis correlated in the high-shear limit (eegr infin) withphgr/phgr\\nMinfin, wherephgr Minfin is the maximum packing fraction for the\\nhigh-shear microstructure, to reveal the roles of size distribution\\nand suspending fluid character. A new model that invokes the stress-dependence\\nofphgr M is found to correlateeegr r well under non-Newtonian conditions\\nwith simultaneous prediction of yield stress at sufficiently highphgr;\\na critical result is that stress and not \\dot γ governs\\nthe microstructure and rheology. Numerous experimental anomalies\\nprovide insight into suspension behavior.","author":[{"dropping-particle":"","family":"Wildemuth","given":"C. R.","non-dropping-particle":"","parse-names":false,"suffix":""},{"dropping-particle":"","family":"Williams","given":"M. C.","non-dropping-particle":"","parse-names":false,"suffix":""}],"container-title":"Rheologica Acta","id":"ITEM-1","issue":"1","issued":{"date-parts":[["1985"]]},"page":"75-91","title":"A new interpretation of viscosity and yield stress in dense slurries: Coal and other irregular particles","type":"article","volume":"24"},"uris":["http://www.mendeley.com/documents/?uuid=97057e12-a02e-4247-a5d5-24977f6ad827"]}],"mendeley":{"formattedCitation":"&lt;sup&gt;61&lt;/sup&gt;","plainTextFormattedCitation":"61","previouslyFormattedCitation":"&lt;sup&gt;61&lt;/sup&gt;"},"properties":{"noteIndex":0},"schema":"https://github.com/citation-style-language/schema/raw/master/csl-citation.json"}</w:instrText>
      </w:r>
      <w:r>
        <w:rPr>
          <w:lang w:val="en-US"/>
        </w:rPr>
        <w:fldChar w:fldCharType="separate"/>
      </w:r>
      <w:r w:rsidR="00B01517" w:rsidRPr="00B01517">
        <w:rPr>
          <w:noProof/>
          <w:vertAlign w:val="superscript"/>
          <w:lang w:val="en-US"/>
        </w:rPr>
        <w:t>61</w:t>
      </w:r>
      <w:r>
        <w:rPr>
          <w:lang w:val="en-US"/>
        </w:rPr>
        <w:fldChar w:fldCharType="end"/>
      </w:r>
    </w:p>
    <w:p w14:paraId="6C639CC6" w14:textId="6DCD6E8D" w:rsidR="00F07199" w:rsidRPr="009D319F" w:rsidRDefault="00F07199" w:rsidP="00830771">
      <w:pPr>
        <w:pStyle w:val="Heading3"/>
      </w:pPr>
      <w:bookmarkStart w:id="36" w:name="_Toc45837545"/>
      <w:r w:rsidRPr="009D319F">
        <w:t xml:space="preserve">Contact </w:t>
      </w:r>
      <w:r>
        <w:t>a</w:t>
      </w:r>
      <w:r w:rsidRPr="009D319F">
        <w:t xml:space="preserve">ngle </w:t>
      </w:r>
      <w:r>
        <w:t>m</w:t>
      </w:r>
      <w:r w:rsidRPr="009D319F">
        <w:t>easurement</w:t>
      </w:r>
      <w:r>
        <w:t>s</w:t>
      </w:r>
      <w:bookmarkEnd w:id="36"/>
    </w:p>
    <w:p w14:paraId="44824360" w14:textId="6DFDC977" w:rsidR="00F07199" w:rsidRDefault="00F07199" w:rsidP="00F07199">
      <w:pPr>
        <w:spacing w:after="0" w:line="480" w:lineRule="auto"/>
        <w:jc w:val="both"/>
        <w:rPr>
          <w:rFonts w:cs="Times New Roman"/>
          <w:szCs w:val="24"/>
          <w:lang w:val="en-US"/>
        </w:rPr>
      </w:pPr>
      <w:r>
        <w:rPr>
          <w:rFonts w:cs="Times New Roman"/>
          <w:szCs w:val="24"/>
          <w:lang w:val="en-US"/>
        </w:rPr>
        <w:tab/>
      </w:r>
      <w:r w:rsidRPr="002731F1">
        <w:rPr>
          <w:rFonts w:cs="Times New Roman"/>
          <w:szCs w:val="24"/>
          <w:lang w:val="en-US"/>
        </w:rPr>
        <w:t>A contact angle goniometer (OCA 15, Future Digital Scientific Corp.</w:t>
      </w:r>
      <w:r>
        <w:rPr>
          <w:rFonts w:cs="Times New Roman"/>
          <w:szCs w:val="24"/>
          <w:lang w:val="en-US"/>
        </w:rPr>
        <w:t xml:space="preserve">) coupled with a high-definition and high-speed digital camera (up to 50 frames/second), an environmental chamber and a computer-controlled solvent-dispensing system was used to individually dispense axisymmetric droplets of each solvent (volumes according to </w:t>
      </w:r>
      <w:r w:rsidR="00ED3841">
        <w:rPr>
          <w:rFonts w:cs="Times New Roman"/>
          <w:szCs w:val="24"/>
          <w:lang w:val="en-US"/>
        </w:rPr>
        <w:fldChar w:fldCharType="begin"/>
      </w:r>
      <w:r w:rsidR="00ED3841">
        <w:rPr>
          <w:rFonts w:cs="Times New Roman"/>
          <w:szCs w:val="24"/>
          <w:lang w:val="en-US"/>
        </w:rPr>
        <w:instrText xml:space="preserve"> REF _Ref36304616 \h </w:instrText>
      </w:r>
      <w:r w:rsidR="00ED3841">
        <w:rPr>
          <w:rFonts w:cs="Times New Roman"/>
          <w:szCs w:val="24"/>
          <w:lang w:val="en-US"/>
        </w:rPr>
      </w:r>
      <w:r w:rsidR="00ED3841">
        <w:rPr>
          <w:rFonts w:cs="Times New Roman"/>
          <w:szCs w:val="24"/>
          <w:lang w:val="en-US"/>
        </w:rPr>
        <w:fldChar w:fldCharType="separate"/>
      </w:r>
      <w:r w:rsidR="0008188F" w:rsidRPr="00ED3841">
        <w:rPr>
          <w:lang w:val="en-US"/>
        </w:rPr>
        <w:t xml:space="preserve">Table </w:t>
      </w:r>
      <w:r w:rsidR="0008188F">
        <w:rPr>
          <w:noProof/>
          <w:lang w:val="en-US"/>
        </w:rPr>
        <w:t>2</w:t>
      </w:r>
      <w:r w:rsidR="00ED3841">
        <w:rPr>
          <w:rFonts w:cs="Times New Roman"/>
          <w:szCs w:val="24"/>
          <w:lang w:val="en-US"/>
        </w:rPr>
        <w:fldChar w:fldCharType="end"/>
      </w:r>
      <w:r>
        <w:rPr>
          <w:rFonts w:cs="Times New Roman"/>
          <w:szCs w:val="24"/>
          <w:lang w:val="en-US"/>
        </w:rPr>
        <w:t xml:space="preserve">) onto the surfaces of separate specimens (n=2/group) at </w:t>
      </w:r>
      <w:r w:rsidRPr="006731FB">
        <w:rPr>
          <w:rFonts w:cs="Times New Roman"/>
          <w:szCs w:val="24"/>
          <w:lang w:val="en-US"/>
        </w:rPr>
        <w:t>3</w:t>
      </w:r>
      <w:r>
        <w:rPr>
          <w:rFonts w:cs="Times New Roman"/>
          <w:szCs w:val="24"/>
          <w:lang w:val="en-US"/>
        </w:rPr>
        <w:t xml:space="preserve"> random locations. </w:t>
      </w:r>
      <w:r w:rsidR="00782551" w:rsidRPr="00782551">
        <w:rPr>
          <w:rFonts w:cs="Times New Roman"/>
          <w:szCs w:val="24"/>
          <w:lang w:val="en-US"/>
        </w:rPr>
        <w:t xml:space="preserve">Digital images (25 frames/s) were captured (1 min, 22 </w:t>
      </w:r>
      <w:r w:rsidR="00782551" w:rsidRPr="00782551">
        <w:rPr>
          <w:rFonts w:cs="Times New Roman"/>
          <w:szCs w:val="24"/>
          <w:lang w:val="en-US"/>
        </w:rPr>
        <w:sym w:font="Symbol" w:char="F0B1"/>
      </w:r>
      <w:r w:rsidR="00782551" w:rsidRPr="00782551">
        <w:rPr>
          <w:rFonts w:cs="Times New Roman"/>
          <w:szCs w:val="24"/>
          <w:lang w:val="en-US"/>
        </w:rPr>
        <w:t xml:space="preserve"> 1</w:t>
      </w:r>
      <w:r w:rsidR="00782551" w:rsidRPr="00782551">
        <w:rPr>
          <w:rFonts w:cs="Times New Roman"/>
          <w:szCs w:val="24"/>
          <w:lang w:val="en-US"/>
        </w:rPr>
        <w:sym w:font="Symbol" w:char="F0B0"/>
      </w:r>
      <w:r w:rsidR="00782551" w:rsidRPr="00782551">
        <w:rPr>
          <w:rFonts w:cs="Times New Roman"/>
          <w:szCs w:val="24"/>
          <w:lang w:val="en-US"/>
        </w:rPr>
        <w:t>C) to determine the evolution of the drop absorption by the compressed disc. The evolution of the droplet and its contact angle</w:t>
      </w:r>
      <w:r w:rsidR="001F31C3">
        <w:rPr>
          <w:rFonts w:cs="Times New Roman"/>
          <w:szCs w:val="24"/>
          <w:lang w:val="en-US"/>
        </w:rPr>
        <w:t xml:space="preserve"> </w:t>
      </w:r>
      <w:r w:rsidR="00782551" w:rsidRPr="00782551">
        <w:rPr>
          <w:rFonts w:cs="Times New Roman"/>
          <w:szCs w:val="24"/>
          <w:lang w:val="en-US"/>
        </w:rPr>
        <w:t>was determined using SCA 20 V.4.4.3 software program. The average of the contact angle measurements at τ</w:t>
      </w:r>
      <w:r w:rsidR="00782551" w:rsidRPr="00782551">
        <w:rPr>
          <w:rFonts w:cs="Times New Roman"/>
          <w:szCs w:val="24"/>
          <w:vertAlign w:val="subscript"/>
          <w:lang w:val="en-US"/>
        </w:rPr>
        <w:t xml:space="preserve">α=0.50 </w:t>
      </w:r>
      <w:r w:rsidR="00782551" w:rsidRPr="00782551">
        <w:rPr>
          <w:rFonts w:cs="Times New Roman"/>
          <w:szCs w:val="24"/>
          <w:lang w:val="en-US"/>
        </w:rPr>
        <w:t>and τ</w:t>
      </w:r>
      <w:r w:rsidR="00782551" w:rsidRPr="00782551">
        <w:rPr>
          <w:rFonts w:cs="Times New Roman"/>
          <w:szCs w:val="24"/>
          <w:vertAlign w:val="subscript"/>
          <w:lang w:val="en-US"/>
        </w:rPr>
        <w:t xml:space="preserve">α=0.75 </w:t>
      </w:r>
      <w:r w:rsidR="00782551" w:rsidRPr="00782551">
        <w:rPr>
          <w:rFonts w:cs="Times New Roman"/>
          <w:szCs w:val="24"/>
          <w:lang w:val="en-US"/>
        </w:rPr>
        <w:t>are used for contact angle data reporting. It is important to highlight that even though drop-volumes varied according to solvent considered, volumes used never exceeded the threshold of 10 μL to prevent gravitational forces from distorting the results</w:t>
      </w:r>
      <w:r w:rsidR="00782551" w:rsidRPr="00782551">
        <w:rPr>
          <w:rStyle w:val="FootnoteReference"/>
          <w:rFonts w:cs="Times New Roman"/>
          <w:szCs w:val="24"/>
          <w:lang w:val="en-US"/>
        </w:rPr>
        <w:fldChar w:fldCharType="begin" w:fldLock="1"/>
      </w:r>
      <w:r w:rsidR="004871C8">
        <w:rPr>
          <w:rFonts w:cs="Times New Roman"/>
          <w:szCs w:val="24"/>
          <w:lang w:val="en-US"/>
        </w:rPr>
        <w:instrText>ADDIN CSL_CITATION {"citationItems":[{"id":"ITEM-1","itemData":{"DOI":"https://doi.org/10.1016/0032-5910(93)80077-N","ISSN":"0032-5910","abstract":"The effect of different surface active agents and interactive mixing with high density carrier particles on the dispersion of cohesive furosemide particle agglomerates in aqueous mediums were studied. The individual mean volume particle size of the furosemide powder was 2.5 μm when measured with a dry dispersion apparatus. The particle size distribution was unimodal. Suspended in water the particle size distribution consisted of three distinguishable populations. The addition of surface active agents led to a decrease in the mean particle size, fewer populations were observed and the mean size of these populations were smaller. The addition of polyoxyethylene sorbitan monooleate, 0.011 g dm−3, leads to a decrease in the mean volume particle size from 32.31 μm measured in water, to 11.01 μm Depending on the mixing time, 64 min and longer, interactive mixing with high density sodium chloride particles was the most effective at dispersing the furosemide agglomerates but a bimodal particle size distribution was still observed. The mean volume particle size of furosemide particles mixed for 128 min, 7.79 μm was closest to the mean volume particle size measured with the dry dispersion technique.","author":[{"dropping-particle":"","family":"Villiers","given":"M M","non-dropping-particle":"de","parse-names":false,"suffix":""},{"dropping-particle":"","family":"Lötter","given":"A P","non-dropping-particle":"","parse-names":false,"suffix":""},{"dropping-particle":"","family":"Watt","given":"J G","non-dropping-particle":"van der","parse-names":false,"suffix":""}],"container-title":"Powder Technology","id":"ITEM-1","issue":"2","issued":{"date-parts":[["1993"]]},"page":"159-165","title":"Influence of surfactants and interactive mixing on the cohesiveproperties of a poorly wettable solid","type":"article-journal","volume":"75"},"uris":["http://www.mendeley.com/documents/?uuid=e837dfec-7816-44dc-909d-39a310aa2a0a"]}],"mendeley":{"formattedCitation":"&lt;sup&gt;62&lt;/sup&gt;","plainTextFormattedCitation":"62","previouslyFormattedCitation":"&lt;sup&gt;62&lt;/sup&gt;"},"properties":{"noteIndex":0},"schema":"https://github.com/citation-style-language/schema/raw/master/csl-citation.json"}</w:instrText>
      </w:r>
      <w:r w:rsidR="00782551" w:rsidRPr="00782551">
        <w:rPr>
          <w:rStyle w:val="FootnoteReference"/>
          <w:rFonts w:cs="Times New Roman"/>
          <w:szCs w:val="24"/>
          <w:lang w:val="en-US"/>
        </w:rPr>
        <w:fldChar w:fldCharType="separate"/>
      </w:r>
      <w:r w:rsidR="00B01517" w:rsidRPr="00B01517">
        <w:rPr>
          <w:rFonts w:cs="Times New Roman"/>
          <w:bCs/>
          <w:noProof/>
          <w:szCs w:val="24"/>
          <w:vertAlign w:val="superscript"/>
          <w:lang w:val="en-US"/>
        </w:rPr>
        <w:t>62</w:t>
      </w:r>
      <w:r w:rsidR="00782551" w:rsidRPr="00782551">
        <w:rPr>
          <w:rStyle w:val="FootnoteReference"/>
          <w:rFonts w:cs="Times New Roman"/>
          <w:szCs w:val="24"/>
          <w:lang w:val="en-US"/>
        </w:rPr>
        <w:fldChar w:fldCharType="end"/>
      </w:r>
      <w:r w:rsidR="00782551" w:rsidRPr="00782551">
        <w:rPr>
          <w:rFonts w:cs="Times New Roman"/>
          <w:szCs w:val="24"/>
          <w:lang w:val="en-US"/>
        </w:rPr>
        <w:t>. The volumes of droplets were adjusted due to the considerable variability in physical properties of the solvents. This allowed the droplets to dispense consistently</w:t>
      </w:r>
      <w:r w:rsidR="00782551">
        <w:rPr>
          <w:rFonts w:cs="Times New Roman"/>
          <w:szCs w:val="24"/>
          <w:lang w:val="en-US"/>
        </w:rPr>
        <w:t>.</w:t>
      </w:r>
      <w:r>
        <w:rPr>
          <w:rFonts w:cs="Times New Roman"/>
          <w:szCs w:val="24"/>
          <w:lang w:val="en-US"/>
        </w:rPr>
        <w:t xml:space="preserve"> </w:t>
      </w:r>
      <w:r w:rsidR="001F18F2">
        <w:rPr>
          <w:rFonts w:cs="Times New Roman"/>
          <w:szCs w:val="24"/>
          <w:lang w:val="en-US"/>
        </w:rPr>
        <w:fldChar w:fldCharType="begin"/>
      </w:r>
      <w:r w:rsidR="001F18F2">
        <w:rPr>
          <w:rFonts w:cs="Times New Roman"/>
          <w:szCs w:val="24"/>
          <w:lang w:val="en-US"/>
        </w:rPr>
        <w:instrText xml:space="preserve"> REF _Ref45572593 \h </w:instrText>
      </w:r>
      <w:r w:rsidR="001F18F2">
        <w:rPr>
          <w:rFonts w:cs="Times New Roman"/>
          <w:szCs w:val="24"/>
          <w:lang w:val="en-US"/>
        </w:rPr>
      </w:r>
      <w:r w:rsidR="001F18F2">
        <w:rPr>
          <w:rFonts w:cs="Times New Roman"/>
          <w:szCs w:val="24"/>
          <w:lang w:val="en-US"/>
        </w:rPr>
        <w:fldChar w:fldCharType="separate"/>
      </w:r>
      <w:r w:rsidR="0008188F" w:rsidRPr="00EF005C">
        <w:rPr>
          <w:lang w:val="en-US"/>
        </w:rPr>
        <w:t xml:space="preserve">Figure </w:t>
      </w:r>
      <w:r w:rsidR="0008188F">
        <w:rPr>
          <w:noProof/>
          <w:lang w:val="en-US"/>
        </w:rPr>
        <w:t>9</w:t>
      </w:r>
      <w:r w:rsidR="001F18F2">
        <w:rPr>
          <w:rFonts w:cs="Times New Roman"/>
          <w:szCs w:val="24"/>
          <w:lang w:val="en-US"/>
        </w:rPr>
        <w:fldChar w:fldCharType="end"/>
      </w:r>
      <w:r>
        <w:rPr>
          <w:rFonts w:cs="Times New Roman"/>
          <w:szCs w:val="24"/>
          <w:lang w:val="en-US"/>
        </w:rPr>
        <w:t xml:space="preserve"> (A-F) illustrate</w:t>
      </w:r>
      <w:r w:rsidR="002E55F3">
        <w:rPr>
          <w:rFonts w:cs="Times New Roman"/>
          <w:szCs w:val="24"/>
          <w:lang w:val="en-US"/>
        </w:rPr>
        <w:t>s</w:t>
      </w:r>
      <w:r>
        <w:rPr>
          <w:rFonts w:cs="Times New Roman"/>
          <w:szCs w:val="24"/>
          <w:lang w:val="en-US"/>
        </w:rPr>
        <w:t xml:space="preserve"> representative images of the evolution of a droplet penetrating into a specimen fabricated using nanopowders</w:t>
      </w:r>
      <w:r w:rsidRPr="00243583">
        <w:rPr>
          <w:rFonts w:cs="Times New Roman"/>
          <w:bCs/>
          <w:szCs w:val="24"/>
          <w:lang w:val="en-US"/>
        </w:rPr>
        <w:t>.</w:t>
      </w:r>
      <w:r w:rsidRPr="006F4CF7">
        <w:rPr>
          <w:lang w:val="en-US"/>
        </w:rPr>
        <w:t xml:space="preserve"> </w:t>
      </w:r>
      <w:r>
        <w:rPr>
          <w:rFonts w:cs="Times New Roman"/>
          <w:szCs w:val="24"/>
          <w:lang w:val="en-US"/>
        </w:rPr>
        <w:t>Each droplet dispensed was observed to exhibit a circular cross-section in shape during penetration.</w:t>
      </w:r>
    </w:p>
    <w:p w14:paraId="545FA5FF" w14:textId="67695226" w:rsidR="00F07199" w:rsidRPr="00CE103C" w:rsidRDefault="00ED3841" w:rsidP="00ED3841">
      <w:pPr>
        <w:pStyle w:val="Caption"/>
        <w:keepNext/>
        <w:jc w:val="both"/>
        <w:rPr>
          <w:lang w:val="en-US"/>
        </w:rPr>
      </w:pPr>
      <w:bookmarkStart w:id="37" w:name="_Ref36304616"/>
      <w:r w:rsidRPr="00ED3841">
        <w:rPr>
          <w:lang w:val="en-US"/>
        </w:rPr>
        <w:t xml:space="preserve">Table </w:t>
      </w:r>
      <w:r>
        <w:fldChar w:fldCharType="begin"/>
      </w:r>
      <w:r w:rsidRPr="00ED3841">
        <w:rPr>
          <w:lang w:val="en-US"/>
        </w:rPr>
        <w:instrText xml:space="preserve"> SEQ Table \* ARABIC </w:instrText>
      </w:r>
      <w:r>
        <w:fldChar w:fldCharType="separate"/>
      </w:r>
      <w:r w:rsidR="0008188F">
        <w:rPr>
          <w:noProof/>
          <w:lang w:val="en-US"/>
        </w:rPr>
        <w:t>2</w:t>
      </w:r>
      <w:r>
        <w:fldChar w:fldCharType="end"/>
      </w:r>
      <w:bookmarkEnd w:id="37"/>
      <w:r w:rsidR="00F07199" w:rsidRPr="00246FF5">
        <w:rPr>
          <w:rFonts w:cs="Times New Roman"/>
          <w:szCs w:val="24"/>
          <w:lang w:val="en-US"/>
        </w:rPr>
        <w:t xml:space="preserve"> – Summary of dosing volume and rate for solvents in C</w:t>
      </w:r>
      <w:r w:rsidR="00782551">
        <w:rPr>
          <w:rFonts w:cs="Times New Roman"/>
          <w:szCs w:val="24"/>
          <w:lang w:val="en-US"/>
        </w:rPr>
        <w:t>A goniometer</w:t>
      </w:r>
      <w:r w:rsidR="00F07199">
        <w:rPr>
          <w:rFonts w:asciiTheme="minorHAnsi" w:hAnsiTheme="minorHAnsi"/>
          <w:sz w:val="22"/>
          <w:szCs w:val="22"/>
          <w:lang w:val="en-US"/>
        </w:rPr>
        <w:fldChar w:fldCharType="begin"/>
      </w:r>
      <w:r w:rsidR="00F07199">
        <w:rPr>
          <w:lang w:val="en-US"/>
        </w:rPr>
        <w:instrText xml:space="preserve"> LINK </w:instrText>
      </w:r>
      <w:r w:rsidR="00E03D3C">
        <w:rPr>
          <w:lang w:val="en-US"/>
        </w:rPr>
        <w:instrText xml:space="preserve">Excel.Sheet.12 "https://sooners-my.sharepoint.com/personal/smgarner_ou_edu/Documents/Documents/Research Stuff/MY THESIS/Solvent CAG for powder discs dosing volume and rate.xlsx" Sheet1!R1C1:R9C3 </w:instrText>
      </w:r>
      <w:r w:rsidR="00F07199">
        <w:rPr>
          <w:lang w:val="en-US"/>
        </w:rPr>
        <w:instrText xml:space="preserve">\a \f 4 \h  \* MERGEFORMAT </w:instrText>
      </w:r>
      <w:r w:rsidR="00F07199">
        <w:rPr>
          <w:rFonts w:asciiTheme="minorHAnsi" w:hAnsiTheme="minorHAnsi"/>
          <w:sz w:val="22"/>
          <w:szCs w:val="22"/>
          <w:lang w:val="en-US"/>
        </w:rPr>
        <w:fldChar w:fldCharType="separate"/>
      </w:r>
    </w:p>
    <w:tbl>
      <w:tblPr>
        <w:tblW w:w="4723" w:type="dxa"/>
        <w:jc w:val="center"/>
        <w:tblLook w:val="04A0" w:firstRow="1" w:lastRow="0" w:firstColumn="1" w:lastColumn="0" w:noHBand="0" w:noVBand="1"/>
      </w:tblPr>
      <w:tblGrid>
        <w:gridCol w:w="2043"/>
        <w:gridCol w:w="1420"/>
        <w:gridCol w:w="1260"/>
      </w:tblGrid>
      <w:tr w:rsidR="00F07199" w:rsidRPr="00DB4F7B" w14:paraId="427AAE02" w14:textId="77777777" w:rsidTr="00CC2C28">
        <w:trPr>
          <w:trHeight w:val="900"/>
          <w:jc w:val="center"/>
        </w:trPr>
        <w:tc>
          <w:tcPr>
            <w:tcW w:w="2043" w:type="dxa"/>
            <w:tcBorders>
              <w:top w:val="single" w:sz="4" w:space="0" w:color="auto"/>
              <w:left w:val="nil"/>
              <w:bottom w:val="single" w:sz="4" w:space="0" w:color="auto"/>
              <w:right w:val="nil"/>
            </w:tcBorders>
            <w:shd w:val="clear" w:color="000000" w:fill="FFFFFF"/>
            <w:noWrap/>
            <w:vAlign w:val="center"/>
            <w:hideMark/>
          </w:tcPr>
          <w:p w14:paraId="74700598" w14:textId="77777777" w:rsidR="00F07199" w:rsidRPr="008B071C" w:rsidRDefault="00F07199" w:rsidP="00CC2C28">
            <w:pPr>
              <w:jc w:val="both"/>
              <w:rPr>
                <w:rFonts w:eastAsia="Times New Roman" w:cs="Times New Roman"/>
                <w:b/>
                <w:bCs/>
                <w:color w:val="000000"/>
                <w:szCs w:val="24"/>
                <w:lang w:val="en-US"/>
              </w:rPr>
            </w:pPr>
            <w:r w:rsidRPr="008B071C">
              <w:rPr>
                <w:rFonts w:eastAsia="Times New Roman" w:cs="Times New Roman"/>
                <w:b/>
                <w:bCs/>
                <w:color w:val="000000"/>
                <w:szCs w:val="24"/>
                <w:lang w:val="en-US"/>
              </w:rPr>
              <w:t>Solvent</w:t>
            </w:r>
          </w:p>
        </w:tc>
        <w:tc>
          <w:tcPr>
            <w:tcW w:w="1420" w:type="dxa"/>
            <w:tcBorders>
              <w:top w:val="single" w:sz="4" w:space="0" w:color="auto"/>
              <w:left w:val="nil"/>
              <w:bottom w:val="single" w:sz="4" w:space="0" w:color="auto"/>
              <w:right w:val="nil"/>
            </w:tcBorders>
            <w:shd w:val="clear" w:color="000000" w:fill="FFFFFF"/>
            <w:vAlign w:val="center"/>
            <w:hideMark/>
          </w:tcPr>
          <w:p w14:paraId="08938FE2" w14:textId="77777777" w:rsidR="00F07199" w:rsidRPr="008B071C" w:rsidRDefault="00F07199" w:rsidP="00CC2C28">
            <w:pPr>
              <w:spacing w:after="0" w:line="240" w:lineRule="auto"/>
              <w:jc w:val="both"/>
              <w:rPr>
                <w:rFonts w:eastAsia="Times New Roman" w:cs="Times New Roman"/>
                <w:b/>
                <w:bCs/>
                <w:color w:val="000000"/>
                <w:szCs w:val="24"/>
                <w:lang w:val="en-US"/>
              </w:rPr>
            </w:pPr>
            <w:r w:rsidRPr="008B071C">
              <w:rPr>
                <w:rFonts w:eastAsia="Times New Roman" w:cs="Times New Roman"/>
                <w:b/>
                <w:bCs/>
                <w:color w:val="000000"/>
                <w:szCs w:val="24"/>
                <w:lang w:val="en-US"/>
              </w:rPr>
              <w:t>Dosing volume (μL)</w:t>
            </w:r>
          </w:p>
        </w:tc>
        <w:tc>
          <w:tcPr>
            <w:tcW w:w="1260" w:type="dxa"/>
            <w:tcBorders>
              <w:top w:val="single" w:sz="4" w:space="0" w:color="auto"/>
              <w:left w:val="nil"/>
              <w:bottom w:val="single" w:sz="4" w:space="0" w:color="auto"/>
              <w:right w:val="nil"/>
            </w:tcBorders>
            <w:shd w:val="clear" w:color="000000" w:fill="FFFFFF"/>
            <w:vAlign w:val="center"/>
            <w:hideMark/>
          </w:tcPr>
          <w:p w14:paraId="200387BA" w14:textId="77777777" w:rsidR="00F07199" w:rsidRPr="008B071C" w:rsidRDefault="00F07199" w:rsidP="00CC2C28">
            <w:pPr>
              <w:spacing w:after="0" w:line="240" w:lineRule="auto"/>
              <w:jc w:val="both"/>
              <w:rPr>
                <w:rFonts w:eastAsia="Times New Roman" w:cs="Times New Roman"/>
                <w:b/>
                <w:bCs/>
                <w:color w:val="000000"/>
                <w:szCs w:val="24"/>
                <w:lang w:val="en-US"/>
              </w:rPr>
            </w:pPr>
            <w:r w:rsidRPr="008B071C">
              <w:rPr>
                <w:rFonts w:eastAsia="Times New Roman" w:cs="Times New Roman"/>
                <w:b/>
                <w:bCs/>
                <w:color w:val="000000"/>
                <w:szCs w:val="24"/>
                <w:lang w:val="en-US"/>
              </w:rPr>
              <w:t>Dosing rate (μL/sec)</w:t>
            </w:r>
          </w:p>
        </w:tc>
      </w:tr>
      <w:tr w:rsidR="00F07199" w:rsidRPr="00DB4F7B" w14:paraId="275F1BE9" w14:textId="77777777" w:rsidTr="00CC2C28">
        <w:trPr>
          <w:trHeight w:val="310"/>
          <w:jc w:val="center"/>
        </w:trPr>
        <w:tc>
          <w:tcPr>
            <w:tcW w:w="2043" w:type="dxa"/>
            <w:tcBorders>
              <w:top w:val="nil"/>
              <w:left w:val="nil"/>
              <w:bottom w:val="nil"/>
              <w:right w:val="nil"/>
            </w:tcBorders>
            <w:shd w:val="clear" w:color="000000" w:fill="FFFFFF"/>
            <w:noWrap/>
            <w:vAlign w:val="bottom"/>
            <w:hideMark/>
          </w:tcPr>
          <w:p w14:paraId="7772487B"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D</w:t>
            </w:r>
            <w:r>
              <w:rPr>
                <w:rFonts w:eastAsia="Times New Roman" w:cs="Times New Roman"/>
                <w:color w:val="000000"/>
                <w:szCs w:val="24"/>
                <w:lang w:val="en-US"/>
              </w:rPr>
              <w:t>eionized</w:t>
            </w:r>
            <w:r w:rsidRPr="008B071C">
              <w:rPr>
                <w:rFonts w:eastAsia="Times New Roman" w:cs="Times New Roman"/>
                <w:color w:val="000000"/>
                <w:szCs w:val="24"/>
                <w:lang w:val="en-US"/>
              </w:rPr>
              <w:t xml:space="preserve"> water</w:t>
            </w:r>
          </w:p>
        </w:tc>
        <w:tc>
          <w:tcPr>
            <w:tcW w:w="1420" w:type="dxa"/>
            <w:tcBorders>
              <w:top w:val="nil"/>
              <w:left w:val="nil"/>
              <w:bottom w:val="nil"/>
              <w:right w:val="nil"/>
            </w:tcBorders>
            <w:shd w:val="clear" w:color="000000" w:fill="FFFFFF"/>
            <w:noWrap/>
            <w:vAlign w:val="bottom"/>
            <w:hideMark/>
          </w:tcPr>
          <w:p w14:paraId="76539B01"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3</w:t>
            </w:r>
          </w:p>
        </w:tc>
        <w:tc>
          <w:tcPr>
            <w:tcW w:w="1260" w:type="dxa"/>
            <w:tcBorders>
              <w:top w:val="nil"/>
              <w:left w:val="nil"/>
              <w:bottom w:val="nil"/>
              <w:right w:val="nil"/>
            </w:tcBorders>
            <w:shd w:val="clear" w:color="000000" w:fill="FFFFFF"/>
            <w:noWrap/>
            <w:vAlign w:val="bottom"/>
            <w:hideMark/>
          </w:tcPr>
          <w:p w14:paraId="006E6D2E"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2</w:t>
            </w:r>
          </w:p>
        </w:tc>
      </w:tr>
      <w:tr w:rsidR="00F07199" w:rsidRPr="00DB4F7B" w14:paraId="149F5846" w14:textId="77777777" w:rsidTr="00CC2C28">
        <w:trPr>
          <w:trHeight w:val="310"/>
          <w:jc w:val="center"/>
        </w:trPr>
        <w:tc>
          <w:tcPr>
            <w:tcW w:w="2043" w:type="dxa"/>
            <w:tcBorders>
              <w:top w:val="nil"/>
              <w:left w:val="nil"/>
              <w:bottom w:val="nil"/>
              <w:right w:val="nil"/>
            </w:tcBorders>
            <w:shd w:val="clear" w:color="000000" w:fill="FFFFFF"/>
            <w:noWrap/>
            <w:vAlign w:val="bottom"/>
            <w:hideMark/>
          </w:tcPr>
          <w:p w14:paraId="06BE74D8"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Bromonaphthalene</w:t>
            </w:r>
          </w:p>
        </w:tc>
        <w:tc>
          <w:tcPr>
            <w:tcW w:w="1420" w:type="dxa"/>
            <w:tcBorders>
              <w:top w:val="nil"/>
              <w:left w:val="nil"/>
              <w:bottom w:val="nil"/>
              <w:right w:val="nil"/>
            </w:tcBorders>
            <w:shd w:val="clear" w:color="000000" w:fill="FFFFFF"/>
            <w:noWrap/>
            <w:vAlign w:val="bottom"/>
            <w:hideMark/>
          </w:tcPr>
          <w:p w14:paraId="53952E1D"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3.5</w:t>
            </w:r>
          </w:p>
        </w:tc>
        <w:tc>
          <w:tcPr>
            <w:tcW w:w="1260" w:type="dxa"/>
            <w:tcBorders>
              <w:top w:val="nil"/>
              <w:left w:val="nil"/>
              <w:bottom w:val="nil"/>
              <w:right w:val="nil"/>
            </w:tcBorders>
            <w:shd w:val="clear" w:color="000000" w:fill="FFFFFF"/>
            <w:noWrap/>
            <w:vAlign w:val="bottom"/>
            <w:hideMark/>
          </w:tcPr>
          <w:p w14:paraId="1D16F41A"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2</w:t>
            </w:r>
          </w:p>
        </w:tc>
      </w:tr>
      <w:tr w:rsidR="00F07199" w:rsidRPr="00DB4F7B" w14:paraId="2EAB110E" w14:textId="77777777" w:rsidTr="00CC2C28">
        <w:trPr>
          <w:trHeight w:val="310"/>
          <w:jc w:val="center"/>
        </w:trPr>
        <w:tc>
          <w:tcPr>
            <w:tcW w:w="2043" w:type="dxa"/>
            <w:tcBorders>
              <w:top w:val="nil"/>
              <w:left w:val="nil"/>
              <w:bottom w:val="nil"/>
              <w:right w:val="nil"/>
            </w:tcBorders>
            <w:shd w:val="clear" w:color="000000" w:fill="FFFFFF"/>
            <w:noWrap/>
            <w:vAlign w:val="bottom"/>
            <w:hideMark/>
          </w:tcPr>
          <w:p w14:paraId="400A2C34"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Formamide</w:t>
            </w:r>
          </w:p>
        </w:tc>
        <w:tc>
          <w:tcPr>
            <w:tcW w:w="1420" w:type="dxa"/>
            <w:tcBorders>
              <w:top w:val="nil"/>
              <w:left w:val="nil"/>
              <w:bottom w:val="nil"/>
              <w:right w:val="nil"/>
            </w:tcBorders>
            <w:shd w:val="clear" w:color="000000" w:fill="FFFFFF"/>
            <w:noWrap/>
            <w:vAlign w:val="bottom"/>
            <w:hideMark/>
          </w:tcPr>
          <w:p w14:paraId="614E9843"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5</w:t>
            </w:r>
          </w:p>
        </w:tc>
        <w:tc>
          <w:tcPr>
            <w:tcW w:w="1260" w:type="dxa"/>
            <w:tcBorders>
              <w:top w:val="nil"/>
              <w:left w:val="nil"/>
              <w:bottom w:val="nil"/>
              <w:right w:val="nil"/>
            </w:tcBorders>
            <w:shd w:val="clear" w:color="000000" w:fill="FFFFFF"/>
            <w:noWrap/>
            <w:vAlign w:val="bottom"/>
            <w:hideMark/>
          </w:tcPr>
          <w:p w14:paraId="1F342639"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3</w:t>
            </w:r>
          </w:p>
        </w:tc>
      </w:tr>
      <w:tr w:rsidR="00F07199" w:rsidRPr="00DB4F7B" w14:paraId="401C98CC" w14:textId="77777777" w:rsidTr="00CC2C28">
        <w:trPr>
          <w:trHeight w:val="310"/>
          <w:jc w:val="center"/>
        </w:trPr>
        <w:tc>
          <w:tcPr>
            <w:tcW w:w="2043" w:type="dxa"/>
            <w:tcBorders>
              <w:top w:val="nil"/>
              <w:left w:val="nil"/>
              <w:bottom w:val="nil"/>
              <w:right w:val="nil"/>
            </w:tcBorders>
            <w:shd w:val="clear" w:color="000000" w:fill="FFFFFF"/>
            <w:noWrap/>
            <w:vAlign w:val="bottom"/>
            <w:hideMark/>
          </w:tcPr>
          <w:p w14:paraId="73BA1056"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Diiodomethane</w:t>
            </w:r>
          </w:p>
        </w:tc>
        <w:tc>
          <w:tcPr>
            <w:tcW w:w="1420" w:type="dxa"/>
            <w:tcBorders>
              <w:top w:val="nil"/>
              <w:left w:val="nil"/>
              <w:bottom w:val="nil"/>
              <w:right w:val="nil"/>
            </w:tcBorders>
            <w:shd w:val="clear" w:color="000000" w:fill="FFFFFF"/>
            <w:noWrap/>
            <w:vAlign w:val="bottom"/>
            <w:hideMark/>
          </w:tcPr>
          <w:p w14:paraId="4411B3AB"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1.5</w:t>
            </w:r>
          </w:p>
        </w:tc>
        <w:tc>
          <w:tcPr>
            <w:tcW w:w="1260" w:type="dxa"/>
            <w:tcBorders>
              <w:top w:val="nil"/>
              <w:left w:val="nil"/>
              <w:bottom w:val="nil"/>
              <w:right w:val="nil"/>
            </w:tcBorders>
            <w:shd w:val="clear" w:color="000000" w:fill="FFFFFF"/>
            <w:noWrap/>
            <w:vAlign w:val="bottom"/>
            <w:hideMark/>
          </w:tcPr>
          <w:p w14:paraId="76268DD8"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2</w:t>
            </w:r>
          </w:p>
        </w:tc>
      </w:tr>
      <w:tr w:rsidR="00F07199" w:rsidRPr="00DB4F7B" w14:paraId="4E37950F" w14:textId="77777777" w:rsidTr="00CC2C28">
        <w:trPr>
          <w:trHeight w:val="310"/>
          <w:jc w:val="center"/>
        </w:trPr>
        <w:tc>
          <w:tcPr>
            <w:tcW w:w="2043" w:type="dxa"/>
            <w:tcBorders>
              <w:top w:val="nil"/>
              <w:left w:val="nil"/>
              <w:right w:val="nil"/>
            </w:tcBorders>
            <w:shd w:val="clear" w:color="000000" w:fill="FFFFFF"/>
            <w:noWrap/>
            <w:vAlign w:val="bottom"/>
            <w:hideMark/>
          </w:tcPr>
          <w:p w14:paraId="241E915E"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Ethanol</w:t>
            </w:r>
          </w:p>
        </w:tc>
        <w:tc>
          <w:tcPr>
            <w:tcW w:w="1420" w:type="dxa"/>
            <w:tcBorders>
              <w:top w:val="nil"/>
              <w:left w:val="nil"/>
              <w:right w:val="nil"/>
            </w:tcBorders>
            <w:shd w:val="clear" w:color="000000" w:fill="FFFFFF"/>
            <w:noWrap/>
            <w:vAlign w:val="bottom"/>
            <w:hideMark/>
          </w:tcPr>
          <w:p w14:paraId="43BB9306"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4</w:t>
            </w:r>
          </w:p>
        </w:tc>
        <w:tc>
          <w:tcPr>
            <w:tcW w:w="1260" w:type="dxa"/>
            <w:tcBorders>
              <w:top w:val="nil"/>
              <w:left w:val="nil"/>
              <w:right w:val="nil"/>
            </w:tcBorders>
            <w:shd w:val="clear" w:color="000000" w:fill="FFFFFF"/>
            <w:noWrap/>
            <w:vAlign w:val="bottom"/>
            <w:hideMark/>
          </w:tcPr>
          <w:p w14:paraId="0E0418C9"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2</w:t>
            </w:r>
          </w:p>
        </w:tc>
      </w:tr>
      <w:tr w:rsidR="00F07199" w:rsidRPr="00DB4F7B" w14:paraId="725C1868" w14:textId="77777777" w:rsidTr="00CC2C28">
        <w:trPr>
          <w:trHeight w:val="310"/>
          <w:jc w:val="center"/>
        </w:trPr>
        <w:tc>
          <w:tcPr>
            <w:tcW w:w="2043" w:type="dxa"/>
            <w:tcBorders>
              <w:top w:val="nil"/>
              <w:left w:val="nil"/>
              <w:bottom w:val="single" w:sz="4" w:space="0" w:color="auto"/>
              <w:right w:val="nil"/>
            </w:tcBorders>
            <w:shd w:val="clear" w:color="000000" w:fill="FFFFFF"/>
            <w:noWrap/>
            <w:vAlign w:val="bottom"/>
            <w:hideMark/>
          </w:tcPr>
          <w:p w14:paraId="455E4993" w14:textId="7BAFE683"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 xml:space="preserve">Ethylene </w:t>
            </w:r>
            <w:r w:rsidR="00782551">
              <w:rPr>
                <w:rFonts w:eastAsia="Times New Roman" w:cs="Times New Roman"/>
                <w:color w:val="000000"/>
                <w:szCs w:val="24"/>
                <w:lang w:val="en-US"/>
              </w:rPr>
              <w:t>g</w:t>
            </w:r>
            <w:r w:rsidRPr="008B071C">
              <w:rPr>
                <w:rFonts w:eastAsia="Times New Roman" w:cs="Times New Roman"/>
                <w:color w:val="000000"/>
                <w:szCs w:val="24"/>
                <w:lang w:val="en-US"/>
              </w:rPr>
              <w:t>lycol</w:t>
            </w:r>
          </w:p>
        </w:tc>
        <w:tc>
          <w:tcPr>
            <w:tcW w:w="1420" w:type="dxa"/>
            <w:tcBorders>
              <w:top w:val="nil"/>
              <w:left w:val="nil"/>
              <w:bottom w:val="single" w:sz="4" w:space="0" w:color="auto"/>
              <w:right w:val="nil"/>
            </w:tcBorders>
            <w:shd w:val="clear" w:color="000000" w:fill="FFFFFF"/>
            <w:noWrap/>
            <w:vAlign w:val="bottom"/>
            <w:hideMark/>
          </w:tcPr>
          <w:p w14:paraId="4D39602C"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3</w:t>
            </w:r>
          </w:p>
        </w:tc>
        <w:tc>
          <w:tcPr>
            <w:tcW w:w="1260" w:type="dxa"/>
            <w:tcBorders>
              <w:top w:val="nil"/>
              <w:left w:val="nil"/>
              <w:bottom w:val="single" w:sz="4" w:space="0" w:color="auto"/>
              <w:right w:val="nil"/>
            </w:tcBorders>
            <w:shd w:val="clear" w:color="000000" w:fill="FFFFFF"/>
            <w:noWrap/>
            <w:vAlign w:val="bottom"/>
            <w:hideMark/>
          </w:tcPr>
          <w:p w14:paraId="2D2B54AC" w14:textId="77777777" w:rsidR="00F07199" w:rsidRPr="008B071C" w:rsidRDefault="00F07199" w:rsidP="00CC2C28">
            <w:pPr>
              <w:spacing w:after="0" w:line="240" w:lineRule="auto"/>
              <w:jc w:val="both"/>
              <w:rPr>
                <w:rFonts w:eastAsia="Times New Roman" w:cs="Times New Roman"/>
                <w:color w:val="000000"/>
                <w:szCs w:val="24"/>
                <w:lang w:val="en-US"/>
              </w:rPr>
            </w:pPr>
            <w:r w:rsidRPr="008B071C">
              <w:rPr>
                <w:rFonts w:eastAsia="Times New Roman" w:cs="Times New Roman"/>
                <w:color w:val="000000"/>
                <w:szCs w:val="24"/>
                <w:lang w:val="en-US"/>
              </w:rPr>
              <w:t>2</w:t>
            </w:r>
          </w:p>
        </w:tc>
      </w:tr>
    </w:tbl>
    <w:p w14:paraId="52214A63" w14:textId="0C7F8DCF" w:rsidR="00F07199" w:rsidRDefault="00F07199" w:rsidP="00F07199">
      <w:pPr>
        <w:spacing w:before="120" w:line="480" w:lineRule="auto"/>
        <w:jc w:val="both"/>
        <w:rPr>
          <w:rFonts w:cs="Times New Roman"/>
          <w:szCs w:val="24"/>
          <w:lang w:val="en-US"/>
        </w:rPr>
      </w:pPr>
      <w:r>
        <w:rPr>
          <w:rFonts w:cs="Times New Roman"/>
          <w:szCs w:val="24"/>
          <w:lang w:val="en-US"/>
        </w:rPr>
        <w:fldChar w:fldCharType="end"/>
      </w:r>
      <w:r>
        <w:rPr>
          <w:rFonts w:cs="Times New Roman"/>
          <w:szCs w:val="24"/>
          <w:lang w:val="en-US"/>
        </w:rPr>
        <w:t xml:space="preserve"> The volume of droplets dispensed were calculated using</w:t>
      </w:r>
      <w:r w:rsidR="00092402">
        <w:rPr>
          <w:rFonts w:cs="Times New Roman"/>
          <w:szCs w:val="24"/>
          <w:lang w:val="en-US"/>
        </w:rPr>
        <w:t xml:space="preserve"> </w:t>
      </w:r>
      <w:r w:rsidR="00092402">
        <w:rPr>
          <w:rFonts w:cs="Times New Roman"/>
          <w:szCs w:val="24"/>
          <w:lang w:val="en-US"/>
        </w:rPr>
        <w:fldChar w:fldCharType="begin"/>
      </w:r>
      <w:r w:rsidR="00092402">
        <w:rPr>
          <w:rFonts w:cs="Times New Roman"/>
          <w:szCs w:val="24"/>
          <w:lang w:val="en-US"/>
        </w:rPr>
        <w:instrText xml:space="preserve"> REF _Ref42538932 \h </w:instrText>
      </w:r>
      <w:r w:rsidR="00092402">
        <w:rPr>
          <w:rFonts w:cs="Times New Roman"/>
          <w:szCs w:val="24"/>
          <w:lang w:val="en-US"/>
        </w:rPr>
      </w:r>
      <w:r w:rsidR="00092402">
        <w:rPr>
          <w:rFonts w:cs="Times New Roman"/>
          <w:szCs w:val="24"/>
          <w:lang w:val="en-US"/>
        </w:rPr>
        <w:fldChar w:fldCharType="separate"/>
      </w:r>
      <w:r w:rsidR="0008188F" w:rsidRPr="00FE5369">
        <w:rPr>
          <w:lang w:val="en-US"/>
        </w:rPr>
        <w:t xml:space="preserve">Equation </w:t>
      </w:r>
      <w:r w:rsidR="0008188F">
        <w:rPr>
          <w:noProof/>
          <w:lang w:val="en-US"/>
        </w:rPr>
        <w:t>3</w:t>
      </w:r>
      <w:r w:rsidR="00092402">
        <w:rPr>
          <w:rFonts w:cs="Times New Roman"/>
          <w:szCs w:val="24"/>
          <w:lang w:val="en-US"/>
        </w:rPr>
        <w:fldChar w:fldCharType="end"/>
      </w:r>
      <w:r>
        <w:rPr>
          <w:rFonts w:cs="Times New Roman"/>
          <w:szCs w:val="24"/>
          <w:lang w:val="en-US"/>
        </w:rPr>
        <w:t>, below, for a spherical cap.</w:t>
      </w:r>
    </w:p>
    <w:p w14:paraId="622F9480" w14:textId="04EAD2DC" w:rsidR="00F07199" w:rsidRPr="00CB01DC" w:rsidRDefault="00092402" w:rsidP="004F74A6">
      <w:pPr>
        <w:pStyle w:val="Caption"/>
        <w:rPr>
          <w:rFonts w:cs="Times New Roman"/>
          <w:szCs w:val="24"/>
          <w:lang w:val="en-US"/>
        </w:rPr>
      </w:pPr>
      <w:bookmarkStart w:id="38" w:name="_Ref42538932"/>
      <w:r w:rsidRPr="00FE5369">
        <w:rPr>
          <w:lang w:val="en-US"/>
        </w:rPr>
        <w:t xml:space="preserve">Equation </w:t>
      </w:r>
      <w:r>
        <w:fldChar w:fldCharType="begin"/>
      </w:r>
      <w:r w:rsidRPr="00FE5369">
        <w:rPr>
          <w:lang w:val="en-US"/>
        </w:rPr>
        <w:instrText xml:space="preserve"> SEQ Equation \* ARABIC </w:instrText>
      </w:r>
      <w:r>
        <w:fldChar w:fldCharType="separate"/>
      </w:r>
      <w:r w:rsidR="0008188F">
        <w:rPr>
          <w:noProof/>
          <w:lang w:val="en-US"/>
        </w:rPr>
        <w:t>3</w:t>
      </w:r>
      <w:r>
        <w:fldChar w:fldCharType="end"/>
      </w:r>
      <w:bookmarkEnd w:id="38"/>
      <w:r w:rsidRPr="00FE5369">
        <w:rPr>
          <w:lang w:val="en-US"/>
        </w:rPr>
        <w:tab/>
      </w:r>
      <m:oMath>
        <m:r>
          <m:rPr>
            <m:sty m:val="b"/>
          </m:rPr>
          <w:rPr>
            <w:rFonts w:ascii="Cambria Math" w:hAnsi="Cambria Math" w:cs="Times New Roman"/>
            <w:szCs w:val="24"/>
            <w:lang w:val="en-US"/>
          </w:rPr>
          <m:t>Volume=</m:t>
        </m:r>
        <m:f>
          <m:fPr>
            <m:ctrlPr>
              <w:rPr>
                <w:rFonts w:ascii="Cambria Math" w:hAnsi="Cambria Math" w:cs="Times New Roman"/>
                <w:szCs w:val="24"/>
                <w:lang w:val="en-US"/>
              </w:rPr>
            </m:ctrlPr>
          </m:fPr>
          <m:num>
            <m:r>
              <m:rPr>
                <m:sty m:val="b"/>
              </m:rPr>
              <w:rPr>
                <w:rFonts w:ascii="Cambria Math" w:hAnsi="Cambria Math" w:cs="Times New Roman"/>
                <w:szCs w:val="24"/>
                <w:lang w:val="en-US"/>
              </w:rPr>
              <m:t>1</m:t>
            </m:r>
          </m:num>
          <m:den>
            <m:r>
              <m:rPr>
                <m:sty m:val="b"/>
              </m:rPr>
              <w:rPr>
                <w:rFonts w:ascii="Cambria Math" w:hAnsi="Cambria Math" w:cs="Times New Roman"/>
                <w:szCs w:val="24"/>
                <w:lang w:val="en-US"/>
              </w:rPr>
              <m:t>3</m:t>
            </m:r>
          </m:den>
        </m:f>
        <m:r>
          <m:rPr>
            <m:sty m:val="b"/>
          </m:rPr>
          <w:rPr>
            <w:rFonts w:ascii="Cambria Math" w:hAnsi="Cambria Math" w:cs="Times New Roman"/>
            <w:szCs w:val="24"/>
            <w:lang w:val="en-US"/>
          </w:rPr>
          <m:t xml:space="preserve">*π*h </m:t>
        </m:r>
        <m:d>
          <m:dPr>
            <m:ctrlPr>
              <w:rPr>
                <w:rFonts w:ascii="Cambria Math" w:hAnsi="Cambria Math" w:cs="Times New Roman"/>
                <w:szCs w:val="24"/>
                <w:lang w:val="en-US"/>
              </w:rPr>
            </m:ctrlPr>
          </m:dPr>
          <m:e>
            <m:r>
              <m:rPr>
                <m:sty m:val="b"/>
              </m:rPr>
              <w:rPr>
                <w:rFonts w:ascii="Cambria Math" w:hAnsi="Cambria Math" w:cs="Times New Roman"/>
                <w:szCs w:val="24"/>
                <w:lang w:val="en-US"/>
              </w:rPr>
              <m:t>3*</m:t>
            </m:r>
            <m:sSup>
              <m:sSupPr>
                <m:ctrlPr>
                  <w:rPr>
                    <w:rFonts w:ascii="Cambria Math" w:hAnsi="Cambria Math" w:cs="Times New Roman"/>
                    <w:szCs w:val="24"/>
                    <w:lang w:val="en-US"/>
                  </w:rPr>
                </m:ctrlPr>
              </m:sSupPr>
              <m:e>
                <m:r>
                  <m:rPr>
                    <m:sty m:val="b"/>
                  </m:rPr>
                  <w:rPr>
                    <w:rFonts w:ascii="Cambria Math" w:hAnsi="Cambria Math" w:cs="Times New Roman"/>
                    <w:szCs w:val="24"/>
                    <w:lang w:val="en-US"/>
                  </w:rPr>
                  <m:t>a</m:t>
                </m:r>
              </m:e>
              <m:sup>
                <m:r>
                  <m:rPr>
                    <m:sty m:val="b"/>
                  </m:rPr>
                  <w:rPr>
                    <w:rFonts w:ascii="Cambria Math" w:hAnsi="Cambria Math" w:cs="Times New Roman"/>
                    <w:szCs w:val="24"/>
                    <w:lang w:val="en-US"/>
                  </w:rPr>
                  <m:t>2</m:t>
                </m:r>
              </m:sup>
            </m:sSup>
            <m:r>
              <m:rPr>
                <m:sty m:val="b"/>
              </m:rPr>
              <w:rPr>
                <w:rFonts w:ascii="Cambria Math" w:hAnsi="Cambria Math" w:cs="Times New Roman"/>
                <w:szCs w:val="24"/>
                <w:lang w:val="en-US"/>
              </w:rPr>
              <m:t>-</m:t>
            </m:r>
            <m:sSup>
              <m:sSupPr>
                <m:ctrlPr>
                  <w:rPr>
                    <w:rFonts w:ascii="Cambria Math" w:hAnsi="Cambria Math" w:cs="Times New Roman"/>
                    <w:szCs w:val="24"/>
                    <w:lang w:val="en-US"/>
                  </w:rPr>
                </m:ctrlPr>
              </m:sSupPr>
              <m:e>
                <m:r>
                  <m:rPr>
                    <m:sty m:val="b"/>
                  </m:rPr>
                  <w:rPr>
                    <w:rFonts w:ascii="Cambria Math" w:hAnsi="Cambria Math" w:cs="Times New Roman"/>
                    <w:szCs w:val="24"/>
                    <w:lang w:val="en-US"/>
                  </w:rPr>
                  <m:t>h</m:t>
                </m:r>
              </m:e>
              <m:sup>
                <m:r>
                  <m:rPr>
                    <m:sty m:val="b"/>
                  </m:rPr>
                  <w:rPr>
                    <w:rFonts w:ascii="Cambria Math" w:hAnsi="Cambria Math" w:cs="Times New Roman"/>
                    <w:szCs w:val="24"/>
                    <w:lang w:val="en-US"/>
                  </w:rPr>
                  <m:t>2</m:t>
                </m:r>
              </m:sup>
            </m:sSup>
          </m:e>
        </m:d>
      </m:oMath>
    </w:p>
    <w:p w14:paraId="5660D8DA" w14:textId="28C900CE" w:rsidR="00F07199" w:rsidRPr="00BE66FA" w:rsidRDefault="00F07199" w:rsidP="004F74A6">
      <w:pPr>
        <w:spacing w:before="120" w:line="480" w:lineRule="auto"/>
        <w:jc w:val="both"/>
        <w:rPr>
          <w:rFonts w:cs="Times New Roman"/>
          <w:szCs w:val="24"/>
          <w:lang w:val="en-US"/>
        </w:rPr>
      </w:pPr>
      <w:r>
        <w:rPr>
          <w:rFonts w:cs="Times New Roman"/>
          <w:szCs w:val="24"/>
          <w:lang w:val="en-US"/>
        </w:rPr>
        <w:t>where h represents the height of the spherical cap and a represents the radius.</w:t>
      </w:r>
    </w:p>
    <w:p w14:paraId="36894BED" w14:textId="68178A3F" w:rsidR="00F07199" w:rsidRDefault="001F18F2" w:rsidP="00F07199">
      <w:pPr>
        <w:spacing w:line="480" w:lineRule="auto"/>
        <w:jc w:val="both"/>
        <w:rPr>
          <w:rFonts w:cs="Times New Roman"/>
          <w:b/>
          <w:sz w:val="28"/>
          <w:szCs w:val="28"/>
          <w:lang w:val="en-US"/>
        </w:rPr>
      </w:pPr>
      <w:r>
        <w:rPr>
          <w:noProof/>
        </w:rPr>
        <mc:AlternateContent>
          <mc:Choice Requires="wps">
            <w:drawing>
              <wp:anchor distT="0" distB="0" distL="114300" distR="114300" simplePos="0" relativeHeight="251669504" behindDoc="0" locked="0" layoutInCell="1" allowOverlap="1" wp14:anchorId="0E4BA4C5" wp14:editId="082AB51A">
                <wp:simplePos x="0" y="0"/>
                <wp:positionH relativeFrom="column">
                  <wp:posOffset>-586740</wp:posOffset>
                </wp:positionH>
                <wp:positionV relativeFrom="paragraph">
                  <wp:posOffset>3081020</wp:posOffset>
                </wp:positionV>
                <wp:extent cx="6110605" cy="635"/>
                <wp:effectExtent l="0" t="0" r="0" b="0"/>
                <wp:wrapTopAndBottom/>
                <wp:docPr id="54" name="Text Box 54"/>
                <wp:cNvGraphicFramePr/>
                <a:graphic xmlns:a="http://schemas.openxmlformats.org/drawingml/2006/main">
                  <a:graphicData uri="http://schemas.microsoft.com/office/word/2010/wordprocessingShape">
                    <wps:wsp>
                      <wps:cNvSpPr txBox="1"/>
                      <wps:spPr>
                        <a:xfrm>
                          <a:off x="0" y="0"/>
                          <a:ext cx="6110605" cy="635"/>
                        </a:xfrm>
                        <a:prstGeom prst="rect">
                          <a:avLst/>
                        </a:prstGeom>
                        <a:solidFill>
                          <a:prstClr val="white"/>
                        </a:solidFill>
                        <a:ln>
                          <a:noFill/>
                        </a:ln>
                      </wps:spPr>
                      <wps:txbx>
                        <w:txbxContent>
                          <w:p w14:paraId="4ED15DBB" w14:textId="04394016" w:rsidR="00E563E8" w:rsidRPr="00EF005C" w:rsidRDefault="00E563E8" w:rsidP="001F18F2">
                            <w:pPr>
                              <w:pStyle w:val="Caption"/>
                              <w:rPr>
                                <w:rFonts w:cs="Times New Roman"/>
                                <w:noProof/>
                                <w:szCs w:val="24"/>
                                <w:lang w:val="en-US"/>
                              </w:rPr>
                            </w:pPr>
                            <w:bookmarkStart w:id="39" w:name="_Ref45572593"/>
                            <w:bookmarkStart w:id="40" w:name="_Toc45837580"/>
                            <w:r w:rsidRPr="00EF005C">
                              <w:rPr>
                                <w:lang w:val="en-US"/>
                              </w:rPr>
                              <w:t xml:space="preserve">Figure </w:t>
                            </w:r>
                            <w:r>
                              <w:fldChar w:fldCharType="begin"/>
                            </w:r>
                            <w:r w:rsidRPr="00EF005C">
                              <w:rPr>
                                <w:lang w:val="en-US"/>
                              </w:rPr>
                              <w:instrText xml:space="preserve"> SEQ Figure \* ARABIC </w:instrText>
                            </w:r>
                            <w:r>
                              <w:fldChar w:fldCharType="separate"/>
                            </w:r>
                            <w:r w:rsidR="0008188F">
                              <w:rPr>
                                <w:noProof/>
                                <w:lang w:val="en-US"/>
                              </w:rPr>
                              <w:t>9</w:t>
                            </w:r>
                            <w:r>
                              <w:fldChar w:fldCharType="end"/>
                            </w:r>
                            <w:bookmarkEnd w:id="39"/>
                            <w:r w:rsidRPr="00EF005C">
                              <w:rPr>
                                <w:lang w:val="en-US"/>
                              </w:rPr>
                              <w:t xml:space="preserve"> (A-E) – </w:t>
                            </w:r>
                            <w:r>
                              <w:rPr>
                                <w:lang w:val="en-US"/>
                              </w:rPr>
                              <w:t>F</w:t>
                            </w:r>
                            <w:r w:rsidRPr="00EF005C">
                              <w:rPr>
                                <w:lang w:val="en-US"/>
                              </w:rPr>
                              <w:t xml:space="preserve">ormamide on </w:t>
                            </w:r>
                            <w:r w:rsidRPr="001F31C3">
                              <w:rPr>
                                <w:rFonts w:cs="Times New Roman"/>
                                <w:szCs w:val="24"/>
                                <w:lang w:val="en-US"/>
                              </w:rPr>
                              <w:t>Nanogard</w:t>
                            </w:r>
                            <w:r w:rsidRPr="001F31C3">
                              <w:rPr>
                                <w:rFonts w:cs="Times New Roman"/>
                                <w:szCs w:val="24"/>
                                <w:vertAlign w:val="superscript"/>
                                <w:lang w:val="en-US"/>
                              </w:rPr>
                              <w:t>TM</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E4BA4C5" id="_x0000_t202" coordsize="21600,21600" o:spt="202" path="m,l,21600r21600,l21600,xe">
                <v:stroke joinstyle="miter"/>
                <v:path gradientshapeok="t" o:connecttype="rect"/>
              </v:shapetype>
              <v:shape id="Text Box 54" o:spid="_x0000_s1026" type="#_x0000_t202" style="position:absolute;left:0;text-align:left;margin-left:-46.2pt;margin-top:242.6pt;width:481.1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" stroked="f">
                <v:textbox style="mso-fit-shape-to-text:t" inset="0,0,0,0">
                  <w:txbxContent>
                    <w:p w14:paraId="4ED15DBB" w14:textId="04394016" w:rsidR="00E563E8" w:rsidRPr="00EF005C" w:rsidRDefault="00E563E8" w:rsidP="001F18F2">
                      <w:pPr>
                        <w:pStyle w:val="Caption"/>
                        <w:rPr>
                          <w:rFonts w:cs="Times New Roman"/>
                          <w:noProof/>
                          <w:szCs w:val="24"/>
                          <w:lang w:val="en-US"/>
                        </w:rPr>
                      </w:pPr>
                      <w:bookmarkStart w:id="41" w:name="_Ref45572593"/>
                      <w:bookmarkStart w:id="42" w:name="_Toc45837580"/>
                      <w:r w:rsidRPr="00EF005C">
                        <w:rPr>
                          <w:lang w:val="en-US"/>
                        </w:rPr>
                        <w:t xml:space="preserve">Figure </w:t>
                      </w:r>
                      <w:r>
                        <w:fldChar w:fldCharType="begin"/>
                      </w:r>
                      <w:r w:rsidRPr="00EF005C">
                        <w:rPr>
                          <w:lang w:val="en-US"/>
                        </w:rPr>
                        <w:instrText xml:space="preserve"> SEQ Figure \* ARABIC </w:instrText>
                      </w:r>
                      <w:r>
                        <w:fldChar w:fldCharType="separate"/>
                      </w:r>
                      <w:r w:rsidR="0008188F">
                        <w:rPr>
                          <w:noProof/>
                          <w:lang w:val="en-US"/>
                        </w:rPr>
                        <w:t>9</w:t>
                      </w:r>
                      <w:r>
                        <w:fldChar w:fldCharType="end"/>
                      </w:r>
                      <w:bookmarkEnd w:id="41"/>
                      <w:r w:rsidRPr="00EF005C">
                        <w:rPr>
                          <w:lang w:val="en-US"/>
                        </w:rPr>
                        <w:t xml:space="preserve"> (A-E) – </w:t>
                      </w:r>
                      <w:r>
                        <w:rPr>
                          <w:lang w:val="en-US"/>
                        </w:rPr>
                        <w:t>F</w:t>
                      </w:r>
                      <w:r w:rsidRPr="00EF005C">
                        <w:rPr>
                          <w:lang w:val="en-US"/>
                        </w:rPr>
                        <w:t xml:space="preserve">ormamide on </w:t>
                      </w:r>
                      <w:r w:rsidRPr="001F31C3">
                        <w:rPr>
                          <w:rFonts w:cs="Times New Roman"/>
                          <w:szCs w:val="24"/>
                          <w:lang w:val="en-US"/>
                        </w:rPr>
                        <w:t>Nanogard</w:t>
                      </w:r>
                      <w:r w:rsidRPr="001F31C3">
                        <w:rPr>
                          <w:rFonts w:cs="Times New Roman"/>
                          <w:szCs w:val="24"/>
                          <w:vertAlign w:val="superscript"/>
                          <w:lang w:val="en-US"/>
                        </w:rPr>
                        <w:t>TM</w:t>
                      </w:r>
                      <w:bookmarkEnd w:id="42"/>
                    </w:p>
                  </w:txbxContent>
                </v:textbox>
                <w10:wrap type="topAndBottom"/>
              </v:shape>
            </w:pict>
          </mc:Fallback>
        </mc:AlternateContent>
      </w:r>
      <w:r w:rsidR="001F31C3">
        <w:rPr>
          <w:rFonts w:cs="Times New Roman"/>
          <w:noProof/>
          <w:szCs w:val="24"/>
          <w:lang w:val="en-US"/>
        </w:rPr>
        <w:drawing>
          <wp:anchor distT="0" distB="0" distL="114300" distR="114300" simplePos="0" relativeHeight="251667456" behindDoc="0" locked="0" layoutInCell="1" allowOverlap="1" wp14:anchorId="710870BA" wp14:editId="6494281D">
            <wp:simplePos x="0" y="0"/>
            <wp:positionH relativeFrom="margin">
              <wp:align>left</wp:align>
            </wp:positionH>
            <wp:positionV relativeFrom="paragraph">
              <wp:posOffset>4613959</wp:posOffset>
            </wp:positionV>
            <wp:extent cx="5111115" cy="2939415"/>
            <wp:effectExtent l="0" t="0" r="13335" b="13335"/>
            <wp:wrapSquare wrapText="bothSides"/>
            <wp:docPr id="52" name="Chart 52">
              <a:extLst xmlns:a="http://schemas.openxmlformats.org/drawingml/2006/main">
                <a:ext uri="{FF2B5EF4-FFF2-40B4-BE49-F238E27FC236}">
                  <a16:creationId xmlns:a16="http://schemas.microsoft.com/office/drawing/2014/main" id="{0C003CD2-4D96-4982-BE52-DA510B758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781EBB">
        <w:rPr>
          <w:rFonts w:cs="Times New Roman"/>
          <w:noProof/>
          <w:szCs w:val="24"/>
          <w:lang w:val="en-US"/>
        </w:rPr>
        <mc:AlternateContent>
          <mc:Choice Requires="wpg">
            <w:drawing>
              <wp:anchor distT="0" distB="0" distL="114300" distR="114300" simplePos="0" relativeHeight="251663360" behindDoc="0" locked="0" layoutInCell="1" allowOverlap="1" wp14:anchorId="0B5504A8" wp14:editId="4F60F56B">
                <wp:simplePos x="0" y="0"/>
                <wp:positionH relativeFrom="column">
                  <wp:posOffset>-631190</wp:posOffset>
                </wp:positionH>
                <wp:positionV relativeFrom="paragraph">
                  <wp:posOffset>344170</wp:posOffset>
                </wp:positionV>
                <wp:extent cx="6110605" cy="4527550"/>
                <wp:effectExtent l="0" t="0" r="4445" b="6350"/>
                <wp:wrapTopAndBottom/>
                <wp:docPr id="19" name="Group 19"/>
                <wp:cNvGraphicFramePr/>
                <a:graphic xmlns:a="http://schemas.openxmlformats.org/drawingml/2006/main">
                  <a:graphicData uri="http://schemas.microsoft.com/office/word/2010/wordprocessingGroup">
                    <wpg:wgp>
                      <wpg:cNvGrpSpPr/>
                      <wpg:grpSpPr>
                        <a:xfrm>
                          <a:off x="0" y="0"/>
                          <a:ext cx="6110605" cy="4527550"/>
                          <a:chOff x="0" y="0"/>
                          <a:chExt cx="6110605" cy="4527550"/>
                        </a:xfrm>
                      </wpg:grpSpPr>
                      <wpg:grpSp>
                        <wpg:cNvPr id="18" name="Group 18"/>
                        <wpg:cNvGrpSpPr/>
                        <wpg:grpSpPr>
                          <a:xfrm>
                            <a:off x="552450" y="0"/>
                            <a:ext cx="5213350" cy="4527550"/>
                            <a:chOff x="0" y="-1047750"/>
                            <a:chExt cx="5213350" cy="4527550"/>
                          </a:xfrm>
                        </wpg:grpSpPr>
                        <wps:wsp>
                          <wps:cNvPr id="7" name="Text Box 7"/>
                          <wps:cNvSpPr txBox="1"/>
                          <wps:spPr>
                            <a:xfrm>
                              <a:off x="0" y="1746250"/>
                              <a:ext cx="5213350" cy="1733550"/>
                            </a:xfrm>
                            <a:prstGeom prst="rect">
                              <a:avLst/>
                            </a:prstGeom>
                            <a:solidFill>
                              <a:schemeClr val="lt1"/>
                            </a:solidFill>
                            <a:ln w="6350">
                              <a:noFill/>
                            </a:ln>
                          </wps:spPr>
                          <wps:txbx>
                            <w:txbxContent>
                              <w:p w14:paraId="178E9660" w14:textId="77777777" w:rsidR="00E563E8" w:rsidRDefault="00E563E8" w:rsidP="00F07199">
                                <w:pPr>
                                  <w:spacing w:line="240" w:lineRule="auto"/>
                                  <w:jc w:val="both"/>
                                  <w:rPr>
                                    <w:rFonts w:cs="Times New Roman"/>
                                    <w:szCs w:val="24"/>
                                    <w:lang w:val="en-US"/>
                                  </w:rPr>
                                </w:pPr>
                              </w:p>
                              <w:p w14:paraId="4F5264D6" w14:textId="3B17A20E" w:rsidR="00E563E8" w:rsidRPr="00F41451" w:rsidRDefault="00E563E8" w:rsidP="00782551">
                                <w:pPr>
                                  <w:spacing w:line="240" w:lineRule="auto"/>
                                  <w:jc w:val="both"/>
                                  <w:rPr>
                                    <w:rFonts w:cs="Times New Roman"/>
                                    <w:szCs w:val="24"/>
                                    <w:lang w:val="en-US"/>
                                  </w:rPr>
                                </w:pPr>
                                <w:r w:rsidRPr="001F31C3">
                                  <w:rPr>
                                    <w:rFonts w:cs="Times New Roman"/>
                                    <w:szCs w:val="24"/>
                                    <w:lang w:val="en-US"/>
                                  </w:rPr>
                                  <w:t>Representative images of formamide on Nanogard</w:t>
                                </w:r>
                                <w:r w:rsidRPr="001F31C3">
                                  <w:rPr>
                                    <w:rFonts w:cs="Times New Roman"/>
                                    <w:szCs w:val="24"/>
                                    <w:vertAlign w:val="superscript"/>
                                    <w:lang w:val="en-US"/>
                                  </w:rPr>
                                  <w:t>TM</w:t>
                                </w:r>
                                <w:r w:rsidRPr="001F31C3">
                                  <w:rPr>
                                    <w:rFonts w:cs="Times New Roman"/>
                                    <w:szCs w:val="24"/>
                                    <w:lang w:val="en-US"/>
                                  </w:rPr>
                                  <w:t>; A) formamide droplet immediately before being dispensed onto the surface of the specimen, B) spreading of formamide droplet, C) aspect of droplet after 0.50 min, D) aspect of droplet after 0.75 min, E) aspect of the surface of the specimen at 1.00 min Note that the droplet dispensed is completely absorbed by the specimen over the</w:t>
                                </w:r>
                                <w:r>
                                  <w:rPr>
                                    <w:rFonts w:cs="Times New Roman"/>
                                    <w:szCs w:val="24"/>
                                    <w:lang w:val="en-US"/>
                                  </w:rPr>
                                  <w:t xml:space="preserve"> time</w:t>
                                </w:r>
                                <w:r w:rsidRPr="001F31C3">
                                  <w:rPr>
                                    <w:rFonts w:cs="Times New Roman"/>
                                    <w:szCs w:val="24"/>
                                    <w:lang w:val="en-US"/>
                                  </w:rPr>
                                  <w:t xml:space="preserve"> period of </w:t>
                                </w:r>
                                <w:r>
                                  <w:rPr>
                                    <w:rFonts w:cs="Times New Roman"/>
                                    <w:szCs w:val="24"/>
                                    <w:lang w:val="en-US"/>
                                  </w:rPr>
                                  <w:t>observation</w:t>
                                </w:r>
                                <w:r w:rsidRPr="001F31C3">
                                  <w:rPr>
                                    <w:rFonts w:cs="Times New Roman"/>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393700" y="-1047750"/>
                              <a:ext cx="4330700" cy="2649220"/>
                            </a:xfrm>
                            <a:prstGeom prst="rect">
                              <a:avLst/>
                            </a:prstGeom>
                          </pic:spPr>
                        </pic:pic>
                      </wpg:grpSp>
                      <wps:wsp>
                        <wps:cNvPr id="15" name="Text Box 15"/>
                        <wps:cNvSpPr txBox="1"/>
                        <wps:spPr>
                          <a:xfrm>
                            <a:off x="0" y="2774950"/>
                            <a:ext cx="6110605" cy="302260"/>
                          </a:xfrm>
                          <a:prstGeom prst="rect">
                            <a:avLst/>
                          </a:prstGeom>
                          <a:solidFill>
                            <a:prstClr val="white"/>
                          </a:solidFill>
                          <a:ln>
                            <a:noFill/>
                          </a:ln>
                        </wps:spPr>
                        <wps:txbx>
                          <w:txbxContent>
                            <w:p w14:paraId="471EEED9" w14:textId="348B2316" w:rsidR="00E563E8" w:rsidRPr="00956F89" w:rsidRDefault="00E563E8" w:rsidP="004862B5">
                              <w:pPr>
                                <w:pStyle w:val="Caption"/>
                                <w:rPr>
                                  <w:rFonts w:cs="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B5504A8" id="Group 19" o:spid="_x0000_s1027" style="position:absolute;left:0;text-align:left;margin-left:-49.7pt;margin-top:27.1pt;width:481.15pt;height:356.5pt;z-index:251663360" coordsize="61106,45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">
                <v:group id="Group 18" o:spid="_x0000_s1028" style="position:absolute;left:5524;width:52134;height:45275" coordorigin=",-10477" coordsize="52133,4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7" o:spid="_x0000_s1029" type="#_x0000_t202" style="position:absolute;top:17462;width:52133;height:1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178E9660" w14:textId="77777777" w:rsidR="00E563E8" w:rsidRDefault="00E563E8" w:rsidP="00F07199">
                          <w:pPr>
                            <w:spacing w:line="240" w:lineRule="auto"/>
                            <w:jc w:val="both"/>
                            <w:rPr>
                              <w:rFonts w:cs="Times New Roman"/>
                              <w:szCs w:val="24"/>
                              <w:lang w:val="en-US"/>
                            </w:rPr>
                          </w:pPr>
                        </w:p>
                        <w:p w14:paraId="4F5264D6" w14:textId="3B17A20E" w:rsidR="00E563E8" w:rsidRPr="00F41451" w:rsidRDefault="00E563E8" w:rsidP="00782551">
                          <w:pPr>
                            <w:spacing w:line="240" w:lineRule="auto"/>
                            <w:jc w:val="both"/>
                            <w:rPr>
                              <w:rFonts w:cs="Times New Roman"/>
                              <w:szCs w:val="24"/>
                              <w:lang w:val="en-US"/>
                            </w:rPr>
                          </w:pPr>
                          <w:r w:rsidRPr="001F31C3">
                            <w:rPr>
                              <w:rFonts w:cs="Times New Roman"/>
                              <w:szCs w:val="24"/>
                              <w:lang w:val="en-US"/>
                            </w:rPr>
                            <w:t>Representative images of formamide on Nanogard</w:t>
                          </w:r>
                          <w:r w:rsidRPr="001F31C3">
                            <w:rPr>
                              <w:rFonts w:cs="Times New Roman"/>
                              <w:szCs w:val="24"/>
                              <w:vertAlign w:val="superscript"/>
                              <w:lang w:val="en-US"/>
                            </w:rPr>
                            <w:t>TM</w:t>
                          </w:r>
                          <w:r w:rsidRPr="001F31C3">
                            <w:rPr>
                              <w:rFonts w:cs="Times New Roman"/>
                              <w:szCs w:val="24"/>
                              <w:lang w:val="en-US"/>
                            </w:rPr>
                            <w:t>; A) formamide droplet immediately before being dispensed onto the surface of the specimen, B) spreading of formamide droplet, C) aspect of droplet after 0.50 min, D) aspect of droplet after 0.75 min, E) aspect of the surface of the specimen at 1.00 min Note that the droplet dispensed is completely absorbed by the specimen over the</w:t>
                          </w:r>
                          <w:r>
                            <w:rPr>
                              <w:rFonts w:cs="Times New Roman"/>
                              <w:szCs w:val="24"/>
                              <w:lang w:val="en-US"/>
                            </w:rPr>
                            <w:t xml:space="preserve"> time</w:t>
                          </w:r>
                          <w:r w:rsidRPr="001F31C3">
                            <w:rPr>
                              <w:rFonts w:cs="Times New Roman"/>
                              <w:szCs w:val="24"/>
                              <w:lang w:val="en-US"/>
                            </w:rPr>
                            <w:t xml:space="preserve"> period of </w:t>
                          </w:r>
                          <w:r>
                            <w:rPr>
                              <w:rFonts w:cs="Times New Roman"/>
                              <w:szCs w:val="24"/>
                              <w:lang w:val="en-US"/>
                            </w:rPr>
                            <w:t>observation</w:t>
                          </w:r>
                          <w:r w:rsidRPr="001F31C3">
                            <w:rPr>
                              <w:rFonts w:cs="Times New Roman"/>
                              <w:szCs w:val="24"/>
                              <w:lang w:val="en-US"/>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937;top:-10477;width:43307;height:26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">
                    <v:imagedata r:id="rId25" o:title=""/>
                  </v:shape>
                </v:group>
                <v:shape id="Text Box 15" o:spid="_x0000_s1031" type="#_x0000_t202" style="position:absolute;top:27749;width:61106;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" stroked="f">
                  <v:textbox style="mso-fit-shape-to-text:t" inset="0,0,0,0">
                    <w:txbxContent>
                      <w:p w14:paraId="471EEED9" w14:textId="348B2316" w:rsidR="00E563E8" w:rsidRPr="00956F89" w:rsidRDefault="00E563E8" w:rsidP="004862B5">
                        <w:pPr>
                          <w:pStyle w:val="Caption"/>
                          <w:rPr>
                            <w:rFonts w:cs="Times New Roman"/>
                            <w:noProof/>
                            <w:szCs w:val="24"/>
                          </w:rPr>
                        </w:pPr>
                      </w:p>
                    </w:txbxContent>
                  </v:textbox>
                </v:shape>
                <w10:wrap type="topAndBottom"/>
              </v:group>
            </w:pict>
          </mc:Fallback>
        </mc:AlternateContent>
      </w:r>
    </w:p>
    <w:p w14:paraId="2327458E" w14:textId="7A475550" w:rsidR="00781EBB" w:rsidRPr="00BD76D2" w:rsidRDefault="001F18F2" w:rsidP="00BD76D2">
      <w:pPr>
        <w:spacing w:line="240" w:lineRule="auto"/>
        <w:jc w:val="both"/>
        <w:rPr>
          <w:rFonts w:cs="Times New Roman"/>
          <w:szCs w:val="24"/>
          <w:lang w:val="en-US"/>
        </w:rPr>
      </w:pPr>
      <w:r>
        <w:rPr>
          <w:rFonts w:cs="Times New Roman"/>
          <w:szCs w:val="24"/>
          <w:lang w:val="en-US"/>
        </w:rPr>
        <w:fldChar w:fldCharType="begin"/>
      </w:r>
      <w:r>
        <w:rPr>
          <w:rFonts w:cs="Times New Roman"/>
          <w:szCs w:val="24"/>
          <w:lang w:val="en-US"/>
        </w:rPr>
        <w:instrText xml:space="preserve"> REF _Ref45572593 \h </w:instrText>
      </w:r>
      <w:r>
        <w:rPr>
          <w:rFonts w:cs="Times New Roman"/>
          <w:szCs w:val="24"/>
          <w:lang w:val="en-US"/>
        </w:rPr>
      </w:r>
      <w:r>
        <w:rPr>
          <w:rFonts w:cs="Times New Roman"/>
          <w:szCs w:val="24"/>
          <w:lang w:val="en-US"/>
        </w:rPr>
        <w:fldChar w:fldCharType="separate"/>
      </w:r>
      <w:r w:rsidR="0008188F" w:rsidRPr="00EF005C">
        <w:rPr>
          <w:lang w:val="en-US"/>
        </w:rPr>
        <w:t xml:space="preserve">Figure </w:t>
      </w:r>
      <w:r w:rsidR="0008188F">
        <w:rPr>
          <w:noProof/>
          <w:lang w:val="en-US"/>
        </w:rPr>
        <w:t>9</w:t>
      </w:r>
      <w:r>
        <w:rPr>
          <w:rFonts w:cs="Times New Roman"/>
          <w:szCs w:val="24"/>
          <w:lang w:val="en-US"/>
        </w:rPr>
        <w:fldChar w:fldCharType="end"/>
      </w:r>
      <w:r w:rsidR="00781EBB">
        <w:rPr>
          <w:rFonts w:cs="Times New Roman"/>
          <w:szCs w:val="24"/>
          <w:lang w:val="en-US"/>
        </w:rPr>
        <w:t>F</w:t>
      </w:r>
      <w:r w:rsidR="00781EBB" w:rsidRPr="00F41451">
        <w:rPr>
          <w:rFonts w:cs="Times New Roman"/>
          <w:szCs w:val="24"/>
          <w:lang w:val="en-US"/>
        </w:rPr>
        <w:t>: Representative curves of time-dependent penetration of formamide (volume dispensed here) into specimens of packed Nanogard</w:t>
      </w:r>
      <w:r w:rsidR="001F31C3">
        <w:rPr>
          <w:rFonts w:cs="Times New Roman"/>
          <w:szCs w:val="24"/>
          <w:vertAlign w:val="superscript"/>
          <w:lang w:val="en-US"/>
        </w:rPr>
        <w:t>TM</w:t>
      </w:r>
      <w:r w:rsidR="00781EBB" w:rsidRPr="00F41451">
        <w:rPr>
          <w:rFonts w:cs="Times New Roman"/>
          <w:szCs w:val="24"/>
          <w:lang w:val="en-US"/>
        </w:rPr>
        <w:t xml:space="preserve"> powders (either x or y). Surface numbers indicate separate specimens, while droplet numbers indicate separate droplets placed on the surface of same specimen. </w:t>
      </w:r>
    </w:p>
    <w:p w14:paraId="1FE0AAED" w14:textId="0F74D6C4" w:rsidR="00F07199" w:rsidRDefault="00F07199" w:rsidP="002003DD">
      <w:pPr>
        <w:pStyle w:val="Heading2"/>
      </w:pPr>
      <w:bookmarkStart w:id="43" w:name="_Toc45837546"/>
      <w:r>
        <w:t>Results and Discussion</w:t>
      </w:r>
      <w:bookmarkEnd w:id="43"/>
    </w:p>
    <w:p w14:paraId="4FAE774C" w14:textId="10532B98" w:rsidR="00FE5369" w:rsidRDefault="00F07199" w:rsidP="00FE5369">
      <w:pPr>
        <w:spacing w:after="0" w:line="480" w:lineRule="auto"/>
        <w:jc w:val="both"/>
        <w:rPr>
          <w:rFonts w:cs="Times New Roman"/>
          <w:szCs w:val="24"/>
          <w:lang w:val="en-US"/>
        </w:rPr>
      </w:pPr>
      <w:r>
        <w:rPr>
          <w:rFonts w:cs="Times New Roman"/>
          <w:szCs w:val="24"/>
          <w:lang w:val="en-US"/>
        </w:rPr>
        <w:t>The modified-DPM was employed in the present study to determine the wettability of deionized water, bromonaphthalene, formamide, diiodomethane, ethanol and ethylene glycol (in terms of contact angles) on the surfaces of specimens fabricated with packed nanopowders of Nanogard</w:t>
      </w:r>
      <w:r>
        <w:rPr>
          <w:rFonts w:ascii="Symbol" w:eastAsia="Symbol" w:hAnsi="Symbol" w:cs="Symbol"/>
          <w:szCs w:val="24"/>
          <w:lang w:val="en-US"/>
        </w:rPr>
        <w:t></w:t>
      </w:r>
      <w:r>
        <w:rPr>
          <w:rFonts w:cs="Times New Roman"/>
          <w:szCs w:val="24"/>
          <w:lang w:val="en-US"/>
        </w:rPr>
        <w:t xml:space="preserve"> ZnO or TiO</w:t>
      </w:r>
      <w:r w:rsidRPr="00EF1051">
        <w:rPr>
          <w:rFonts w:cs="Times New Roman"/>
          <w:szCs w:val="24"/>
          <w:vertAlign w:val="subscript"/>
          <w:lang w:val="en-US"/>
        </w:rPr>
        <w:t>2</w:t>
      </w:r>
      <w:r>
        <w:rPr>
          <w:rFonts w:cs="Times New Roman"/>
          <w:szCs w:val="24"/>
          <w:lang w:val="en-US"/>
        </w:rPr>
        <w:t xml:space="preserve"> to determine the utility of the modified-DPM investigated on nanostructured materials. In order for the modified protocol to render accurate contact angle measurements some fundamental criteria must be met, including (i) reference solvent’s contact angles must tend to zero and exhibit complete wetting, (ii) contact radius should remain constant throughout penetration time, and iii)</w:t>
      </w:r>
      <w:r w:rsidRPr="00A200D8">
        <w:rPr>
          <w:rFonts w:cs="Times New Roman"/>
          <w:szCs w:val="24"/>
          <w:lang w:val="en-US"/>
        </w:rPr>
        <w:t xml:space="preserve"> </w:t>
      </w:r>
      <w:r>
        <w:rPr>
          <w:rFonts w:cs="Times New Roman"/>
          <w:szCs w:val="24"/>
          <w:lang w:val="en-US"/>
        </w:rPr>
        <w:t>nondimensional time and volume (for different solvents on the same solid) should create an overlapping trend when graphed.</w:t>
      </w:r>
      <w:r w:rsidR="009D6174">
        <w:rPr>
          <w:rFonts w:cs="Times New Roman"/>
          <w:szCs w:val="24"/>
          <w:lang w:val="en-US"/>
        </w:rPr>
        <w:t xml:space="preserve"> </w:t>
      </w:r>
      <w:r w:rsidR="009D6174" w:rsidRPr="009D6174">
        <w:rPr>
          <w:rFonts w:cs="Times New Roman"/>
          <w:szCs w:val="24"/>
          <w:lang w:val="en-US"/>
        </w:rPr>
        <w:t xml:space="preserve">The nondimensional time and volume takes the permeability, porosity and effective pore radius into account in order to determine the nondimensional values of the data shown in </w:t>
      </w:r>
      <w:r w:rsidR="00FE5369">
        <w:rPr>
          <w:rFonts w:cs="Times New Roman"/>
          <w:szCs w:val="24"/>
          <w:lang w:val="en-US"/>
        </w:rPr>
        <w:fldChar w:fldCharType="begin"/>
      </w:r>
      <w:r w:rsidR="00FE5369">
        <w:rPr>
          <w:rFonts w:cs="Times New Roman"/>
          <w:szCs w:val="24"/>
          <w:lang w:val="en-US"/>
        </w:rPr>
        <w:instrText xml:space="preserve"> REF _Ref42539778 \h </w:instrText>
      </w:r>
      <w:r w:rsidR="00FE5369">
        <w:rPr>
          <w:rFonts w:cs="Times New Roman"/>
          <w:szCs w:val="24"/>
          <w:lang w:val="en-US"/>
        </w:rPr>
      </w:r>
      <w:r w:rsidR="00FE5369">
        <w:rPr>
          <w:rFonts w:cs="Times New Roman"/>
          <w:szCs w:val="24"/>
          <w:lang w:val="en-US"/>
        </w:rPr>
        <w:fldChar w:fldCharType="separate"/>
      </w:r>
      <w:r w:rsidR="0008188F" w:rsidRPr="00FE5369">
        <w:rPr>
          <w:lang w:val="en-US"/>
        </w:rPr>
        <w:t xml:space="preserve">Equation </w:t>
      </w:r>
      <w:r w:rsidR="0008188F">
        <w:rPr>
          <w:noProof/>
          <w:lang w:val="en-US"/>
        </w:rPr>
        <w:t>4</w:t>
      </w:r>
      <w:r w:rsidR="00FE5369">
        <w:rPr>
          <w:rFonts w:cs="Times New Roman"/>
          <w:szCs w:val="24"/>
          <w:lang w:val="en-US"/>
        </w:rPr>
        <w:fldChar w:fldCharType="end"/>
      </w:r>
      <w:r w:rsidR="009D6174" w:rsidRPr="009D6174">
        <w:rPr>
          <w:rFonts w:cs="Times New Roman"/>
          <w:szCs w:val="24"/>
          <w:lang w:val="en-US"/>
        </w:rPr>
        <w:t xml:space="preserve">. </w:t>
      </w:r>
    </w:p>
    <w:p w14:paraId="375163A3" w14:textId="5F5F402A" w:rsidR="009D6174" w:rsidRPr="009D6174" w:rsidRDefault="00FE5369" w:rsidP="00FE5369">
      <w:pPr>
        <w:pStyle w:val="Caption"/>
        <w:rPr>
          <w:rFonts w:cs="Times New Roman"/>
          <w:szCs w:val="24"/>
          <w:lang w:val="en-US"/>
        </w:rPr>
      </w:pPr>
      <w:bookmarkStart w:id="44" w:name="_Ref42539778"/>
      <w:r w:rsidRPr="00FE5369">
        <w:rPr>
          <w:lang w:val="en-US"/>
        </w:rPr>
        <w:t xml:space="preserve">Equation </w:t>
      </w:r>
      <w:r>
        <w:fldChar w:fldCharType="begin"/>
      </w:r>
      <w:r w:rsidRPr="00FE5369">
        <w:rPr>
          <w:lang w:val="en-US"/>
        </w:rPr>
        <w:instrText xml:space="preserve"> SEQ Equation \* ARABIC </w:instrText>
      </w:r>
      <w:r>
        <w:fldChar w:fldCharType="separate"/>
      </w:r>
      <w:r w:rsidR="0008188F">
        <w:rPr>
          <w:noProof/>
          <w:lang w:val="en-US"/>
        </w:rPr>
        <w:t>4</w:t>
      </w:r>
      <w:r>
        <w:fldChar w:fldCharType="end"/>
      </w:r>
      <w:bookmarkEnd w:id="44"/>
      <w:r w:rsidRPr="00FE5369">
        <w:rPr>
          <w:lang w:val="en-US"/>
        </w:rPr>
        <w:tab/>
      </w:r>
      <m:oMath>
        <m:sSub>
          <m:sSubPr>
            <m:ctrlPr>
              <w:rPr>
                <w:rFonts w:ascii="Cambria Math" w:hAnsi="Cambria Math" w:cs="Times New Roman"/>
                <w:i/>
                <w:szCs w:val="24"/>
                <w:lang w:val="en-US"/>
              </w:rPr>
            </m:ctrlPr>
          </m:sSubPr>
          <m:e>
            <m:r>
              <m:rPr>
                <m:sty m:val="bi"/>
              </m:rPr>
              <w:rPr>
                <w:rFonts w:ascii="Cambria Math" w:hAnsi="Cambria Math" w:cs="Times New Roman"/>
                <w:szCs w:val="24"/>
                <w:lang w:val="en-US"/>
              </w:rPr>
              <m:t>t</m:t>
            </m:r>
          </m:e>
          <m:sub>
            <m:r>
              <m:rPr>
                <m:sty m:val="bi"/>
              </m:rPr>
              <w:rPr>
                <w:rFonts w:ascii="Cambria Math" w:hAnsi="Cambria Math" w:cs="Times New Roman"/>
                <w:szCs w:val="24"/>
                <w:lang w:val="en-US"/>
              </w:rPr>
              <m:t>c</m:t>
            </m:r>
          </m:sub>
        </m:sSub>
        <m:r>
          <m:rPr>
            <m:sty m:val="bi"/>
          </m:rPr>
          <w:rPr>
            <w:rFonts w:ascii="Cambria Math" w:hAnsi="Cambria Math" w:cs="Times New Roman"/>
            <w:szCs w:val="24"/>
            <w:lang w:val="en-US"/>
          </w:rPr>
          <m:t>=</m:t>
        </m:r>
        <m:f>
          <m:fPr>
            <m:ctrlPr>
              <w:rPr>
                <w:rFonts w:ascii="Cambria Math" w:hAnsi="Cambria Math" w:cs="Times New Roman"/>
                <w:i/>
                <w:szCs w:val="24"/>
                <w:lang w:val="en-US"/>
              </w:rPr>
            </m:ctrlPr>
          </m:fPr>
          <m:num>
            <m:r>
              <m:rPr>
                <m:sty m:val="bi"/>
              </m:rPr>
              <w:rPr>
                <w:rFonts w:ascii="Cambria Math" w:hAnsi="Cambria Math" w:cs="Times New Roman"/>
                <w:szCs w:val="24"/>
                <w:lang w:val="en-US"/>
              </w:rPr>
              <m:t>με</m:t>
            </m:r>
            <m:sSup>
              <m:sSupPr>
                <m:ctrlPr>
                  <w:rPr>
                    <w:rFonts w:ascii="Cambria Math" w:hAnsi="Cambria Math" w:cs="Times New Roman"/>
                    <w:i/>
                    <w:szCs w:val="24"/>
                    <w:lang w:val="en-US"/>
                  </w:rPr>
                </m:ctrlPr>
              </m:sSupPr>
              <m:e>
                <m:sSub>
                  <m:sSubPr>
                    <m:ctrlPr>
                      <w:rPr>
                        <w:rFonts w:ascii="Cambria Math" w:hAnsi="Cambria Math" w:cs="Times New Roman"/>
                        <w:i/>
                        <w:szCs w:val="24"/>
                        <w:lang w:val="en-US"/>
                      </w:rPr>
                    </m:ctrlPr>
                  </m:sSubPr>
                  <m:e>
                    <m:r>
                      <m:rPr>
                        <m:sty m:val="bi"/>
                      </m:rPr>
                      <w:rPr>
                        <w:rFonts w:ascii="Cambria Math" w:hAnsi="Cambria Math" w:cs="Times New Roman"/>
                        <w:szCs w:val="24"/>
                        <w:lang w:val="en-US"/>
                      </w:rPr>
                      <m:t>r</m:t>
                    </m:r>
                  </m:e>
                  <m:sub>
                    <m:r>
                      <m:rPr>
                        <m:sty m:val="bi"/>
                      </m:rPr>
                      <w:rPr>
                        <w:rFonts w:ascii="Cambria Math" w:hAnsi="Cambria Math" w:cs="Times New Roman"/>
                        <w:szCs w:val="24"/>
                        <w:lang w:val="en-US"/>
                      </w:rPr>
                      <m:t>c</m:t>
                    </m:r>
                  </m:sub>
                </m:sSub>
              </m:e>
              <m:sup>
                <m:r>
                  <m:rPr>
                    <m:sty m:val="bi"/>
                  </m:rPr>
                  <w:rPr>
                    <w:rFonts w:ascii="Cambria Math" w:hAnsi="Cambria Math" w:cs="Times New Roman"/>
                    <w:szCs w:val="24"/>
                    <w:lang w:val="en-US"/>
                  </w:rPr>
                  <m:t>2</m:t>
                </m:r>
              </m:sup>
            </m:sSup>
          </m:num>
          <m:den>
            <m:r>
              <m:rPr>
                <m:sty m:val="bi"/>
              </m:rPr>
              <w:rPr>
                <w:rFonts w:ascii="Cambria Math" w:hAnsi="Cambria Math" w:cs="Times New Roman"/>
                <w:szCs w:val="24"/>
                <w:lang w:val="en-US"/>
              </w:rPr>
              <m:t>k</m:t>
            </m:r>
            <m:sSub>
              <m:sSubPr>
                <m:ctrlPr>
                  <w:rPr>
                    <w:rFonts w:ascii="Cambria Math" w:hAnsi="Cambria Math" w:cs="Times New Roman"/>
                    <w:i/>
                    <w:szCs w:val="24"/>
                    <w:lang w:val="en-US"/>
                  </w:rPr>
                </m:ctrlPr>
              </m:sSubPr>
              <m:e>
                <m:r>
                  <m:rPr>
                    <m:sty m:val="bi"/>
                  </m:rPr>
                  <w:rPr>
                    <w:rFonts w:ascii="Cambria Math" w:hAnsi="Cambria Math" w:cs="Times New Roman"/>
                    <w:szCs w:val="24"/>
                    <w:lang w:val="en-US"/>
                  </w:rPr>
                  <m:t>p</m:t>
                </m:r>
              </m:e>
              <m:sub>
                <m:r>
                  <m:rPr>
                    <m:sty m:val="bi"/>
                  </m:rPr>
                  <w:rPr>
                    <w:rFonts w:ascii="Cambria Math" w:hAnsi="Cambria Math" w:cs="Times New Roman"/>
                    <w:szCs w:val="24"/>
                    <w:lang w:val="en-US"/>
                  </w:rPr>
                  <m:t>c</m:t>
                </m:r>
              </m:sub>
            </m:sSub>
          </m:den>
        </m:f>
      </m:oMath>
      <w:r w:rsidR="009D6174" w:rsidRPr="009D6174">
        <w:rPr>
          <w:rFonts w:cs="Times New Roman"/>
          <w:szCs w:val="24"/>
          <w:lang w:val="en-US"/>
        </w:rPr>
        <w:t xml:space="preserve"> </w:t>
      </w:r>
    </w:p>
    <w:p w14:paraId="0FF8D720" w14:textId="47B98AA8" w:rsidR="00A108AE" w:rsidRDefault="009D6174" w:rsidP="00F07199">
      <w:pPr>
        <w:spacing w:after="0" w:line="480" w:lineRule="auto"/>
        <w:jc w:val="both"/>
        <w:rPr>
          <w:rFonts w:cs="Times New Roman"/>
          <w:szCs w:val="24"/>
          <w:lang w:val="en-US"/>
        </w:rPr>
      </w:pPr>
      <w:r w:rsidRPr="009D6174">
        <w:rPr>
          <w:rFonts w:cs="Times New Roman"/>
          <w:szCs w:val="24"/>
          <w:lang w:val="en-US"/>
        </w:rPr>
        <w:t>Where t</w:t>
      </w:r>
      <w:r w:rsidRPr="009D6174">
        <w:rPr>
          <w:rFonts w:cs="Times New Roman"/>
          <w:szCs w:val="24"/>
          <w:vertAlign w:val="subscript"/>
          <w:lang w:val="en-US"/>
        </w:rPr>
        <w:t>c</w:t>
      </w:r>
      <w:r w:rsidRPr="009D6174">
        <w:rPr>
          <w:rFonts w:cs="Times New Roman"/>
          <w:szCs w:val="24"/>
          <w:lang w:val="en-US"/>
        </w:rPr>
        <w:t xml:space="preserve"> is the characteristic time, μ is viscosity, ε is the porosity, r</w:t>
      </w:r>
      <w:r w:rsidRPr="009D6174">
        <w:rPr>
          <w:rFonts w:cs="Times New Roman"/>
          <w:szCs w:val="24"/>
          <w:vertAlign w:val="subscript"/>
          <w:lang w:val="en-US"/>
        </w:rPr>
        <w:t>c</w:t>
      </w:r>
      <w:r w:rsidRPr="009D6174">
        <w:rPr>
          <w:rFonts w:cs="Times New Roman"/>
          <w:szCs w:val="24"/>
          <w:lang w:val="en-US"/>
        </w:rPr>
        <w:t xml:space="preserve"> is the contact radius, k is the permeability, and p</w:t>
      </w:r>
      <w:r w:rsidRPr="009D6174">
        <w:rPr>
          <w:rFonts w:cs="Times New Roman"/>
          <w:szCs w:val="24"/>
          <w:vertAlign w:val="subscript"/>
          <w:lang w:val="en-US"/>
        </w:rPr>
        <w:t xml:space="preserve">c </w:t>
      </w:r>
      <w:r w:rsidRPr="009D6174">
        <w:rPr>
          <w:rFonts w:cs="Times New Roman"/>
          <w:szCs w:val="24"/>
          <w:lang w:val="en-US"/>
        </w:rPr>
        <w:t>is the capillary pressure inside of the powder bed. More details on the nondimensional analysis equations can be found in the article by Liu</w:t>
      </w:r>
      <w:r w:rsidRPr="009D6174">
        <w:rPr>
          <w:rFonts w:cs="Times New Roman"/>
          <w:szCs w:val="24"/>
          <w:lang w:val="en-US"/>
        </w:rPr>
        <w:fldChar w:fldCharType="begin" w:fldLock="1"/>
      </w:r>
      <w:r w:rsidR="004871C8">
        <w:rPr>
          <w:rFonts w:cs="Times New Roman"/>
          <w:szCs w:val="24"/>
          <w:lang w:val="en-US"/>
        </w:rPr>
        <w:instrText>ADDIN CSL_CITATION {"citationItems":[{"id":"ITEM-1","itemData":{"DOI":"10.1021/acs.langmuir.6b03589","ISBN":"0743-7463","author":[{"dropping-particle":"","family":"Liu","given":"Zhanjie","non-dropping-particle":"","parse-names":false,"suffix":""},{"dropping-particle":"","family":"Wang","given":"Yifan","non-dropping-particle":"","parse-names":false,"suffix":""},{"dropping-particle":"","family":"Muzzio","given":"Fernando J","non-dropping-particle":"","parse-names":false,"suffix":""},{"dropping-particle":"","family":"Callegari","given":"Gerardo","non-dropping-particle":"","parse-names":false,"suffix":""},{"dropping-particle":"","family":"Drazer","given":"German","non-dropping-particle":"","parse-names":false,"suffix":""}],"container-title":"Langmuir","id":"ITEM-1","issue":"1","issued":{"date-parts":[["2017"]]},"page":"56-65","publisher":"American Chemical Society","title":"Capillary drop penetration method to characterize the liquid wetting of powders","type":"article-journal","volume":"33"},"uris":["http://www.mendeley.com/documents/?uuid=b8554e32-441a-454b-9ec6-67703dbeec39"]}],"mendeley":{"formattedCitation":"&lt;sup&gt;56&lt;/sup&gt;","plainTextFormattedCitation":"56","previouslyFormattedCitation":"&lt;sup&gt;56&lt;/sup&gt;"},"properties":{"noteIndex":0},"schema":"https://github.com/citation-style-language/schema/raw/master/csl-citation.json"}</w:instrText>
      </w:r>
      <w:r w:rsidRPr="009D6174">
        <w:rPr>
          <w:rFonts w:cs="Times New Roman"/>
          <w:szCs w:val="24"/>
          <w:lang w:val="en-US"/>
        </w:rPr>
        <w:fldChar w:fldCharType="separate"/>
      </w:r>
      <w:r w:rsidR="00B01517" w:rsidRPr="00B01517">
        <w:rPr>
          <w:rFonts w:cs="Times New Roman"/>
          <w:noProof/>
          <w:szCs w:val="24"/>
          <w:vertAlign w:val="superscript"/>
          <w:lang w:val="en-US"/>
        </w:rPr>
        <w:t>56</w:t>
      </w:r>
      <w:r w:rsidRPr="009D6174">
        <w:rPr>
          <w:rFonts w:cs="Times New Roman"/>
          <w:szCs w:val="24"/>
          <w:lang w:val="en-US"/>
        </w:rPr>
        <w:fldChar w:fldCharType="end"/>
      </w:r>
      <w:r w:rsidRPr="009D6174">
        <w:rPr>
          <w:rFonts w:cs="Times New Roman"/>
          <w:szCs w:val="24"/>
          <w:lang w:val="en-US"/>
        </w:rPr>
        <w:t>.</w:t>
      </w:r>
    </w:p>
    <w:p w14:paraId="090A068A" w14:textId="2B0FFA9F" w:rsidR="00F07199" w:rsidRDefault="00F07199" w:rsidP="00A108AE">
      <w:pPr>
        <w:spacing w:after="0" w:line="480" w:lineRule="auto"/>
        <w:ind w:firstLine="708"/>
        <w:jc w:val="both"/>
        <w:rPr>
          <w:rFonts w:cs="Times New Roman"/>
          <w:szCs w:val="24"/>
          <w:lang w:val="en-US"/>
        </w:rPr>
      </w:pPr>
      <w:r>
        <w:rPr>
          <w:rFonts w:cs="Times New Roman"/>
          <w:szCs w:val="24"/>
          <w:lang w:val="en-US"/>
        </w:rPr>
        <w:t>In the present study, the rationale for selection of nanoparticles was based on their utilization as antibacterial and bioactive agents for polymer-based dental biomaterials, while solvents were selected based on their ability to determine the surface free energy components of the solids of interest,</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{"citationItems":[{"id":"ITEM-1","itemData":{"DOI":"https://doi.org/10.1016/0001-8686(87)80008-8","ISSN":"0001-8686","abstract":"Following the development of a methodology for determining the apolar components as well as the electron donor and the electron acceptor parameters of the surface tension of polar surfaces, surfaces of a number of quite common materials were found to manifest virtually only electron donor properties and no, or hardly, any electron acceptor properties. Such materials may be called monopolar; they can strongly interact with bipolar materials (e.g., with polar liquids such as water); but one single polar parameter of a monopolar material cannot contribute to its energy of cohesion. Monopolar materials manifesting only electron acceptor properties also may exist, but they do not appear to occur in as great an abundance. Among the electron donor monopolar materials are: polymethylmethacrylate, polyvinylalcohol, polyethyleneglycol, proteins, many polysaccharides, phospholipids, nonionic surfactants, cellulose esters, etc. Strongly monopolar materials of the same sign repel each other when immersed or dissolved in water or other polar liquids. The interfacial tension between strongly monopolar surfaces and water has a negative value. This leads to a tendency for water to penetrate between facing surfaces of a monopolar substance and hence, to repulsion between the molecules or particles of such a monopolar material, when immersed in water, and thus to pronounced solubility or dispersibility. Monopolar repulsion energies can far outweigh Lifshitz-van der Waals attractions as well as electrostatic and “steric” repulsions. In aqueous systems the commonly observed stabilization effects, which usually are ascribed to “steric” stabilization, may in many instances be attributed to monopolar repulsion between nonionic stabilizing molecules. The repulsion between monopolar molecules of the same sign can also lead to phase separation in aqueous solutions (or suspensions), where not only two, but multiple phases are possible. Negative interfacial tensions between monopolar surfactants and the brine phase can be the driving force for the formation of microemulsions; such negative interfacial tensions ultimately decay and stabilize at a value very close to zero. Strongly monopolar macromolecules or particles surrounded by oriented water molecules of hydration can still repel each other, albeit to an attenuated degree. This repulsion was earlier perceived as caused by “hydration pressure”. A few of the relevant colloid and surface phenomena are reviewed and re-examined in t…","author":[{"dropping-particle":"","family":"Oss","given":"C J","non-dropping-particle":"van","parse-names":false,"suffix":""},{"dropping-particle":"","family":"Chaudhury","given":"M K","non-dropping-particle":"","parse-names":false,"suffix":""},{"dropping-particle":"","family":"Good","given":"R J","non-dropping-particle":"","parse-names":false,"suffix":""}],"container-title":"Advances in Colloid and Interface Science","id":"ITEM-1","issued":{"date-parts":[["1987"]]},"page":"35-64","title":"Monopolar surfaces","type":"article-journal","volume":"28"},"uris":["http://www.mendeley.com/documents/?uuid=c952ffe3-3ee7-4d41-b4ab-92bde7e04bc2"]}],"mendeley":{"formattedCitation":"&lt;sup&gt;49&lt;/sup&gt;","plainTextFormattedCitation":"49","previouslyFormattedCitation":"&lt;sup&gt;49&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bCs/>
          <w:noProof/>
          <w:szCs w:val="24"/>
          <w:vertAlign w:val="superscript"/>
          <w:lang w:val="en-US"/>
        </w:rPr>
        <w:t>49</w:t>
      </w:r>
      <w:r>
        <w:rPr>
          <w:rStyle w:val="FootnoteReference"/>
          <w:rFonts w:cs="Times New Roman"/>
          <w:szCs w:val="24"/>
          <w:lang w:val="en-US"/>
        </w:rPr>
        <w:fldChar w:fldCharType="end"/>
      </w:r>
      <w:r>
        <w:rPr>
          <w:rFonts w:cs="Times New Roman"/>
          <w:szCs w:val="24"/>
          <w:lang w:val="en-US"/>
        </w:rPr>
        <w:t xml:space="preserve"> and because this type of</w:t>
      </w:r>
      <w:r w:rsidRPr="00243583">
        <w:rPr>
          <w:rFonts w:cs="Times New Roman"/>
          <w:color w:val="FF0000"/>
          <w:szCs w:val="24"/>
          <w:lang w:val="en-US"/>
        </w:rPr>
        <w:t xml:space="preserve"> </w:t>
      </w:r>
      <w:r>
        <w:rPr>
          <w:rFonts w:cs="Times New Roman"/>
          <w:szCs w:val="24"/>
          <w:lang w:val="en-US"/>
        </w:rPr>
        <w:t xml:space="preserve">characterization, </w:t>
      </w:r>
      <w:r w:rsidRPr="00E1568D">
        <w:rPr>
          <w:rFonts w:cs="Times New Roman"/>
          <w:szCs w:val="24"/>
          <w:lang w:val="en-US"/>
        </w:rPr>
        <w:t xml:space="preserve">requires </w:t>
      </w:r>
      <w:r>
        <w:rPr>
          <w:rFonts w:cs="Times New Roman"/>
          <w:szCs w:val="24"/>
          <w:lang w:val="en-US"/>
        </w:rPr>
        <w:t xml:space="preserve">the utilization of </w:t>
      </w:r>
      <w:r w:rsidRPr="00E1568D">
        <w:rPr>
          <w:rFonts w:cs="Times New Roman"/>
          <w:szCs w:val="24"/>
          <w:lang w:val="en-US"/>
        </w:rPr>
        <w:t xml:space="preserve">a variety of solvents </w:t>
      </w:r>
      <w:r>
        <w:rPr>
          <w:rFonts w:cs="Times New Roman"/>
          <w:szCs w:val="24"/>
          <w:lang w:val="en-US"/>
        </w:rPr>
        <w:t xml:space="preserve">displaying </w:t>
      </w:r>
      <w:r w:rsidRPr="00E1568D">
        <w:rPr>
          <w:rFonts w:cs="Times New Roman"/>
          <w:szCs w:val="24"/>
          <w:lang w:val="en-US"/>
        </w:rPr>
        <w:t>a variety</w:t>
      </w:r>
      <w:r>
        <w:rPr>
          <w:rFonts w:cs="Times New Roman"/>
          <w:szCs w:val="24"/>
          <w:lang w:val="en-US"/>
        </w:rPr>
        <w:t xml:space="preserve"> of affinity behaviors</w:t>
      </w:r>
      <w:r w:rsidRPr="00E1568D">
        <w:rPr>
          <w:rFonts w:cs="Times New Roman"/>
          <w:szCs w:val="24"/>
          <w:lang w:val="en-US"/>
        </w:rPr>
        <w:t xml:space="preserve">. </w:t>
      </w:r>
      <w:r>
        <w:rPr>
          <w:rFonts w:cs="Times New Roman"/>
          <w:szCs w:val="24"/>
          <w:lang w:val="en-US"/>
        </w:rPr>
        <w:t xml:space="preserve">Experimental results indicated that solvents investigated were </w:t>
      </w:r>
      <w:r w:rsidR="001C673D">
        <w:rPr>
          <w:rFonts w:cs="Times New Roman"/>
          <w:szCs w:val="24"/>
          <w:lang w:val="en-US"/>
        </w:rPr>
        <w:t xml:space="preserve">partially </w:t>
      </w:r>
      <w:r>
        <w:rPr>
          <w:rFonts w:cs="Times New Roman"/>
          <w:szCs w:val="24"/>
          <w:lang w:val="en-US"/>
        </w:rPr>
        <w:t>capable to wet the surfaces of specimens fabricated using NanoTek</w:t>
      </w:r>
      <w:r w:rsidRPr="677E1CE1">
        <w:rPr>
          <w:rFonts w:cs="Times New Roman"/>
          <w:szCs w:val="24"/>
          <w:vertAlign w:val="superscript"/>
          <w:lang w:val="en-US"/>
        </w:rPr>
        <w:t>TM</w:t>
      </w:r>
      <w:r>
        <w:rPr>
          <w:rFonts w:cs="Times New Roman"/>
          <w:szCs w:val="24"/>
          <w:lang w:val="en-US"/>
        </w:rPr>
        <w:t xml:space="preserve"> and, therefore, failed to meet the first criterion cited which resulted in the exclusion of </w:t>
      </w:r>
      <w:r w:rsidR="00B74DC3">
        <w:rPr>
          <w:rFonts w:cs="Times New Roman"/>
          <w:szCs w:val="24"/>
          <w:lang w:val="en-US"/>
        </w:rPr>
        <w:t>NanoTek</w:t>
      </w:r>
      <w:r w:rsidR="00B74DC3" w:rsidRPr="677E1CE1">
        <w:rPr>
          <w:rFonts w:cs="Times New Roman"/>
          <w:szCs w:val="24"/>
          <w:vertAlign w:val="superscript"/>
          <w:lang w:val="en-US"/>
        </w:rPr>
        <w:t>TM</w:t>
      </w:r>
      <w:r>
        <w:rPr>
          <w:rFonts w:cs="Times New Roman"/>
          <w:szCs w:val="24"/>
          <w:lang w:val="en-US"/>
        </w:rPr>
        <w:t xml:space="preserve"> from the present study. </w:t>
      </w:r>
      <w:r w:rsidR="00577C18">
        <w:rPr>
          <w:rFonts w:cs="Times New Roman"/>
          <w:szCs w:val="24"/>
          <w:lang w:val="en-US"/>
        </w:rPr>
        <w:fldChar w:fldCharType="begin"/>
      </w:r>
      <w:r w:rsidR="00577C18">
        <w:rPr>
          <w:rFonts w:cs="Times New Roman"/>
          <w:szCs w:val="24"/>
          <w:lang w:val="en-US"/>
        </w:rPr>
        <w:instrText xml:space="preserve"> REF _Ref36305091 \h </w:instrText>
      </w:r>
      <w:r w:rsidR="00577C18">
        <w:rPr>
          <w:rFonts w:cs="Times New Roman"/>
          <w:szCs w:val="24"/>
          <w:lang w:val="en-US"/>
        </w:rPr>
      </w:r>
      <w:r w:rsidR="00577C18">
        <w:rPr>
          <w:rFonts w:cs="Times New Roman"/>
          <w:szCs w:val="24"/>
          <w:lang w:val="en-US"/>
        </w:rPr>
        <w:fldChar w:fldCharType="separate"/>
      </w:r>
      <w:r w:rsidR="0008188F" w:rsidRPr="00F50CD2">
        <w:rPr>
          <w:lang w:val="en-US"/>
        </w:rPr>
        <w:t xml:space="preserve">Table </w:t>
      </w:r>
      <w:r w:rsidR="0008188F">
        <w:rPr>
          <w:noProof/>
          <w:lang w:val="en-US"/>
        </w:rPr>
        <w:t>3</w:t>
      </w:r>
      <w:r w:rsidR="00577C18">
        <w:rPr>
          <w:rFonts w:cs="Times New Roman"/>
          <w:szCs w:val="24"/>
          <w:lang w:val="en-US"/>
        </w:rPr>
        <w:fldChar w:fldCharType="end"/>
      </w:r>
      <w:r w:rsidR="00577C18">
        <w:rPr>
          <w:rFonts w:cs="Times New Roman"/>
          <w:szCs w:val="24"/>
          <w:lang w:val="en-US"/>
        </w:rPr>
        <w:t xml:space="preserve"> </w:t>
      </w:r>
      <w:r w:rsidR="009D6174" w:rsidRPr="009D6174">
        <w:rPr>
          <w:rFonts w:cs="Times New Roman"/>
          <w:szCs w:val="24"/>
          <w:lang w:val="en-US"/>
        </w:rPr>
        <w:t>lists the solvent used as the reference solvent for each contact angle analyzed.</w:t>
      </w:r>
      <w:r w:rsidR="009D6174">
        <w:rPr>
          <w:rFonts w:cs="Times New Roman"/>
          <w:szCs w:val="24"/>
          <w:lang w:val="en-US"/>
        </w:rPr>
        <w:t xml:space="preserve"> </w:t>
      </w:r>
      <w:r>
        <w:rPr>
          <w:rFonts w:cs="Times New Roman"/>
          <w:szCs w:val="24"/>
          <w:lang w:val="en-US"/>
        </w:rPr>
        <w:t>In addition, solvents investigated were observed to display droplets’ radii that were nearly constant at τ</w:t>
      </w:r>
      <w:r>
        <w:rPr>
          <w:rFonts w:cs="Times New Roman"/>
          <w:szCs w:val="24"/>
          <w:vertAlign w:val="subscript"/>
          <w:lang w:val="en-US"/>
        </w:rPr>
        <w:t xml:space="preserve">α=0.50 </w:t>
      </w:r>
      <w:r>
        <w:rPr>
          <w:rFonts w:cs="Times New Roman"/>
          <w:szCs w:val="24"/>
          <w:lang w:val="en-US"/>
        </w:rPr>
        <w:t>and τ</w:t>
      </w:r>
      <w:r>
        <w:rPr>
          <w:rFonts w:cs="Times New Roman"/>
          <w:szCs w:val="24"/>
          <w:vertAlign w:val="subscript"/>
          <w:lang w:val="en-US"/>
        </w:rPr>
        <w:t>α=0.75</w:t>
      </w:r>
      <w:r>
        <w:rPr>
          <w:rFonts w:cs="Times New Roman"/>
          <w:szCs w:val="24"/>
          <w:lang w:val="en-US"/>
        </w:rPr>
        <w:t>, thereby fulfilling the second criterion cited. The volume and height of the droplet do change over time as each solvent penetrate into specimens investigated. Even though these characteristics are integral to determining the contact angles of the materials of interested, the nondimensional time and volume for different solvents on the same solid should create an overlapping trend when graphed. The results reported in present study were observed to completely fulfill this criterion (as seen in</w:t>
      </w:r>
      <w:r w:rsidR="003044BE">
        <w:rPr>
          <w:rFonts w:cs="Times New Roman"/>
          <w:szCs w:val="24"/>
          <w:lang w:val="en-US"/>
        </w:rPr>
        <w:t xml:space="preserve"> </w:t>
      </w:r>
      <w:r w:rsidR="003044BE">
        <w:rPr>
          <w:rFonts w:cs="Times New Roman"/>
          <w:szCs w:val="24"/>
          <w:lang w:val="en-US"/>
        </w:rPr>
        <w:fldChar w:fldCharType="begin"/>
      </w:r>
      <w:r w:rsidR="003044BE">
        <w:rPr>
          <w:rFonts w:cs="Times New Roman"/>
          <w:szCs w:val="24"/>
          <w:lang w:val="en-US"/>
        </w:rPr>
        <w:instrText xml:space="preserve"> REF _Ref45572593 \h </w:instrText>
      </w:r>
      <w:r w:rsidR="003044BE">
        <w:rPr>
          <w:rFonts w:cs="Times New Roman"/>
          <w:szCs w:val="24"/>
          <w:lang w:val="en-US"/>
        </w:rPr>
      </w:r>
      <w:r w:rsidR="003044BE">
        <w:rPr>
          <w:rFonts w:cs="Times New Roman"/>
          <w:szCs w:val="24"/>
          <w:lang w:val="en-US"/>
        </w:rPr>
        <w:fldChar w:fldCharType="separate"/>
      </w:r>
      <w:r w:rsidR="0008188F" w:rsidRPr="00EF005C">
        <w:rPr>
          <w:lang w:val="en-US"/>
        </w:rPr>
        <w:t xml:space="preserve">Figure </w:t>
      </w:r>
      <w:r w:rsidR="0008188F">
        <w:rPr>
          <w:noProof/>
          <w:lang w:val="en-US"/>
        </w:rPr>
        <w:t>9</w:t>
      </w:r>
      <w:r w:rsidR="003044BE">
        <w:rPr>
          <w:rFonts w:cs="Times New Roman"/>
          <w:szCs w:val="24"/>
          <w:lang w:val="en-US"/>
        </w:rPr>
        <w:fldChar w:fldCharType="end"/>
      </w:r>
      <w:r>
        <w:rPr>
          <w:rFonts w:cs="Times New Roman"/>
          <w:szCs w:val="24"/>
          <w:lang w:val="en-US"/>
        </w:rPr>
        <w:t>F), thereby suggesting that despite intrinsic limitations associated to the utilization of solvent-specific drop volumes, high levels of accuracy and robustness were attained with the modified-DPM, which allowed us to perform intra-group comparisons.</w:t>
      </w:r>
    </w:p>
    <w:p w14:paraId="60A997B3" w14:textId="0109B590" w:rsidR="00F07199" w:rsidRDefault="00F07199" w:rsidP="00F07199">
      <w:pPr>
        <w:spacing w:after="240" w:line="480" w:lineRule="auto"/>
        <w:ind w:firstLine="708"/>
        <w:jc w:val="both"/>
        <w:rPr>
          <w:rFonts w:cs="Times New Roman"/>
          <w:szCs w:val="24"/>
          <w:lang w:val="en-US"/>
        </w:rPr>
      </w:pPr>
      <w:r>
        <w:rPr>
          <w:rFonts w:cs="Times New Roman"/>
          <w:szCs w:val="24"/>
          <w:lang w:val="en-US"/>
        </w:rPr>
        <w:t>The experimental data obtained revealed that the modified-DPM proved to be most effective when measuring contact angles between 20</w:t>
      </w:r>
      <w:r>
        <w:rPr>
          <w:rFonts w:ascii="Symbol" w:eastAsia="Symbol" w:hAnsi="Symbol" w:cs="Symbol"/>
          <w:szCs w:val="24"/>
          <w:lang w:val="en-US"/>
        </w:rPr>
        <w:t></w:t>
      </w:r>
      <w:r>
        <w:rPr>
          <w:rFonts w:cs="Times New Roman"/>
          <w:szCs w:val="24"/>
          <w:lang w:val="en-US"/>
        </w:rPr>
        <w:t xml:space="preserve"> and 80</w:t>
      </w:r>
      <w:r>
        <w:rPr>
          <w:rFonts w:ascii="Symbol" w:eastAsia="Symbol" w:hAnsi="Symbol" w:cs="Symbol"/>
          <w:szCs w:val="24"/>
          <w:lang w:val="en-US"/>
        </w:rPr>
        <w:t></w:t>
      </w:r>
      <w:r>
        <w:rPr>
          <w:rFonts w:cs="Times New Roman"/>
          <w:szCs w:val="24"/>
          <w:lang w:val="en-US"/>
        </w:rPr>
        <w:t xml:space="preserve"> (</w:t>
      </w:r>
      <w:r w:rsidR="00C10E89">
        <w:rPr>
          <w:rFonts w:cs="Times New Roman"/>
          <w:szCs w:val="24"/>
          <w:lang w:val="en-US"/>
        </w:rPr>
        <w:fldChar w:fldCharType="begin"/>
      </w:r>
      <w:r w:rsidR="00C10E89">
        <w:rPr>
          <w:rFonts w:cs="Times New Roman"/>
          <w:szCs w:val="24"/>
          <w:lang w:val="en-US"/>
        </w:rPr>
        <w:instrText xml:space="preserve"> REF _Ref36305003 \h </w:instrText>
      </w:r>
      <w:r w:rsidR="00C10E89">
        <w:rPr>
          <w:rFonts w:cs="Times New Roman"/>
          <w:szCs w:val="24"/>
          <w:lang w:val="en-US"/>
        </w:rPr>
      </w:r>
      <w:r w:rsidR="00C10E89">
        <w:rPr>
          <w:rFonts w:cs="Times New Roman"/>
          <w:szCs w:val="24"/>
          <w:lang w:val="en-US"/>
        </w:rPr>
        <w:fldChar w:fldCharType="separate"/>
      </w:r>
      <w:r w:rsidR="0008188F" w:rsidRPr="00227A3F">
        <w:rPr>
          <w:lang w:val="en-US"/>
        </w:rPr>
        <w:t xml:space="preserve">Figure </w:t>
      </w:r>
      <w:r w:rsidR="0008188F">
        <w:rPr>
          <w:noProof/>
          <w:lang w:val="en-US"/>
        </w:rPr>
        <w:t>10</w:t>
      </w:r>
      <w:r w:rsidR="00C10E89">
        <w:rPr>
          <w:rFonts w:cs="Times New Roman"/>
          <w:szCs w:val="24"/>
          <w:lang w:val="en-US"/>
        </w:rPr>
        <w:fldChar w:fldCharType="end"/>
      </w:r>
      <w:r w:rsidR="00976F0C">
        <w:rPr>
          <w:rFonts w:cs="Times New Roman"/>
          <w:bCs/>
          <w:szCs w:val="24"/>
          <w:lang w:val="en-US"/>
        </w:rPr>
        <w:t>A</w:t>
      </w:r>
      <w:r w:rsidRPr="009C3907">
        <w:rPr>
          <w:rFonts w:cs="Times New Roman"/>
          <w:szCs w:val="24"/>
          <w:lang w:val="en-US"/>
        </w:rPr>
        <w:t>)</w:t>
      </w:r>
      <w:r>
        <w:rPr>
          <w:rFonts w:cs="Times New Roman"/>
          <w:szCs w:val="24"/>
          <w:lang w:val="en-US"/>
        </w:rPr>
        <w:t>. When the contact angles exceeded 90 degrees (poor wettability)</w:t>
      </w:r>
      <w:r w:rsidRPr="001C7708">
        <w:rPr>
          <w:rFonts w:cs="Times New Roman"/>
          <w:szCs w:val="24"/>
          <w:lang w:val="en-US"/>
        </w:rPr>
        <w:t xml:space="preserve"> </w:t>
      </w:r>
      <w:r>
        <w:rPr>
          <w:rFonts w:cs="Times New Roman"/>
          <w:szCs w:val="24"/>
          <w:lang w:val="en-US"/>
        </w:rPr>
        <w:t>the solvent will experience weak capillary forces that are capable to promote solvent penetration. This behavior not only impeded the recording of penetration time</w:t>
      </w:r>
      <w:r w:rsidR="008B56AB">
        <w:rPr>
          <w:rFonts w:cs="Times New Roman"/>
          <w:szCs w:val="24"/>
          <w:lang w:val="en-US"/>
        </w:rPr>
        <w:t>,</w:t>
      </w:r>
      <w:r>
        <w:rPr>
          <w:rFonts w:cs="Times New Roman"/>
          <w:szCs w:val="24"/>
          <w:lang w:val="en-US"/>
        </w:rPr>
        <w:t xml:space="preserve"> but it has also indicated that the modified-DPM cannot be used to accurately assess contact angles for some specific solvent-material combinations. Experimental data from solvents displaying this type of behavior have been excluded from the present study because </w:t>
      </w: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τ</m:t>
            </m:r>
          </m:e>
          <m:sub>
            <m:r>
              <m:rPr>
                <m:sty m:val="p"/>
              </m:rPr>
              <w:rPr>
                <w:rFonts w:ascii="Cambria Math" w:hAnsi="Cambria Math" w:cs="Times New Roman"/>
                <w:sz w:val="28"/>
                <w:szCs w:val="28"/>
                <w:lang w:val="en-US"/>
              </w:rPr>
              <m:t>αT</m:t>
            </m:r>
          </m:sub>
        </m:sSub>
      </m:oMath>
      <w:r>
        <w:rPr>
          <w:rFonts w:cs="Times New Roman"/>
          <w:szCs w:val="24"/>
          <w:lang w:val="en-US"/>
        </w:rPr>
        <w:t xml:space="preserve"> is very large, </w:t>
      </w:r>
      <m:oMath>
        <m:func>
          <m:funcPr>
            <m:ctrlPr>
              <w:rPr>
                <w:rFonts w:ascii="Cambria Math" w:hAnsi="Cambria Math" w:cs="Times New Roman"/>
                <w:szCs w:val="24"/>
                <w:lang w:val="en-US"/>
              </w:rPr>
            </m:ctrlPr>
          </m:funcPr>
          <m:fName>
            <m:r>
              <m:rPr>
                <m:sty m:val="p"/>
              </m:rPr>
              <w:rPr>
                <w:rFonts w:ascii="Cambria Math" w:hAnsi="Cambria Math" w:cs="Times New Roman"/>
                <w:szCs w:val="24"/>
                <w:lang w:val="en-US"/>
              </w:rPr>
              <m:t>cos</m:t>
            </m:r>
          </m:fName>
          <m:e>
            <m:d>
              <m:dPr>
                <m:ctrlPr>
                  <w:rPr>
                    <w:rFonts w:ascii="Cambria Math" w:hAnsi="Cambria Math" w:cs="Times New Roman"/>
                    <w:szCs w:val="24"/>
                    <w:lang w:val="en-US"/>
                  </w:rPr>
                </m:ctrlPr>
              </m:dPr>
              <m:e>
                <m:sSub>
                  <m:sSubPr>
                    <m:ctrlPr>
                      <w:rPr>
                        <w:rFonts w:ascii="Cambria Math" w:hAnsi="Cambria Math" w:cs="Times New Roman"/>
                        <w:szCs w:val="24"/>
                        <w:lang w:val="en-US"/>
                      </w:rPr>
                    </m:ctrlPr>
                  </m:sSubPr>
                  <m:e>
                    <m:r>
                      <m:rPr>
                        <m:sty m:val="p"/>
                      </m:rPr>
                      <w:rPr>
                        <w:rFonts w:ascii="Cambria Math" w:hAnsi="Cambria Math" w:cs="Times New Roman"/>
                        <w:szCs w:val="24"/>
                        <w:lang w:val="en-US"/>
                      </w:rPr>
                      <m:t>θ</m:t>
                    </m:r>
                  </m:e>
                  <m:sub>
                    <m:r>
                      <m:rPr>
                        <m:sty m:val="p"/>
                      </m:rPr>
                      <w:rPr>
                        <w:rFonts w:ascii="Cambria Math" w:hAnsi="Cambria Math" w:cs="Times New Roman"/>
                        <w:szCs w:val="24"/>
                        <w:lang w:val="en-US"/>
                      </w:rPr>
                      <m:t>T</m:t>
                    </m:r>
                  </m:sub>
                </m:sSub>
              </m:e>
            </m:d>
          </m:e>
        </m:func>
      </m:oMath>
      <w:r>
        <w:rPr>
          <w:rFonts w:cs="Times New Roman"/>
          <w:szCs w:val="24"/>
          <w:lang w:val="en-US"/>
        </w:rPr>
        <w:t xml:space="preserve"> is zero and all such samples yielded contact angles of 90</w:t>
      </w:r>
      <w:r>
        <w:rPr>
          <w:rFonts w:ascii="Symbol" w:eastAsia="Symbol" w:hAnsi="Symbol" w:cs="Symbol"/>
          <w:szCs w:val="24"/>
          <w:lang w:val="en-US"/>
        </w:rPr>
        <w:t></w:t>
      </w:r>
      <w:r>
        <w:rPr>
          <w:rFonts w:cs="Times New Roman"/>
          <w:szCs w:val="24"/>
          <w:lang w:val="en-US"/>
        </w:rPr>
        <w:t>.</w:t>
      </w:r>
      <w:r w:rsidR="003044BE">
        <w:rPr>
          <w:noProof/>
          <w:lang w:val="en-US"/>
        </w:rPr>
        <w:drawing>
          <wp:inline distT="0" distB="0" distL="0" distR="0" wp14:anchorId="4D57F9B6" wp14:editId="56E40E46">
            <wp:extent cx="5212080" cy="3804468"/>
            <wp:effectExtent l="0" t="0" r="7620" b="5715"/>
            <wp:docPr id="14" name="Chart 14">
              <a:extLst xmlns:a="http://schemas.openxmlformats.org/drawingml/2006/main">
                <a:ext uri="{FF2B5EF4-FFF2-40B4-BE49-F238E27FC236}">
                  <a16:creationId xmlns:a16="http://schemas.microsoft.com/office/drawing/2014/main" id="{CC8CBAFB-1670-4340-B5B8-FE1226B21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E0E55E" w14:textId="4CBB43EE" w:rsidR="00F50CD2" w:rsidRPr="00227A3F" w:rsidRDefault="00F50CD2" w:rsidP="003044BE">
      <w:pPr>
        <w:pStyle w:val="Caption"/>
        <w:rPr>
          <w:lang w:val="en-US"/>
        </w:rPr>
      </w:pPr>
      <w:bookmarkStart w:id="45" w:name="_Ref36305003"/>
      <w:bookmarkStart w:id="46" w:name="_Toc45837581"/>
      <w:r w:rsidRPr="00227A3F">
        <w:rPr>
          <w:lang w:val="en-US"/>
        </w:rPr>
        <w:t xml:space="preserve">Figure </w:t>
      </w:r>
      <w:r>
        <w:fldChar w:fldCharType="begin"/>
      </w:r>
      <w:r w:rsidRPr="00227A3F">
        <w:rPr>
          <w:lang w:val="en-US"/>
        </w:rPr>
        <w:instrText xml:space="preserve"> SEQ Figure \* ARABIC </w:instrText>
      </w:r>
      <w:r>
        <w:fldChar w:fldCharType="separate"/>
      </w:r>
      <w:r w:rsidR="0008188F">
        <w:rPr>
          <w:noProof/>
          <w:lang w:val="en-US"/>
        </w:rPr>
        <w:t>10</w:t>
      </w:r>
      <w:r>
        <w:fldChar w:fldCharType="end"/>
      </w:r>
      <w:bookmarkEnd w:id="45"/>
      <w:r w:rsidR="00976F0C">
        <w:rPr>
          <w:lang w:val="en-US"/>
        </w:rPr>
        <w:t>A</w:t>
      </w:r>
      <w:r w:rsidR="00EF005C">
        <w:rPr>
          <w:lang w:val="en-US"/>
        </w:rPr>
        <w:t xml:space="preserve"> – Average contact angle measured vs average contact angle literature</w:t>
      </w:r>
      <w:bookmarkEnd w:id="46"/>
    </w:p>
    <w:p w14:paraId="652D9760" w14:textId="157EFF2E" w:rsidR="00F07199" w:rsidRPr="00AA1AE8" w:rsidRDefault="009D6174" w:rsidP="00F07199">
      <w:pPr>
        <w:jc w:val="both"/>
        <w:rPr>
          <w:rFonts w:cs="Times New Roman"/>
          <w:lang w:val="en-US"/>
        </w:rPr>
      </w:pPr>
      <w:r w:rsidRPr="009D6174">
        <w:rPr>
          <w:rFonts w:cs="Times New Roman"/>
          <w:lang w:val="en-US"/>
        </w:rPr>
        <w:t>Experimental contact angle versus literature contact angle based on substrate and solvent. A linear relationship can be seen in the data with the exception of points at low contact angles. The correlation value is 0.44 with a slope of 0.39 shown by the linear regression (light blue line). Symbol shape represents the nanoparticle tested and color indicates the solvent for the data point.</w:t>
      </w:r>
    </w:p>
    <w:p w14:paraId="2115268D" w14:textId="3212CF46" w:rsidR="00F07199" w:rsidRDefault="00F07199" w:rsidP="00F07199">
      <w:pPr>
        <w:jc w:val="both"/>
        <w:rPr>
          <w:rFonts w:cs="Times New Roman"/>
          <w:lang w:val="en-US"/>
        </w:rPr>
      </w:pPr>
    </w:p>
    <w:p w14:paraId="4374BF8C" w14:textId="77777777" w:rsidR="00F07199" w:rsidRPr="004438D4" w:rsidRDefault="00F07199" w:rsidP="00F07199">
      <w:pPr>
        <w:spacing w:after="0" w:line="480" w:lineRule="auto"/>
        <w:ind w:firstLine="708"/>
        <w:jc w:val="both"/>
        <w:rPr>
          <w:rFonts w:cs="Times New Roman"/>
          <w:szCs w:val="24"/>
          <w:lang w:val="en-US"/>
        </w:rPr>
      </w:pPr>
    </w:p>
    <w:p w14:paraId="554E75BC" w14:textId="1BA71E8A" w:rsidR="009D6174" w:rsidRDefault="009D6174" w:rsidP="009D6174">
      <w:pPr>
        <w:spacing w:after="240" w:line="480" w:lineRule="auto"/>
        <w:ind w:firstLine="708"/>
        <w:jc w:val="both"/>
        <w:rPr>
          <w:rFonts w:cs="Times New Roman"/>
          <w:szCs w:val="24"/>
          <w:lang w:val="en-US"/>
        </w:rPr>
      </w:pPr>
      <w:r w:rsidRPr="009D6174">
        <w:rPr>
          <w:rFonts w:cs="Times New Roman"/>
          <w:szCs w:val="24"/>
          <w:lang w:val="en-US"/>
        </w:rPr>
        <w:t xml:space="preserve">When examining which reference solvent would show promising results, it was found that the viscosity and surface tension of the test solvent and reference solvent were very important. If the value calculated using </w:t>
      </w:r>
      <w:r w:rsidR="00FE5369">
        <w:rPr>
          <w:rFonts w:cs="Times New Roman"/>
          <w:szCs w:val="24"/>
          <w:lang w:val="en-US"/>
        </w:rPr>
        <w:fldChar w:fldCharType="begin"/>
      </w:r>
      <w:r w:rsidR="00FE5369">
        <w:rPr>
          <w:rFonts w:cs="Times New Roman"/>
          <w:szCs w:val="24"/>
          <w:lang w:val="en-US"/>
        </w:rPr>
        <w:instrText xml:space="preserve"> REF _Ref42539041 \h </w:instrText>
      </w:r>
      <w:r w:rsidR="00FE5369">
        <w:rPr>
          <w:rFonts w:cs="Times New Roman"/>
          <w:szCs w:val="24"/>
          <w:lang w:val="en-US"/>
        </w:rPr>
      </w:r>
      <w:r w:rsidR="00FE5369">
        <w:rPr>
          <w:rFonts w:cs="Times New Roman"/>
          <w:szCs w:val="24"/>
          <w:lang w:val="en-US"/>
        </w:rPr>
        <w:fldChar w:fldCharType="separate"/>
      </w:r>
      <w:r w:rsidR="0008188F" w:rsidRPr="00FE5369">
        <w:rPr>
          <w:lang w:val="en-US"/>
        </w:rPr>
        <w:t xml:space="preserve">Equation </w:t>
      </w:r>
      <w:r w:rsidR="0008188F">
        <w:rPr>
          <w:noProof/>
          <w:lang w:val="en-US"/>
        </w:rPr>
        <w:t>5</w:t>
      </w:r>
      <w:r w:rsidR="00FE5369">
        <w:rPr>
          <w:rFonts w:cs="Times New Roman"/>
          <w:szCs w:val="24"/>
          <w:lang w:val="en-US"/>
        </w:rPr>
        <w:fldChar w:fldCharType="end"/>
      </w:r>
      <w:r w:rsidR="00092402">
        <w:rPr>
          <w:rFonts w:cs="Times New Roman"/>
          <w:szCs w:val="24"/>
          <w:lang w:val="en-US"/>
        </w:rPr>
        <w:t xml:space="preserve"> </w:t>
      </w:r>
      <w:r w:rsidRPr="009D6174">
        <w:rPr>
          <w:rFonts w:cs="Times New Roman"/>
          <w:szCs w:val="24"/>
          <w:lang w:val="en-US"/>
        </w:rPr>
        <w:t>is ≤ 1, it is likely the reference and test solvent will be compatible and provide a reasonable contact angle data. All data with values ≤ 1 for this study returned reasonable contact angle results. If the value from</w:t>
      </w:r>
      <w:r w:rsidR="00092402">
        <w:rPr>
          <w:rFonts w:cs="Times New Roman"/>
          <w:szCs w:val="24"/>
          <w:lang w:val="en-US"/>
        </w:rPr>
        <w:t xml:space="preserve"> </w:t>
      </w:r>
      <w:r w:rsidR="00FE5369">
        <w:rPr>
          <w:rFonts w:cs="Times New Roman"/>
          <w:szCs w:val="24"/>
          <w:lang w:val="en-US"/>
        </w:rPr>
        <w:fldChar w:fldCharType="begin"/>
      </w:r>
      <w:r w:rsidR="00FE5369">
        <w:rPr>
          <w:rFonts w:cs="Times New Roman"/>
          <w:szCs w:val="24"/>
          <w:lang w:val="en-US"/>
        </w:rPr>
        <w:instrText xml:space="preserve"> REF _Ref42539041 \h </w:instrText>
      </w:r>
      <w:r w:rsidR="00FE5369">
        <w:rPr>
          <w:rFonts w:cs="Times New Roman"/>
          <w:szCs w:val="24"/>
          <w:lang w:val="en-US"/>
        </w:rPr>
      </w:r>
      <w:r w:rsidR="00FE5369">
        <w:rPr>
          <w:rFonts w:cs="Times New Roman"/>
          <w:szCs w:val="24"/>
          <w:lang w:val="en-US"/>
        </w:rPr>
        <w:fldChar w:fldCharType="separate"/>
      </w:r>
      <w:r w:rsidR="0008188F" w:rsidRPr="00FE5369">
        <w:rPr>
          <w:lang w:val="en-US"/>
        </w:rPr>
        <w:t xml:space="preserve">Equation </w:t>
      </w:r>
      <w:r w:rsidR="0008188F">
        <w:rPr>
          <w:noProof/>
          <w:lang w:val="en-US"/>
        </w:rPr>
        <w:t>5</w:t>
      </w:r>
      <w:r w:rsidR="00FE5369">
        <w:rPr>
          <w:rFonts w:cs="Times New Roman"/>
          <w:szCs w:val="24"/>
          <w:lang w:val="en-US"/>
        </w:rPr>
        <w:fldChar w:fldCharType="end"/>
      </w:r>
      <w:r w:rsidR="00FE5369">
        <w:rPr>
          <w:rFonts w:cs="Times New Roman"/>
          <w:szCs w:val="24"/>
          <w:lang w:val="en-US"/>
        </w:rPr>
        <w:t xml:space="preserve"> </w:t>
      </w:r>
      <w:r w:rsidRPr="009D6174">
        <w:rPr>
          <w:rFonts w:cs="Times New Roman"/>
          <w:szCs w:val="24"/>
          <w:lang w:val="en-US"/>
        </w:rPr>
        <w:t xml:space="preserve">was &gt; 1 the reference solvent and test solvent combination usually proved unsatisfactory for the contact angle measurement. </w:t>
      </w:r>
    </w:p>
    <w:p w14:paraId="34F98726" w14:textId="65D8DECC" w:rsidR="009D6174" w:rsidRPr="00BD76D2" w:rsidRDefault="00092402" w:rsidP="00BD76D2">
      <w:pPr>
        <w:pStyle w:val="Caption"/>
        <w:rPr>
          <w:rFonts w:cs="Times New Roman"/>
          <w:i/>
          <w:szCs w:val="24"/>
          <w:lang w:val="en-US"/>
        </w:rPr>
      </w:pPr>
      <w:bookmarkStart w:id="47" w:name="_Ref42539041"/>
      <w:r w:rsidRPr="00FE5369">
        <w:rPr>
          <w:lang w:val="en-US"/>
        </w:rPr>
        <w:t xml:space="preserve">Equation </w:t>
      </w:r>
      <w:r>
        <w:fldChar w:fldCharType="begin"/>
      </w:r>
      <w:r w:rsidRPr="00FE5369">
        <w:rPr>
          <w:lang w:val="en-US"/>
        </w:rPr>
        <w:instrText xml:space="preserve"> SEQ Equation \* ARABIC </w:instrText>
      </w:r>
      <w:r>
        <w:fldChar w:fldCharType="separate"/>
      </w:r>
      <w:r w:rsidR="0008188F">
        <w:rPr>
          <w:noProof/>
          <w:lang w:val="en-US"/>
        </w:rPr>
        <w:t>5</w:t>
      </w:r>
      <w:r>
        <w:fldChar w:fldCharType="end"/>
      </w:r>
      <w:bookmarkEnd w:id="47"/>
      <w:r w:rsidRPr="00FE5369">
        <w:rPr>
          <w:lang w:val="en-US"/>
        </w:rPr>
        <w:tab/>
      </w:r>
      <m:oMath>
        <m:r>
          <m:rPr>
            <m:sty m:val="b"/>
          </m:rPr>
          <w:rPr>
            <w:rFonts w:ascii="Cambria Math" w:hAnsi="Cambria Math" w:cs="Times New Roman"/>
            <w:szCs w:val="24"/>
          </w:rPr>
          <m:t>Π</m:t>
        </m:r>
        <m:r>
          <m:rPr>
            <m:sty m:val="bi"/>
          </m:rPr>
          <w:rPr>
            <w:rFonts w:ascii="Cambria Math" w:hAnsi="Cambria Math" w:cs="Times New Roman"/>
            <w:szCs w:val="24"/>
            <w:lang w:val="en-US"/>
          </w:rPr>
          <m:t>=</m:t>
        </m:r>
        <m:f>
          <m:fPr>
            <m:ctrlPr>
              <w:rPr>
                <w:rFonts w:ascii="Cambria Math" w:hAnsi="Cambria Math" w:cs="Times New Roman"/>
                <w:szCs w:val="24"/>
              </w:rPr>
            </m:ctrlPr>
          </m:fPr>
          <m:num>
            <m:sSub>
              <m:sSubPr>
                <m:ctrlPr>
                  <w:rPr>
                    <w:rFonts w:ascii="Cambria Math" w:hAnsi="Cambria Math" w:cs="Times New Roman"/>
                    <w:szCs w:val="24"/>
                  </w:rPr>
                </m:ctrlPr>
              </m:sSubPr>
              <m:e>
                <m:r>
                  <m:rPr>
                    <m:sty m:val="b"/>
                  </m:rPr>
                  <w:rPr>
                    <w:rFonts w:ascii="Cambria Math" w:hAnsi="Cambria Math" w:cs="Times New Roman"/>
                    <w:szCs w:val="24"/>
                  </w:rPr>
                  <m:t>μ</m:t>
                </m:r>
              </m:e>
              <m:sub>
                <m:r>
                  <m:rPr>
                    <m:sty m:val="b"/>
                  </m:rPr>
                  <w:rPr>
                    <w:rFonts w:ascii="Cambria Math" w:hAnsi="Cambria Math" w:cs="Times New Roman"/>
                    <w:szCs w:val="24"/>
                    <w:lang w:val="en-US"/>
                  </w:rPr>
                  <m:t>T</m:t>
                </m:r>
              </m:sub>
            </m:sSub>
          </m:num>
          <m:den>
            <m:sSub>
              <m:sSubPr>
                <m:ctrlPr>
                  <w:rPr>
                    <w:rFonts w:ascii="Cambria Math" w:hAnsi="Cambria Math" w:cs="Times New Roman"/>
                    <w:szCs w:val="24"/>
                  </w:rPr>
                </m:ctrlPr>
              </m:sSubPr>
              <m:e>
                <m:r>
                  <m:rPr>
                    <m:sty m:val="b"/>
                  </m:rPr>
                  <w:rPr>
                    <w:rFonts w:ascii="Cambria Math" w:hAnsi="Cambria Math" w:cs="Times New Roman"/>
                    <w:szCs w:val="24"/>
                  </w:rPr>
                  <m:t>μ</m:t>
                </m:r>
              </m:e>
              <m:sub>
                <m:r>
                  <m:rPr>
                    <m:sty m:val="b"/>
                  </m:rPr>
                  <w:rPr>
                    <w:rFonts w:ascii="Cambria Math" w:hAnsi="Cambria Math" w:cs="Times New Roman"/>
                    <w:szCs w:val="24"/>
                    <w:lang w:val="en-US"/>
                  </w:rPr>
                  <m:t>R</m:t>
                </m:r>
              </m:sub>
            </m:sSub>
          </m:den>
        </m:f>
        <m:f>
          <m:fPr>
            <m:ctrlPr>
              <w:rPr>
                <w:rFonts w:ascii="Cambria Math" w:hAnsi="Cambria Math" w:cs="Times New Roman"/>
                <w:szCs w:val="24"/>
              </w:rPr>
            </m:ctrlPr>
          </m:fPr>
          <m:num>
            <m:sSub>
              <m:sSubPr>
                <m:ctrlPr>
                  <w:rPr>
                    <w:rFonts w:ascii="Cambria Math" w:hAnsi="Cambria Math" w:cs="Times New Roman"/>
                    <w:szCs w:val="24"/>
                  </w:rPr>
                </m:ctrlPr>
              </m:sSubPr>
              <m:e>
                <m:r>
                  <m:rPr>
                    <m:sty m:val="b"/>
                  </m:rPr>
                  <w:rPr>
                    <w:rFonts w:ascii="Cambria Math" w:hAnsi="Cambria Math" w:cs="Times New Roman"/>
                    <w:szCs w:val="24"/>
                  </w:rPr>
                  <m:t>γ</m:t>
                </m:r>
              </m:e>
              <m:sub>
                <m:r>
                  <m:rPr>
                    <m:sty m:val="b"/>
                  </m:rPr>
                  <w:rPr>
                    <w:rFonts w:ascii="Cambria Math" w:hAnsi="Cambria Math" w:cs="Times New Roman"/>
                    <w:szCs w:val="24"/>
                    <w:lang w:val="en-US"/>
                  </w:rPr>
                  <m:t>R</m:t>
                </m:r>
              </m:sub>
            </m:sSub>
          </m:num>
          <m:den>
            <m:sSub>
              <m:sSubPr>
                <m:ctrlPr>
                  <w:rPr>
                    <w:rFonts w:ascii="Cambria Math" w:hAnsi="Cambria Math" w:cs="Times New Roman"/>
                    <w:szCs w:val="24"/>
                  </w:rPr>
                </m:ctrlPr>
              </m:sSubPr>
              <m:e>
                <m:r>
                  <m:rPr>
                    <m:sty m:val="b"/>
                  </m:rPr>
                  <w:rPr>
                    <w:rFonts w:ascii="Cambria Math" w:hAnsi="Cambria Math" w:cs="Times New Roman"/>
                    <w:szCs w:val="24"/>
                  </w:rPr>
                  <m:t>γ</m:t>
                </m:r>
              </m:e>
              <m:sub>
                <m:r>
                  <m:rPr>
                    <m:sty m:val="b"/>
                  </m:rPr>
                  <w:rPr>
                    <w:rFonts w:ascii="Cambria Math" w:hAnsi="Cambria Math" w:cs="Times New Roman"/>
                    <w:szCs w:val="24"/>
                    <w:lang w:val="en-US"/>
                  </w:rPr>
                  <m:t>T</m:t>
                </m:r>
              </m:sub>
            </m:sSub>
          </m:den>
        </m:f>
      </m:oMath>
    </w:p>
    <w:p w14:paraId="70E52CE8" w14:textId="3639A71C" w:rsidR="00F07199" w:rsidRDefault="00F07199" w:rsidP="00F07199">
      <w:pPr>
        <w:spacing w:after="240" w:line="480" w:lineRule="auto"/>
        <w:ind w:firstLine="708"/>
        <w:jc w:val="both"/>
        <w:rPr>
          <w:noProof/>
          <w:lang w:val="en-US"/>
        </w:rPr>
      </w:pPr>
      <w:r>
        <w:rPr>
          <w:rFonts w:cs="Times New Roman"/>
          <w:szCs w:val="24"/>
          <w:lang w:val="en-US"/>
        </w:rPr>
        <w:t>The results obtained using the modified-DPM for solvents displaying contact angles smaller than 20</w:t>
      </w:r>
      <w:r>
        <w:rPr>
          <w:rFonts w:ascii="Symbol" w:eastAsia="Symbol" w:hAnsi="Symbol" w:cs="Symbol"/>
          <w:szCs w:val="24"/>
          <w:lang w:val="en-US"/>
        </w:rPr>
        <w:t></w:t>
      </w:r>
      <w:r>
        <w:rPr>
          <w:rFonts w:cs="Times New Roman"/>
          <w:szCs w:val="24"/>
          <w:lang w:val="en-US"/>
        </w:rPr>
        <w:t xml:space="preserve"> (e.g., diiodomethane) were not considered accurate because these types of solvents are volatile and displayed significant coefficients of variation and were not comparable to values previously reported in the literature (</w:t>
      </w:r>
      <w:r w:rsidR="00973F06">
        <w:rPr>
          <w:rFonts w:cs="Times New Roman"/>
          <w:szCs w:val="24"/>
          <w:lang w:val="en-US"/>
        </w:rPr>
        <w:fldChar w:fldCharType="begin"/>
      </w:r>
      <w:r w:rsidR="00973F06">
        <w:rPr>
          <w:rFonts w:cs="Times New Roman"/>
          <w:szCs w:val="24"/>
          <w:lang w:val="en-US"/>
        </w:rPr>
        <w:instrText xml:space="preserve"> REF _Ref36305091 \h </w:instrText>
      </w:r>
      <w:r w:rsidR="00973F06">
        <w:rPr>
          <w:rFonts w:cs="Times New Roman"/>
          <w:szCs w:val="24"/>
          <w:lang w:val="en-US"/>
        </w:rPr>
      </w:r>
      <w:r w:rsidR="00973F06">
        <w:rPr>
          <w:rFonts w:cs="Times New Roman"/>
          <w:szCs w:val="24"/>
          <w:lang w:val="en-US"/>
        </w:rPr>
        <w:fldChar w:fldCharType="separate"/>
      </w:r>
      <w:r w:rsidR="0008188F" w:rsidRPr="00F50CD2">
        <w:rPr>
          <w:lang w:val="en-US"/>
        </w:rPr>
        <w:t xml:space="preserve">Table </w:t>
      </w:r>
      <w:r w:rsidR="0008188F">
        <w:rPr>
          <w:noProof/>
          <w:lang w:val="en-US"/>
        </w:rPr>
        <w:t>3</w:t>
      </w:r>
      <w:r w:rsidR="00973F06">
        <w:rPr>
          <w:rFonts w:cs="Times New Roman"/>
          <w:szCs w:val="24"/>
          <w:lang w:val="en-US"/>
        </w:rPr>
        <w:fldChar w:fldCharType="end"/>
      </w:r>
      <w:r>
        <w:rPr>
          <w:rFonts w:cs="Times New Roman"/>
          <w:szCs w:val="24"/>
          <w:lang w:val="en-US"/>
        </w:rPr>
        <w:t xml:space="preserve">). These findings are in agreement with a previous report by </w:t>
      </w:r>
      <w:r w:rsidRPr="00F41451">
        <w:rPr>
          <w:rFonts w:cs="Times New Roman"/>
          <w:noProof/>
          <w:szCs w:val="24"/>
          <w:lang w:val="en-US"/>
        </w:rPr>
        <w:t>Alghunaim et al.</w:t>
      </w:r>
      <w:r>
        <w:rPr>
          <w:rFonts w:cs="Times New Roman"/>
          <w:noProof/>
          <w:szCs w:val="24"/>
          <w:lang w:val="en-US"/>
        </w:rPr>
        <w:t xml:space="preserve"> </w:t>
      </w:r>
      <w:r>
        <w:rPr>
          <w:rFonts w:cs="Times New Roman"/>
          <w:noProof/>
          <w:szCs w:val="24"/>
          <w:lang w:val="en-US"/>
        </w:rPr>
        <w:fldChar w:fldCharType="begin" w:fldLock="1"/>
      </w:r>
      <w:r w:rsidR="004871C8">
        <w:rPr>
          <w:rFonts w:cs="Times New Roman"/>
          <w:noProof/>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mendeley":{"formattedCitation":"&lt;sup&gt;50&lt;/sup&gt;","plainTextFormattedCitation":"50","previouslyFormattedCitation":"&lt;sup&gt;50&lt;/sup&gt;"},"properties":{"noteIndex":0},"schema":"https://github.com/citation-style-language/schema/raw/master/csl-citation.json"}</w:instrText>
      </w:r>
      <w:r>
        <w:rPr>
          <w:rFonts w:cs="Times New Roman"/>
          <w:noProof/>
          <w:szCs w:val="24"/>
          <w:lang w:val="en-US"/>
        </w:rPr>
        <w:fldChar w:fldCharType="separate"/>
      </w:r>
      <w:r w:rsidR="00B01517" w:rsidRPr="00B01517">
        <w:rPr>
          <w:rFonts w:cs="Times New Roman"/>
          <w:noProof/>
          <w:szCs w:val="24"/>
          <w:vertAlign w:val="superscript"/>
          <w:lang w:val="en-US"/>
        </w:rPr>
        <w:t>50</w:t>
      </w:r>
      <w:r>
        <w:rPr>
          <w:rFonts w:cs="Times New Roman"/>
          <w:noProof/>
          <w:szCs w:val="24"/>
          <w:lang w:val="en-US"/>
        </w:rPr>
        <w:fldChar w:fldCharType="end"/>
      </w:r>
      <w:r w:rsidRPr="00F41451">
        <w:rPr>
          <w:rFonts w:cs="Times New Roman"/>
          <w:noProof/>
          <w:szCs w:val="24"/>
          <w:lang w:val="en-US"/>
        </w:rPr>
        <w:t xml:space="preserve"> that while investigating several techniques for determining contact angle and wettability of powders, have indicated that the </w:t>
      </w:r>
      <w:r>
        <w:rPr>
          <w:rFonts w:cs="Times New Roman"/>
          <w:szCs w:val="24"/>
          <w:lang w:val="en-US"/>
        </w:rPr>
        <w:t>SCA method also display limited performance for accurately determining contact angles that are below 20</w:t>
      </w:r>
      <w:r>
        <w:rPr>
          <w:rFonts w:ascii="Symbol" w:eastAsia="Symbol" w:hAnsi="Symbol" w:cs="Symbol"/>
          <w:szCs w:val="24"/>
          <w:lang w:val="en-US"/>
        </w:rPr>
        <w:t></w:t>
      </w:r>
      <w:r>
        <w:rPr>
          <w:rFonts w:cs="Times New Roman"/>
          <w:szCs w:val="24"/>
          <w:lang w:val="en-US"/>
        </w:rPr>
        <w:t xml:space="preserve">. It is possible that modified-DPM was able to discern differences, though based on the results reported in the present study this seems unlikely. </w:t>
      </w:r>
      <w:r w:rsidR="00C10E89">
        <w:rPr>
          <w:rFonts w:cs="Times New Roman"/>
          <w:szCs w:val="24"/>
          <w:lang w:val="en-US"/>
        </w:rPr>
        <w:fldChar w:fldCharType="begin"/>
      </w:r>
      <w:r w:rsidR="00C10E89">
        <w:rPr>
          <w:rFonts w:cs="Times New Roman"/>
          <w:szCs w:val="24"/>
          <w:lang w:val="en-US"/>
        </w:rPr>
        <w:instrText xml:space="preserve"> REF _Ref36305003 \h </w:instrText>
      </w:r>
      <w:r w:rsidR="00C10E89">
        <w:rPr>
          <w:rFonts w:cs="Times New Roman"/>
          <w:szCs w:val="24"/>
          <w:lang w:val="en-US"/>
        </w:rPr>
      </w:r>
      <w:r w:rsidR="00C10E89">
        <w:rPr>
          <w:rFonts w:cs="Times New Roman"/>
          <w:szCs w:val="24"/>
          <w:lang w:val="en-US"/>
        </w:rPr>
        <w:fldChar w:fldCharType="separate"/>
      </w:r>
      <w:r w:rsidR="0008188F" w:rsidRPr="00227A3F">
        <w:rPr>
          <w:lang w:val="en-US"/>
        </w:rPr>
        <w:t xml:space="preserve">Figure </w:t>
      </w:r>
      <w:r w:rsidR="0008188F">
        <w:rPr>
          <w:noProof/>
          <w:lang w:val="en-US"/>
        </w:rPr>
        <w:t>10</w:t>
      </w:r>
      <w:r w:rsidR="00C10E89">
        <w:rPr>
          <w:rFonts w:cs="Times New Roman"/>
          <w:szCs w:val="24"/>
          <w:lang w:val="en-US"/>
        </w:rPr>
        <w:fldChar w:fldCharType="end"/>
      </w:r>
      <w:r w:rsidR="00976F0C">
        <w:rPr>
          <w:rFonts w:cs="Times New Roman"/>
          <w:szCs w:val="24"/>
          <w:lang w:val="en-US"/>
        </w:rPr>
        <w:t>B</w:t>
      </w:r>
      <w:r>
        <w:rPr>
          <w:rFonts w:cs="Times New Roman"/>
          <w:b/>
          <w:bCs/>
          <w:szCs w:val="24"/>
          <w:lang w:val="en-US"/>
        </w:rPr>
        <w:t xml:space="preserve"> </w:t>
      </w:r>
      <w:r>
        <w:rPr>
          <w:rFonts w:cs="Times New Roman"/>
          <w:szCs w:val="24"/>
          <w:lang w:val="en-US"/>
        </w:rPr>
        <w:t>shows the results from the correlation analysis (R</w:t>
      </w:r>
      <w:r>
        <w:rPr>
          <w:rFonts w:cs="Times New Roman"/>
          <w:szCs w:val="24"/>
          <w:vertAlign w:val="superscript"/>
          <w:lang w:val="en-US"/>
        </w:rPr>
        <w:t xml:space="preserve">2 </w:t>
      </w:r>
      <w:r>
        <w:rPr>
          <w:rFonts w:cs="Times New Roman"/>
          <w:szCs w:val="24"/>
          <w:lang w:val="en-US"/>
        </w:rPr>
        <w:t>= 0.82), between experimental (excluding results &gt;90</w:t>
      </w:r>
      <w:r>
        <w:rPr>
          <w:rFonts w:ascii="Symbol" w:eastAsia="Symbol" w:hAnsi="Symbol" w:cs="Symbol"/>
          <w:szCs w:val="24"/>
          <w:lang w:val="en-US"/>
        </w:rPr>
        <w:t></w:t>
      </w:r>
      <w:r>
        <w:rPr>
          <w:rFonts w:cs="Times New Roman"/>
          <w:szCs w:val="24"/>
          <w:lang w:val="en-US"/>
        </w:rPr>
        <w:t xml:space="preserve"> and </w:t>
      </w:r>
      <w:r w:rsidRPr="00246FF5">
        <w:rPr>
          <w:rFonts w:cs="Times New Roman"/>
          <w:szCs w:val="24"/>
          <w:lang w:val="en-US"/>
        </w:rPr>
        <w:t>diiodomethane</w:t>
      </w:r>
      <w:r>
        <w:rPr>
          <w:rFonts w:cs="Times New Roman"/>
          <w:szCs w:val="24"/>
          <w:lang w:val="en-US"/>
        </w:rPr>
        <w:t>) and literature data. The results reported were obtained using the least squares regression method and indicate the presence of a strong, positive and linear (slope=0.97) relationship between these two datasets, thereby further corroborating the present study’s rationale for the selection of solvents and nanoparticles.</w:t>
      </w:r>
      <w:r w:rsidRPr="0066183B">
        <w:rPr>
          <w:noProof/>
          <w:lang w:val="en-US"/>
        </w:rPr>
        <w:t xml:space="preserve"> </w:t>
      </w:r>
      <w:r>
        <w:rPr>
          <w:noProof/>
          <w:lang w:val="en-US"/>
        </w:rPr>
        <w:t xml:space="preserve"> </w:t>
      </w:r>
    </w:p>
    <w:p w14:paraId="22F8B253" w14:textId="23176056" w:rsidR="00F07199" w:rsidRPr="00246FF5" w:rsidRDefault="00F50CD2" w:rsidP="00F50CD2">
      <w:pPr>
        <w:pStyle w:val="Caption"/>
        <w:rPr>
          <w:rFonts w:cs="Times New Roman"/>
          <w:szCs w:val="24"/>
          <w:lang w:val="en-US"/>
        </w:rPr>
      </w:pPr>
      <w:bookmarkStart w:id="48" w:name="_Ref36305091"/>
      <w:r w:rsidRPr="00F50CD2">
        <w:rPr>
          <w:lang w:val="en-US"/>
        </w:rPr>
        <w:t xml:space="preserve">Table </w:t>
      </w:r>
      <w:r>
        <w:fldChar w:fldCharType="begin"/>
      </w:r>
      <w:r w:rsidRPr="00F50CD2">
        <w:rPr>
          <w:lang w:val="en-US"/>
        </w:rPr>
        <w:instrText xml:space="preserve"> SEQ Table \* ARABIC </w:instrText>
      </w:r>
      <w:r>
        <w:fldChar w:fldCharType="separate"/>
      </w:r>
      <w:r w:rsidR="0008188F">
        <w:rPr>
          <w:noProof/>
          <w:lang w:val="en-US"/>
        </w:rPr>
        <w:t>3</w:t>
      </w:r>
      <w:r>
        <w:fldChar w:fldCharType="end"/>
      </w:r>
      <w:bookmarkEnd w:id="48"/>
      <w:r w:rsidR="002003DD" w:rsidRPr="002003DD">
        <w:rPr>
          <w:lang w:val="en-US"/>
        </w:rPr>
        <w:t xml:space="preserve"> </w:t>
      </w:r>
      <w:r w:rsidR="00F07199" w:rsidRPr="00246FF5">
        <w:rPr>
          <w:rFonts w:cs="Times New Roman"/>
          <w:szCs w:val="24"/>
          <w:lang w:val="en-US"/>
        </w:rPr>
        <w:t>– Summary of contact angles determined from the drop penetration method.</w:t>
      </w:r>
    </w:p>
    <w:tbl>
      <w:tblPr>
        <w:tblW w:w="8640" w:type="dxa"/>
        <w:jc w:val="center"/>
        <w:tblLook w:val="04A0" w:firstRow="1" w:lastRow="0" w:firstColumn="1" w:lastColumn="0" w:noHBand="0" w:noVBand="1"/>
      </w:tblPr>
      <w:tblGrid>
        <w:gridCol w:w="950"/>
        <w:gridCol w:w="2043"/>
        <w:gridCol w:w="2043"/>
        <w:gridCol w:w="1705"/>
        <w:gridCol w:w="2083"/>
      </w:tblGrid>
      <w:tr w:rsidR="00F07199" w:rsidRPr="00246FF5" w14:paraId="35693CFA" w14:textId="77777777" w:rsidTr="00337282">
        <w:trPr>
          <w:trHeight w:val="580"/>
          <w:jc w:val="center"/>
        </w:trPr>
        <w:tc>
          <w:tcPr>
            <w:tcW w:w="766" w:type="dxa"/>
            <w:tcBorders>
              <w:top w:val="single" w:sz="4" w:space="0" w:color="auto"/>
              <w:left w:val="nil"/>
              <w:bottom w:val="single" w:sz="4" w:space="0" w:color="auto"/>
              <w:right w:val="nil"/>
            </w:tcBorders>
            <w:shd w:val="clear" w:color="auto" w:fill="FFFFFF" w:themeFill="background1"/>
            <w:noWrap/>
            <w:vAlign w:val="center"/>
            <w:hideMark/>
          </w:tcPr>
          <w:p w14:paraId="39DDDF50"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Powder</w:t>
            </w:r>
          </w:p>
        </w:tc>
        <w:tc>
          <w:tcPr>
            <w:tcW w:w="2043" w:type="dxa"/>
            <w:tcBorders>
              <w:top w:val="single" w:sz="4" w:space="0" w:color="auto"/>
              <w:left w:val="nil"/>
              <w:bottom w:val="single" w:sz="4" w:space="0" w:color="auto"/>
              <w:right w:val="nil"/>
            </w:tcBorders>
            <w:shd w:val="clear" w:color="auto" w:fill="FFFFFF" w:themeFill="background1"/>
            <w:noWrap/>
            <w:vAlign w:val="center"/>
            <w:hideMark/>
          </w:tcPr>
          <w:p w14:paraId="0FCCCCA4"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Measured Solvent</w:t>
            </w:r>
          </w:p>
        </w:tc>
        <w:tc>
          <w:tcPr>
            <w:tcW w:w="2043" w:type="dxa"/>
            <w:tcBorders>
              <w:top w:val="single" w:sz="4" w:space="0" w:color="auto"/>
              <w:left w:val="nil"/>
              <w:bottom w:val="single" w:sz="4" w:space="0" w:color="auto"/>
              <w:right w:val="nil"/>
            </w:tcBorders>
            <w:shd w:val="clear" w:color="auto" w:fill="FFFFFF" w:themeFill="background1"/>
            <w:noWrap/>
            <w:vAlign w:val="center"/>
            <w:hideMark/>
          </w:tcPr>
          <w:p w14:paraId="3ED37B7B"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Reference</w:t>
            </w:r>
          </w:p>
        </w:tc>
        <w:tc>
          <w:tcPr>
            <w:tcW w:w="1705" w:type="dxa"/>
            <w:tcBorders>
              <w:top w:val="single" w:sz="4" w:space="0" w:color="auto"/>
              <w:left w:val="nil"/>
              <w:bottom w:val="single" w:sz="4" w:space="0" w:color="auto"/>
              <w:right w:val="nil"/>
            </w:tcBorders>
            <w:shd w:val="clear" w:color="auto" w:fill="FFFFFF" w:themeFill="background1"/>
            <w:noWrap/>
            <w:vAlign w:val="center"/>
            <w:hideMark/>
          </w:tcPr>
          <w:p w14:paraId="5234F799" w14:textId="77777777"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Experimental Contact angle</w:t>
            </w:r>
          </w:p>
        </w:tc>
        <w:tc>
          <w:tcPr>
            <w:tcW w:w="2083" w:type="dxa"/>
            <w:tcBorders>
              <w:top w:val="single" w:sz="4" w:space="0" w:color="auto"/>
              <w:left w:val="nil"/>
              <w:bottom w:val="single" w:sz="4" w:space="0" w:color="auto"/>
              <w:right w:val="nil"/>
            </w:tcBorders>
            <w:shd w:val="clear" w:color="auto" w:fill="FFFFFF" w:themeFill="background1"/>
            <w:vAlign w:val="center"/>
            <w:hideMark/>
          </w:tcPr>
          <w:p w14:paraId="550B8139" w14:textId="77777777"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Literature Contact angle</w:t>
            </w:r>
          </w:p>
        </w:tc>
      </w:tr>
      <w:tr w:rsidR="00F07199" w:rsidRPr="00246FF5" w14:paraId="3226657F" w14:textId="77777777" w:rsidTr="00337282">
        <w:trPr>
          <w:trHeight w:val="290"/>
          <w:jc w:val="center"/>
        </w:trPr>
        <w:tc>
          <w:tcPr>
            <w:tcW w:w="766" w:type="dxa"/>
            <w:vMerge w:val="restart"/>
            <w:tcBorders>
              <w:top w:val="single" w:sz="4" w:space="0" w:color="auto"/>
              <w:left w:val="nil"/>
              <w:bottom w:val="single" w:sz="4" w:space="0" w:color="auto"/>
              <w:right w:val="nil"/>
            </w:tcBorders>
            <w:shd w:val="clear" w:color="auto" w:fill="FFFFFF" w:themeFill="background1"/>
            <w:noWrap/>
            <w:textDirection w:val="btLr"/>
            <w:vAlign w:val="center"/>
            <w:hideMark/>
          </w:tcPr>
          <w:p w14:paraId="2155116C"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ZnO Nanogard</w:t>
            </w: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578A2477"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2043" w:type="dxa"/>
            <w:tcBorders>
              <w:top w:val="single" w:sz="4" w:space="0" w:color="auto"/>
              <w:left w:val="nil"/>
              <w:right w:val="nil"/>
            </w:tcBorders>
            <w:shd w:val="clear" w:color="auto" w:fill="FFFFFF" w:themeFill="background1"/>
            <w:noWrap/>
            <w:vAlign w:val="center"/>
            <w:hideMark/>
          </w:tcPr>
          <w:p w14:paraId="69A5C6F7"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single" w:sz="4" w:space="0" w:color="auto"/>
              <w:left w:val="nil"/>
              <w:right w:val="nil"/>
            </w:tcBorders>
            <w:shd w:val="clear" w:color="auto" w:fill="FFFFFF" w:themeFill="background1"/>
            <w:noWrap/>
            <w:vAlign w:val="center"/>
            <w:hideMark/>
          </w:tcPr>
          <w:p w14:paraId="17CED47D"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35</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8</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74BA8251" w14:textId="082A6DE6"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17, 28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{"citationItems":[{"id":"ITEM-1","itemData":{"DOI":"https://doi.org/10.1016/0254-0584(94)90143-0","ISSN":"0254-0584","abstract":"Apolar, Lifshitz-van der Waals (γLW) and polar, acid-base (Lewis) (γAB) surface free energy components, of monosized, spherical ZnS colloidal particles were experimentally determined using the thin-layer wicking technique. The results were compared with those obtained on a pure, commercial sample of zinc sulfide. The fact that the synthetized sample showed a very high electron-donor (γs−) component suggested that some species, related in principle to surface oxidation of ZnS during the synthesis reaction, could be formed on the surface of the particles. To check for this possibility, the surface free energy components of pure and oxidized ZnS, and of zinc oxide and sulfate, were determined by both the contact angle and thin-layer wicking methods. The similarity between γs components obtained with both methods for pure ZnS lead to the conclusion that both techniques give reliable results. The high γs− value determined for synthetic ZnS particles cannot be explained simply by surface oxidation of the colloidal particles, since partially oxidized ZnS, or even zinc oxide or sulfate, gave very similar γs−, always lower than that found for synthetic spherical ZnS. The fact that the Lifshitz-van der Waals (γsLW) component of the surface free energy is somewhat higher for the latter material is believed to be related to elemental sulfur present on the surface of the particles. The general compatibility of the results obtained by both methods suggests that the thin-layer wicking technique is useful to further characterize these or other systems, particularly if the examined material is sufficiently monodisperse.","author":[{"dropping-particle":"","family":"Durán","given":"J D G","non-dropping-particle":"","parse-names":false,"suffix":""},{"dropping-particle":"V","family":"Delgado","given":"A","non-dropping-particle":"","parse-names":false,"suffix":""},{"dropping-particle":"","family":"González-Caballero","given":"F","non-dropping-particle":"","parse-names":false,"suffix":""},{"dropping-particle":"","family":"Chibowski","given":"E","non-dropping-particle":"","parse-names":false,"suffix":""}],"container-title":"Materials Chemistry and Physics","id":"ITEM-1","issue":"1","issued":{"date-parts":[["1994"]]},"page":"42-49","title":"Surface free energy components of monodisperse zinc sulfide","type":"article-journal","volume":"38"},"uris":["http://www.mendeley.com/documents/?uuid=0279c668-1ae4-4271-94c0-a97551b3e5a6"]}],"mendeley":{"formattedCitation":"&lt;sup&gt;52&lt;/sup&gt;","plainTextFormattedCitation":"52","previouslyFormattedCitation":"&lt;sup&gt;52&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52</w:t>
            </w:r>
            <w:r w:rsidRPr="00246FF5">
              <w:rPr>
                <w:rFonts w:eastAsia="Times New Roman" w:cs="Times New Roman"/>
                <w:color w:val="000000"/>
                <w:szCs w:val="24"/>
                <w:lang w:val="en-US"/>
              </w:rPr>
              <w:fldChar w:fldCharType="end"/>
            </w:r>
          </w:p>
        </w:tc>
      </w:tr>
      <w:tr w:rsidR="00F07199" w:rsidRPr="00246FF5" w14:paraId="29CCCD30" w14:textId="77777777" w:rsidTr="00337282">
        <w:trPr>
          <w:trHeight w:val="330"/>
          <w:jc w:val="center"/>
        </w:trPr>
        <w:tc>
          <w:tcPr>
            <w:tcW w:w="766" w:type="dxa"/>
            <w:vMerge/>
            <w:tcBorders>
              <w:bottom w:val="single" w:sz="4" w:space="0" w:color="auto"/>
            </w:tcBorders>
            <w:vAlign w:val="center"/>
            <w:hideMark/>
          </w:tcPr>
          <w:p w14:paraId="06108D9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top w:val="single" w:sz="4" w:space="0" w:color="000000" w:themeColor="text1"/>
              <w:bottom w:val="single" w:sz="4" w:space="0" w:color="auto"/>
            </w:tcBorders>
            <w:vAlign w:val="center"/>
            <w:hideMark/>
          </w:tcPr>
          <w:p w14:paraId="44145BCE"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left w:val="nil"/>
              <w:bottom w:val="single" w:sz="4" w:space="0" w:color="auto"/>
              <w:right w:val="nil"/>
            </w:tcBorders>
            <w:shd w:val="clear" w:color="auto" w:fill="FFFFFF" w:themeFill="background1"/>
            <w:noWrap/>
            <w:vAlign w:val="center"/>
            <w:hideMark/>
          </w:tcPr>
          <w:p w14:paraId="5C12BD09"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left w:val="nil"/>
              <w:bottom w:val="single" w:sz="4" w:space="0" w:color="auto"/>
              <w:right w:val="nil"/>
            </w:tcBorders>
            <w:shd w:val="clear" w:color="auto" w:fill="FFFFFF" w:themeFill="background1"/>
            <w:noWrap/>
            <w:vAlign w:val="center"/>
            <w:hideMark/>
          </w:tcPr>
          <w:p w14:paraId="55EADBE2"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30</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3</w:t>
            </w:r>
          </w:p>
        </w:tc>
        <w:tc>
          <w:tcPr>
            <w:tcW w:w="2083" w:type="dxa"/>
            <w:vMerge/>
            <w:tcBorders>
              <w:top w:val="single" w:sz="4" w:space="0" w:color="000000" w:themeColor="text1"/>
              <w:bottom w:val="single" w:sz="4" w:space="0" w:color="auto"/>
            </w:tcBorders>
            <w:vAlign w:val="center"/>
            <w:hideMark/>
          </w:tcPr>
          <w:p w14:paraId="2E02503C"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411C20A4" w14:textId="77777777" w:rsidTr="00337282">
        <w:trPr>
          <w:trHeight w:val="290"/>
          <w:jc w:val="center"/>
        </w:trPr>
        <w:tc>
          <w:tcPr>
            <w:tcW w:w="766" w:type="dxa"/>
            <w:vMerge/>
            <w:tcBorders>
              <w:bottom w:val="single" w:sz="4" w:space="0" w:color="auto"/>
            </w:tcBorders>
            <w:vAlign w:val="center"/>
            <w:hideMark/>
          </w:tcPr>
          <w:p w14:paraId="30E8778A"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single" w:sz="4" w:space="0" w:color="auto"/>
              <w:left w:val="nil"/>
              <w:bottom w:val="single" w:sz="4" w:space="0" w:color="auto"/>
              <w:right w:val="nil"/>
            </w:tcBorders>
            <w:shd w:val="clear" w:color="auto" w:fill="FFFFFF" w:themeFill="background1"/>
            <w:noWrap/>
            <w:vAlign w:val="center"/>
            <w:hideMark/>
          </w:tcPr>
          <w:p w14:paraId="613EBF73"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2043" w:type="dxa"/>
            <w:tcBorders>
              <w:top w:val="nil"/>
              <w:left w:val="nil"/>
              <w:bottom w:val="single" w:sz="4" w:space="0" w:color="auto"/>
              <w:right w:val="nil"/>
            </w:tcBorders>
            <w:shd w:val="clear" w:color="auto" w:fill="FFFFFF" w:themeFill="background1"/>
            <w:noWrap/>
            <w:vAlign w:val="center"/>
            <w:hideMark/>
          </w:tcPr>
          <w:p w14:paraId="3F438235"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single" w:sz="4" w:space="0" w:color="auto"/>
              <w:right w:val="nil"/>
            </w:tcBorders>
            <w:shd w:val="clear" w:color="auto" w:fill="FFFFFF" w:themeFill="background1"/>
            <w:noWrap/>
            <w:vAlign w:val="center"/>
            <w:hideMark/>
          </w:tcPr>
          <w:p w14:paraId="1BE70685" w14:textId="77777777"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themeColor="text1"/>
                <w:szCs w:val="24"/>
                <w:lang w:val="en-US"/>
              </w:rPr>
              <w:t>17</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14</w:t>
            </w:r>
          </w:p>
        </w:tc>
        <w:tc>
          <w:tcPr>
            <w:tcW w:w="2083" w:type="dxa"/>
            <w:tcBorders>
              <w:top w:val="single" w:sz="4" w:space="0" w:color="auto"/>
              <w:left w:val="nil"/>
              <w:bottom w:val="single" w:sz="4" w:space="0" w:color="auto"/>
              <w:right w:val="nil"/>
            </w:tcBorders>
            <w:shd w:val="clear" w:color="auto" w:fill="FFFFFF" w:themeFill="background1"/>
            <w:hideMark/>
          </w:tcPr>
          <w:p w14:paraId="08F1D8F0" w14:textId="4FDF421E"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25, 22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{"citationItems":[{"id":"ITEM-1","itemData":{"DOI":"https://doi.org/10.1016/0254-0584(94)90143-0","ISSN":"0254-0584","abstract":"Apolar, Lifshitz-van der Waals (γLW) and polar, acid-base (Lewis) (γAB) surface free energy components, of monosized, spherical ZnS colloidal particles were experimentally determined using the thin-layer wicking technique. The results were compared with those obtained on a pure, commercial sample of zinc sulfide. The fact that the synthetized sample showed a very high electron-donor (γs−) component suggested that some species, related in principle to surface oxidation of ZnS during the synthesis reaction, could be formed on the surface of the particles. To check for this possibility, the surface free energy components of pure and oxidized ZnS, and of zinc oxide and sulfate, were determined by both the contact angle and thin-layer wicking methods. The similarity between γs components obtained with both methods for pure ZnS lead to the conclusion that both techniques give reliable results. The high γs− value determined for synthetic ZnS particles cannot be explained simply by surface oxidation of the colloidal particles, since partially oxidized ZnS, or even zinc oxide or sulfate, gave very similar γs−, always lower than that found for synthetic spherical ZnS. The fact that the Lifshitz-van der Waals (γsLW) component of the surface free energy is somewhat higher for the latter material is believed to be related to elemental sulfur present on the surface of the particles. The general compatibility of the results obtained by both methods suggests that the thin-layer wicking technique is useful to further characterize these or other systems, particularly if the examined material is sufficiently monodisperse.","author":[{"dropping-particle":"","family":"Durán","given":"J D G","non-dropping-particle":"","parse-names":false,"suffix":""},{"dropping-particle":"V","family":"Delgado","given":"A","non-dropping-particle":"","parse-names":false,"suffix":""},{"dropping-particle":"","family":"González-Caballero","given":"F","non-dropping-particle":"","parse-names":false,"suffix":""},{"dropping-particle":"","family":"Chibowski","given":"E","non-dropping-particle":"","parse-names":false,"suffix":""}],"container-title":"Materials Chemistry and Physics","id":"ITEM-1","issue":"1","issued":{"date-parts":[["1994"]]},"page":"42-49","title":"Surface free energy components of monodisperse zinc sulfide","type":"article-journal","volume":"38"},"uris":["http://www.mendeley.com/documents/?uuid=0279c668-1ae4-4271-94c0-a97551b3e5a6"]}],"mendeley":{"formattedCitation":"&lt;sup&gt;52&lt;/sup&gt;","plainTextFormattedCitation":"52","previouslyFormattedCitation":"&lt;sup&gt;52&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52</w:t>
            </w:r>
            <w:r w:rsidRPr="00246FF5">
              <w:rPr>
                <w:rFonts w:eastAsia="Times New Roman" w:cs="Times New Roman"/>
                <w:color w:val="000000"/>
                <w:szCs w:val="24"/>
                <w:lang w:val="en-US"/>
              </w:rPr>
              <w:fldChar w:fldCharType="end"/>
            </w:r>
          </w:p>
        </w:tc>
      </w:tr>
      <w:tr w:rsidR="00F07199" w:rsidRPr="00246FF5" w14:paraId="6976E715" w14:textId="77777777" w:rsidTr="00337282">
        <w:trPr>
          <w:trHeight w:val="290"/>
          <w:jc w:val="center"/>
        </w:trPr>
        <w:tc>
          <w:tcPr>
            <w:tcW w:w="766" w:type="dxa"/>
            <w:vMerge/>
            <w:tcBorders>
              <w:bottom w:val="single" w:sz="4" w:space="0" w:color="auto"/>
            </w:tcBorders>
            <w:vAlign w:val="center"/>
            <w:hideMark/>
          </w:tcPr>
          <w:p w14:paraId="6F1D08E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auto"/>
            <w:noWrap/>
            <w:vAlign w:val="center"/>
            <w:hideMark/>
          </w:tcPr>
          <w:p w14:paraId="47EC1B4D"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2043" w:type="dxa"/>
            <w:tcBorders>
              <w:top w:val="nil"/>
              <w:left w:val="nil"/>
              <w:bottom w:val="nil"/>
              <w:right w:val="nil"/>
            </w:tcBorders>
            <w:shd w:val="clear" w:color="auto" w:fill="FFFFFF" w:themeFill="background1"/>
            <w:noWrap/>
            <w:vAlign w:val="center"/>
            <w:hideMark/>
          </w:tcPr>
          <w:p w14:paraId="47E04398"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nil"/>
              <w:right w:val="nil"/>
            </w:tcBorders>
            <w:shd w:val="clear" w:color="auto" w:fill="FFFFFF" w:themeFill="background1"/>
            <w:noWrap/>
            <w:vAlign w:val="center"/>
            <w:hideMark/>
          </w:tcPr>
          <w:p w14:paraId="018E0A45"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73</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tcBorders>
              <w:top w:val="nil"/>
              <w:left w:val="nil"/>
              <w:bottom w:val="nil"/>
              <w:right w:val="nil"/>
            </w:tcBorders>
            <w:shd w:val="clear" w:color="auto" w:fill="auto"/>
            <w:noWrap/>
            <w:vAlign w:val="bottom"/>
            <w:hideMark/>
          </w:tcPr>
          <w:p w14:paraId="412CA9B2" w14:textId="739733D2"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60.4, 75.6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{"citationItems":[{"id":"ITEM-1","itemData":{"ISSN":"09751017","abstract":"© 2017, National Institute of Science Communication and Information Resources (NISCAIR). All rights reserved. Zinc oxide (ZnO) nanostructured thin films are deposited by RF magnetron sputtering on corning glass substrates. The effects of RF power and deposition temperature on ZnO nanostructured thin films are investigated. The structural characterization is done by X-ray diffraction; the deposited ZnO nanostructured thin film is amorphous at 30W RF power. The increase of RF power to 90 W and 150 W leads to evolution of (100), (002) and (101) textures of ZnO nanostructured thin films. A well intense (002) peak of ZnO nanostructured thin films is evolved and (100) peak diminishes with increase in deposition temperature from 200ºC to 600ºC. The wettability studies of ethylene glycol are rarely done, so we have investigated contact angle hysteresis and wettability properties of two liquids; water and ethylene glycol on deposited ZnO nanostructured thin films measured by contact angle goniometer. The motivation of this research work is to explore the wettability studies specifically for ethylene glycol on zinc oxide nanostructured thin films as it is used as antifreeze agent and coolant in industry and commercial applications. The contact angle formed by water and ethylene glycol varies as a function of RF power and deposition temperature. The optical properties were measured by UV-Vis-NIR spectrophotometer.","author":[{"dropping-particle":"","family":"Patel","given":"Kartik H.","non-dropping-particle":"","parse-names":false,"suffix":""},{"dropping-particle":"","family":"Rawal","given":"Sushant K.","non-dropping-particle":"","parse-names":false,"suffix":""}],"container-title":"Indian Journal of Engineering and Materials Sciences","id":"ITEM-1","issue":"6","issued":{"date-parts":[["2017"]]},"page":"469-476","title":"Contact angle hysteresis, wettability and optical studies of sputtered zinc oxide nanostructured thin films","type":"article-journal","volume":"24"},"uris":["http://www.mendeley.com/documents/?uuid=bab71616-8c83-402e-81c1-c0a1ad63c7ec"]}],"mendeley":{"formattedCitation":"&lt;sup&gt;63&lt;/sup&gt;","plainTextFormattedCitation":"63","previouslyFormattedCitation":"&lt;sup&gt;63&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63</w:t>
            </w:r>
            <w:r w:rsidRPr="00246FF5">
              <w:rPr>
                <w:rFonts w:eastAsia="Times New Roman" w:cs="Times New Roman"/>
                <w:color w:val="000000"/>
                <w:szCs w:val="24"/>
                <w:lang w:val="en-US"/>
              </w:rPr>
              <w:fldChar w:fldCharType="end"/>
            </w:r>
          </w:p>
        </w:tc>
      </w:tr>
      <w:tr w:rsidR="00F07199" w:rsidRPr="00246FF5" w14:paraId="25238B6B" w14:textId="77777777" w:rsidTr="00337282">
        <w:trPr>
          <w:trHeight w:val="290"/>
          <w:jc w:val="center"/>
        </w:trPr>
        <w:tc>
          <w:tcPr>
            <w:tcW w:w="766" w:type="dxa"/>
            <w:vMerge/>
            <w:tcBorders>
              <w:bottom w:val="single" w:sz="4" w:space="0" w:color="auto"/>
            </w:tcBorders>
            <w:vAlign w:val="center"/>
            <w:hideMark/>
          </w:tcPr>
          <w:p w14:paraId="118BF8A2"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41CE16D3"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right w:val="nil"/>
            </w:tcBorders>
            <w:shd w:val="clear" w:color="auto" w:fill="FFFFFF" w:themeFill="background1"/>
            <w:noWrap/>
            <w:vAlign w:val="center"/>
            <w:hideMark/>
          </w:tcPr>
          <w:p w14:paraId="1A4E6A6E"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1705" w:type="dxa"/>
            <w:tcBorders>
              <w:top w:val="nil"/>
              <w:left w:val="nil"/>
              <w:right w:val="nil"/>
            </w:tcBorders>
            <w:shd w:val="clear" w:color="auto" w:fill="FFFFFF" w:themeFill="background1"/>
            <w:noWrap/>
            <w:vAlign w:val="center"/>
            <w:hideMark/>
          </w:tcPr>
          <w:p w14:paraId="4D55C644"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69</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4</w:t>
            </w:r>
          </w:p>
        </w:tc>
        <w:tc>
          <w:tcPr>
            <w:tcW w:w="2083" w:type="dxa"/>
            <w:tcBorders>
              <w:top w:val="nil"/>
              <w:left w:val="nil"/>
              <w:right w:val="nil"/>
            </w:tcBorders>
            <w:shd w:val="clear" w:color="auto" w:fill="FFFFFF" w:themeFill="background1"/>
            <w:noWrap/>
            <w:vAlign w:val="bottom"/>
            <w:hideMark/>
          </w:tcPr>
          <w:p w14:paraId="6EA40367"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 </w:t>
            </w:r>
          </w:p>
        </w:tc>
      </w:tr>
      <w:tr w:rsidR="00F07199" w:rsidRPr="00246FF5" w14:paraId="5BDDAAA3" w14:textId="77777777" w:rsidTr="00337282">
        <w:trPr>
          <w:trHeight w:val="290"/>
          <w:jc w:val="center"/>
        </w:trPr>
        <w:tc>
          <w:tcPr>
            <w:tcW w:w="766" w:type="dxa"/>
            <w:vMerge/>
            <w:tcBorders>
              <w:bottom w:val="single" w:sz="4" w:space="0" w:color="auto"/>
            </w:tcBorders>
            <w:vAlign w:val="center"/>
            <w:hideMark/>
          </w:tcPr>
          <w:p w14:paraId="5FA84B3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565AFB9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7B728B92"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single" w:sz="4" w:space="0" w:color="auto"/>
              <w:right w:val="nil"/>
            </w:tcBorders>
            <w:shd w:val="clear" w:color="auto" w:fill="FFFFFF" w:themeFill="background1"/>
            <w:noWrap/>
            <w:vAlign w:val="center"/>
            <w:hideMark/>
          </w:tcPr>
          <w:p w14:paraId="74615752"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72</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3</w:t>
            </w:r>
          </w:p>
        </w:tc>
        <w:tc>
          <w:tcPr>
            <w:tcW w:w="2083" w:type="dxa"/>
            <w:tcBorders>
              <w:top w:val="nil"/>
              <w:left w:val="nil"/>
              <w:bottom w:val="single" w:sz="4" w:space="0" w:color="auto"/>
              <w:right w:val="nil"/>
            </w:tcBorders>
            <w:shd w:val="clear" w:color="auto" w:fill="FFFFFF" w:themeFill="background1"/>
            <w:hideMark/>
          </w:tcPr>
          <w:p w14:paraId="555FEB96" w14:textId="77777777"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w:t>
            </w:r>
          </w:p>
        </w:tc>
      </w:tr>
      <w:tr w:rsidR="00F07199" w:rsidRPr="0044385A" w14:paraId="67F089A1" w14:textId="77777777" w:rsidTr="00337282">
        <w:trPr>
          <w:trHeight w:val="290"/>
          <w:jc w:val="center"/>
        </w:trPr>
        <w:tc>
          <w:tcPr>
            <w:tcW w:w="766" w:type="dxa"/>
            <w:vMerge/>
            <w:tcBorders>
              <w:bottom w:val="single" w:sz="4" w:space="0" w:color="auto"/>
            </w:tcBorders>
            <w:vAlign w:val="center"/>
            <w:hideMark/>
          </w:tcPr>
          <w:p w14:paraId="61E8248D"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21CF204C"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Water</w:t>
            </w:r>
          </w:p>
        </w:tc>
        <w:tc>
          <w:tcPr>
            <w:tcW w:w="2043" w:type="dxa"/>
            <w:tcBorders>
              <w:top w:val="single" w:sz="4" w:space="0" w:color="auto"/>
              <w:left w:val="nil"/>
              <w:bottom w:val="nil"/>
              <w:right w:val="nil"/>
            </w:tcBorders>
            <w:shd w:val="clear" w:color="auto" w:fill="FFFFFF" w:themeFill="background1"/>
            <w:noWrap/>
            <w:vAlign w:val="center"/>
            <w:hideMark/>
          </w:tcPr>
          <w:p w14:paraId="2216CCBE"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single" w:sz="4" w:space="0" w:color="auto"/>
              <w:left w:val="nil"/>
              <w:bottom w:val="nil"/>
              <w:right w:val="nil"/>
            </w:tcBorders>
            <w:shd w:val="clear" w:color="auto" w:fill="FFFFFF" w:themeFill="background1"/>
            <w:noWrap/>
            <w:vAlign w:val="center"/>
            <w:hideMark/>
          </w:tcPr>
          <w:p w14:paraId="5FB9534A"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79</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2</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63BD158C" w14:textId="1AF2D1C7"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88.6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{"citationItems":[{"id":"ITEM-1","itemData":{"DOI":"https://doi.org/10.1016/j.corsci.2004.01.002","ISSN":"0010-938X","abstract":"The influence of oxide surface charge on the corrosion performance of zinc metals was investigated. Oxidised zinc species (zinc oxide, zinc hydroxychloride, zinc hydroxysulfate and zinc hydroxycarbonate) with chemical compositions similar to those produced on zinc during atmospheric corrosion were formed as particles from aqueous solution, and as passive films deposited onto zinc powder, and rolled zinc, surfaces. Synthesized oxides were characterised by X-ray diffraction, Fourier transform infrared spectroscopy, scanning electron microscopy and electron probe X-ray microanalysis. The zeta potentials of various oxide particles, as determined by microelectrophoresis, are reported as a function of pH. Particulates containing a majority of zinc hydroxycarbonate and zinc hydroxysulfate crystallites were found to possess a negative surface charge below pH 6, whilst zinc oxide–hydroxide and zinc hydroxychloride crystallites possessed isoelectric points (IEP’s) higher than pH 8. The ability of chloride species to pass through a bed of 3 μm diameter zinc powder was found to increase for surfaces possessing carboxy and sulfate surface species, suggesting that negatively charged surfaces can aid in the repulsion of chloride ions. Electrochemical analysis of the open-circuit potential as a function of time at a fixed pH of 6.5 showed that the chemical composition of passive films on zinc plates influenced the ability of chloride ions to access anodic sites for periods of approximately 1 h.","author":[{"dropping-particle":"","family":"Muster","given":"Tim H","non-dropping-particle":"","parse-names":false,"suffix":""},{"dropping-particle":"","family":"Cole","given":"Ivan S","non-dropping-particle":"","parse-names":false,"suffix":""}],"container-title":"Corrosion Science","id":"ITEM-1","issue":"9","issued":{"date-parts":[["2004"]]},"page":"2319-2335","title":"The protective nature of passivation films on zinc: surface charge","type":"article-journal","volume":"46"},"uris":["http://www.mendeley.com/documents/?uuid=edca65f4-c5ec-4697-9398-6470254ceeed"]}],"mendeley":{"formattedCitation":"&lt;sup&gt;64&lt;/sup&gt;","plainTextFormattedCitation":"64","previouslyFormattedCitation":"&lt;sup&gt;64&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64</w:t>
            </w:r>
            <w:r w:rsidRPr="00246FF5">
              <w:rPr>
                <w:rFonts w:eastAsia="Times New Roman" w:cs="Times New Roman"/>
                <w:color w:val="000000"/>
                <w:szCs w:val="24"/>
                <w:lang w:val="en-US"/>
              </w:rPr>
              <w:fldChar w:fldCharType="end"/>
            </w:r>
            <w:r w:rsidRPr="00246FF5">
              <w:rPr>
                <w:rFonts w:eastAsia="Times New Roman" w:cs="Times New Roman"/>
                <w:color w:val="000000"/>
                <w:szCs w:val="24"/>
                <w:lang w:val="en-US"/>
              </w:rPr>
              <w:t xml:space="preserve">, 81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{"citationItems":[{"id":"ITEM-1","itemData":{"DOI":"10.1016/j.ceramint.2017.11.195","ISSN":"02728842","abstract":"Important clinical concerns in orthopedics and dental implantology are associated with a significant release of titanium (Ti) metal ions and debris due to the low corrosion resistance of this material. Chemical modifications on Ti surfaces have been performed in order to minimize effects of corrosion. In this contribution, zinc oxide (ZnO) thin films were deposited onto Ti surfaces and functionalized with four different organic bifunctional molecules in order to increase the corrosion resistance. SEM and XPS indicated the formation of nanostructured ZnO thin film with hydroxyl groups available for covalent functionalization. The adhesion mechanism analyzed by XPS suggest that the attachment on ZnO occurs by carboxylic acid, silane, thiol and hydroxyl groups for 4-aminophenylpropionic acid (APPA), 3-aminopropyltrimetoxysilane (APTMS), 3-mercaptopropionic acid (MPA), and polyethylene glycol (PEG) molecules. Electrochemical analysis for the functionalized ZnO specimens with APPA showed noble open circuit potentials (−0.2 V) and significant decrease in the corrosion current density (5.3 × 10−7 A/cm2) when compared to the values obtained for pristine Ti (−0.56 V and 2.3 × 10−6 A/cm2), indicating a promising material for applications in biomedical fields.","author":[{"dropping-particle":"","family":"Trino","given":"Luciana D.","non-dropping-particle":"","parse-names":false,"suffix":""},{"dropping-particle":"","family":"Dias","given":"Leonardo F.G.","non-dropping-particle":"","parse-names":false,"suffix":""},{"dropping-particle":"","family":"Albano","given":"Luiz G.S.","non-dropping-particle":"","parse-names":false,"suffix":""},{"dropping-particle":"","family":"Bronze-Uhle","given":"Erika S.","non-dropping-particle":"","parse-names":false,"suffix":""},{"dropping-particle":"","family":"Rangel","given":"Elidiane C.","non-dropping-particle":"","parse-names":false,"suffix":""},{"dropping-particle":"","family":"Graeff","given":"Carlos F.O.","non-dropping-particle":"","parse-names":false,"suffix":""},{"dropping-particle":"","family":"Lisboa-Filho","given":"Paulo N.","non-dropping-particle":"","parse-names":false,"suffix":""}],"container-title":"Ceramics International","id":"ITEM-1","issue":"4","issued":{"date-parts":[["2018"]]},"page":"4000-4008","title":"Zinc oxide surface functionalization and related effects on corrosion resistance of titanium implants","type":"article-journal","volume":"44"},"uris":["http://www.mendeley.com/documents/?uuid=2f0c14ef-eb85-4e49-861a-75af698a3c82"]}],"mendeley":{"formattedCitation":"&lt;sup&gt;65&lt;/sup&gt;","plainTextFormattedCitation":"65","previouslyFormattedCitation":"&lt;sup&gt;65&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65</w:t>
            </w:r>
            <w:r w:rsidRPr="00246FF5">
              <w:rPr>
                <w:rFonts w:eastAsia="Times New Roman" w:cs="Times New Roman"/>
                <w:color w:val="000000"/>
                <w:szCs w:val="24"/>
                <w:lang w:val="en-US"/>
              </w:rPr>
              <w:fldChar w:fldCharType="end"/>
            </w:r>
          </w:p>
        </w:tc>
      </w:tr>
      <w:tr w:rsidR="00F07199" w:rsidRPr="0044385A" w14:paraId="5F7E9FCF" w14:textId="77777777" w:rsidTr="00337282">
        <w:trPr>
          <w:trHeight w:val="290"/>
          <w:jc w:val="center"/>
        </w:trPr>
        <w:tc>
          <w:tcPr>
            <w:tcW w:w="766" w:type="dxa"/>
            <w:vMerge/>
            <w:tcBorders>
              <w:bottom w:val="single" w:sz="4" w:space="0" w:color="auto"/>
            </w:tcBorders>
            <w:vAlign w:val="center"/>
            <w:hideMark/>
          </w:tcPr>
          <w:p w14:paraId="11DCC34D"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5D3D2455"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0DA7B609"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1705" w:type="dxa"/>
            <w:tcBorders>
              <w:top w:val="nil"/>
              <w:left w:val="nil"/>
              <w:bottom w:val="nil"/>
              <w:right w:val="nil"/>
            </w:tcBorders>
            <w:shd w:val="clear" w:color="auto" w:fill="FFFFFF" w:themeFill="background1"/>
            <w:noWrap/>
            <w:vAlign w:val="center"/>
            <w:hideMark/>
          </w:tcPr>
          <w:p w14:paraId="75FF32FC"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77</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5A53E4D5"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44385A" w14:paraId="64E78C4E" w14:textId="77777777" w:rsidTr="00337282">
        <w:trPr>
          <w:trHeight w:val="290"/>
          <w:jc w:val="center"/>
        </w:trPr>
        <w:tc>
          <w:tcPr>
            <w:tcW w:w="766" w:type="dxa"/>
            <w:vMerge/>
            <w:tcBorders>
              <w:bottom w:val="single" w:sz="4" w:space="0" w:color="auto"/>
            </w:tcBorders>
            <w:vAlign w:val="center"/>
            <w:hideMark/>
          </w:tcPr>
          <w:p w14:paraId="17C5BFA3"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18559839"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26BD8B8A"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nil"/>
              <w:right w:val="nil"/>
            </w:tcBorders>
            <w:shd w:val="clear" w:color="auto" w:fill="FFFFFF" w:themeFill="background1"/>
            <w:noWrap/>
            <w:vAlign w:val="center"/>
            <w:hideMark/>
          </w:tcPr>
          <w:p w14:paraId="509EF5E3"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47</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11</w:t>
            </w:r>
          </w:p>
        </w:tc>
        <w:tc>
          <w:tcPr>
            <w:tcW w:w="2083" w:type="dxa"/>
            <w:vMerge/>
            <w:tcBorders>
              <w:bottom w:val="single" w:sz="4" w:space="0" w:color="auto"/>
            </w:tcBorders>
            <w:vAlign w:val="center"/>
            <w:hideMark/>
          </w:tcPr>
          <w:p w14:paraId="7D4BED9D"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44385A" w14:paraId="792AD805" w14:textId="77777777" w:rsidTr="00337282">
        <w:trPr>
          <w:trHeight w:val="290"/>
          <w:jc w:val="center"/>
        </w:trPr>
        <w:tc>
          <w:tcPr>
            <w:tcW w:w="766" w:type="dxa"/>
            <w:vMerge/>
            <w:tcBorders>
              <w:bottom w:val="single" w:sz="4" w:space="0" w:color="auto"/>
            </w:tcBorders>
            <w:vAlign w:val="center"/>
            <w:hideMark/>
          </w:tcPr>
          <w:p w14:paraId="21FE784F"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3A5A3EB9"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332518BF"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nil"/>
              <w:right w:val="nil"/>
            </w:tcBorders>
            <w:shd w:val="clear" w:color="auto" w:fill="FFFFFF" w:themeFill="background1"/>
            <w:noWrap/>
            <w:vAlign w:val="center"/>
            <w:hideMark/>
          </w:tcPr>
          <w:p w14:paraId="3133338D"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78</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144D6BBC"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44385A" w14:paraId="312264F3" w14:textId="77777777" w:rsidTr="00337282">
        <w:trPr>
          <w:trHeight w:val="290"/>
          <w:jc w:val="center"/>
        </w:trPr>
        <w:tc>
          <w:tcPr>
            <w:tcW w:w="766" w:type="dxa"/>
            <w:vMerge/>
            <w:tcBorders>
              <w:bottom w:val="single" w:sz="4" w:space="0" w:color="auto"/>
            </w:tcBorders>
            <w:vAlign w:val="center"/>
            <w:hideMark/>
          </w:tcPr>
          <w:p w14:paraId="7BAE3804"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65A7E990"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75B819BE"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Ethanol</w:t>
            </w:r>
          </w:p>
        </w:tc>
        <w:tc>
          <w:tcPr>
            <w:tcW w:w="1705" w:type="dxa"/>
            <w:tcBorders>
              <w:top w:val="nil"/>
              <w:left w:val="nil"/>
              <w:bottom w:val="single" w:sz="4" w:space="0" w:color="auto"/>
              <w:right w:val="nil"/>
            </w:tcBorders>
            <w:shd w:val="clear" w:color="auto" w:fill="FFFFFF" w:themeFill="background1"/>
            <w:noWrap/>
            <w:vAlign w:val="center"/>
            <w:hideMark/>
          </w:tcPr>
          <w:p w14:paraId="32C08576"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44</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7</w:t>
            </w:r>
          </w:p>
        </w:tc>
        <w:tc>
          <w:tcPr>
            <w:tcW w:w="2083" w:type="dxa"/>
            <w:vMerge/>
            <w:tcBorders>
              <w:bottom w:val="single" w:sz="4" w:space="0" w:color="auto"/>
            </w:tcBorders>
            <w:vAlign w:val="center"/>
            <w:hideMark/>
          </w:tcPr>
          <w:p w14:paraId="1ECCC807"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44385A" w14:paraId="3CF97A67" w14:textId="77777777" w:rsidTr="00337282">
        <w:trPr>
          <w:trHeight w:val="290"/>
          <w:jc w:val="center"/>
        </w:trPr>
        <w:tc>
          <w:tcPr>
            <w:tcW w:w="766" w:type="dxa"/>
            <w:vMerge/>
            <w:tcBorders>
              <w:bottom w:val="single" w:sz="4" w:space="0" w:color="auto"/>
            </w:tcBorders>
            <w:vAlign w:val="center"/>
            <w:hideMark/>
          </w:tcPr>
          <w:p w14:paraId="0F877EC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5C17F448"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Ethanol</w:t>
            </w:r>
          </w:p>
        </w:tc>
        <w:tc>
          <w:tcPr>
            <w:tcW w:w="2043" w:type="dxa"/>
            <w:tcBorders>
              <w:top w:val="nil"/>
              <w:left w:val="nil"/>
              <w:bottom w:val="nil"/>
              <w:right w:val="nil"/>
            </w:tcBorders>
            <w:shd w:val="clear" w:color="auto" w:fill="FFFFFF" w:themeFill="background1"/>
            <w:noWrap/>
            <w:vAlign w:val="center"/>
            <w:hideMark/>
          </w:tcPr>
          <w:p w14:paraId="1E035363"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nil"/>
              <w:right w:val="nil"/>
            </w:tcBorders>
            <w:shd w:val="clear" w:color="auto" w:fill="FFFFFF" w:themeFill="background1"/>
            <w:noWrap/>
            <w:vAlign w:val="center"/>
            <w:hideMark/>
          </w:tcPr>
          <w:p w14:paraId="00A2BFA8"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75</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3</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7E9F3677" w14:textId="751338C3"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90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{"citationItems":[{"id":"ITEM-1","itemData":{"DOI":"10.13140/RG.2.1.1355.4324","author":[{"dropping-particle":"","family":"J. Lee","given":"Y. H. Chang Hwang","non-dropping-particle":"","parse-names":false,"suffix":""}],"id":"ITEM-1","issued":{"date-parts":[["2011","8","25"]]},"publisher":"University of Washtington","title":"Surface modification and characterization of zinc oxide for use in organic photovaltaic devices","type":"thesis"},"uris":["http://www.mendeley.com/documents/?uuid=f9f93739-70c7-49e3-b899-3ca6c05f49dd"]}],"mendeley":{"formattedCitation":"&lt;sup&gt;66&lt;/sup&gt;","plainTextFormattedCitation":"66","previouslyFormattedCitation":"&lt;sup&gt;66&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66</w:t>
            </w:r>
            <w:r w:rsidRPr="00246FF5">
              <w:rPr>
                <w:rFonts w:eastAsia="Times New Roman" w:cs="Times New Roman"/>
                <w:color w:val="000000"/>
                <w:szCs w:val="24"/>
                <w:lang w:val="en-US"/>
              </w:rPr>
              <w:fldChar w:fldCharType="end"/>
            </w:r>
          </w:p>
        </w:tc>
      </w:tr>
      <w:tr w:rsidR="00F07199" w:rsidRPr="0044385A" w14:paraId="7EB28C0A" w14:textId="77777777" w:rsidTr="00337282">
        <w:trPr>
          <w:trHeight w:val="290"/>
          <w:jc w:val="center"/>
        </w:trPr>
        <w:tc>
          <w:tcPr>
            <w:tcW w:w="766" w:type="dxa"/>
            <w:vMerge/>
            <w:tcBorders>
              <w:bottom w:val="single" w:sz="4" w:space="0" w:color="auto"/>
            </w:tcBorders>
            <w:vAlign w:val="center"/>
            <w:hideMark/>
          </w:tcPr>
          <w:p w14:paraId="49D99A82"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3C0945F1"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4ACD0ACA"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nil"/>
              <w:right w:val="nil"/>
            </w:tcBorders>
            <w:shd w:val="clear" w:color="auto" w:fill="FFFFFF" w:themeFill="background1"/>
            <w:noWrap/>
            <w:vAlign w:val="center"/>
            <w:hideMark/>
          </w:tcPr>
          <w:p w14:paraId="3723B1DD"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71</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6F6B33E3"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44385A" w14:paraId="5EA013F5" w14:textId="77777777" w:rsidTr="00337282">
        <w:trPr>
          <w:trHeight w:val="290"/>
          <w:jc w:val="center"/>
        </w:trPr>
        <w:tc>
          <w:tcPr>
            <w:tcW w:w="766" w:type="dxa"/>
            <w:vMerge/>
            <w:tcBorders>
              <w:bottom w:val="single" w:sz="4" w:space="0" w:color="auto"/>
            </w:tcBorders>
            <w:vAlign w:val="center"/>
            <w:hideMark/>
          </w:tcPr>
          <w:p w14:paraId="22B3502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541686AA"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7F38FED2"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single" w:sz="4" w:space="0" w:color="auto"/>
              <w:right w:val="nil"/>
            </w:tcBorders>
            <w:shd w:val="clear" w:color="auto" w:fill="FFFFFF" w:themeFill="background1"/>
            <w:noWrap/>
            <w:vAlign w:val="center"/>
            <w:hideMark/>
          </w:tcPr>
          <w:p w14:paraId="4894C10A"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73</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0DBE7520"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05CB7D9C" w14:textId="77777777" w:rsidTr="00337282">
        <w:trPr>
          <w:trHeight w:val="290"/>
          <w:jc w:val="center"/>
        </w:trPr>
        <w:tc>
          <w:tcPr>
            <w:tcW w:w="766" w:type="dxa"/>
            <w:vMerge w:val="restart"/>
            <w:tcBorders>
              <w:top w:val="single" w:sz="4" w:space="0" w:color="auto"/>
              <w:left w:val="nil"/>
              <w:bottom w:val="single" w:sz="4" w:space="0" w:color="auto"/>
              <w:right w:val="nil"/>
            </w:tcBorders>
            <w:shd w:val="clear" w:color="auto" w:fill="FFFFFF" w:themeFill="background1"/>
            <w:noWrap/>
            <w:textDirection w:val="btLr"/>
            <w:vAlign w:val="center"/>
            <w:hideMark/>
          </w:tcPr>
          <w:p w14:paraId="3E2A74D9"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TiO2 (21nm)</w:t>
            </w:r>
          </w:p>
        </w:tc>
        <w:tc>
          <w:tcPr>
            <w:tcW w:w="2043" w:type="dxa"/>
            <w:vMerge w:val="restart"/>
            <w:tcBorders>
              <w:top w:val="single" w:sz="4" w:space="0" w:color="auto"/>
              <w:left w:val="nil"/>
              <w:bottom w:val="nil"/>
              <w:right w:val="nil"/>
            </w:tcBorders>
            <w:shd w:val="clear" w:color="auto" w:fill="FFFFFF" w:themeFill="background1"/>
            <w:noWrap/>
            <w:vAlign w:val="center"/>
            <w:hideMark/>
          </w:tcPr>
          <w:p w14:paraId="7DD1704F"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2043" w:type="dxa"/>
            <w:tcBorders>
              <w:top w:val="nil"/>
              <w:left w:val="nil"/>
              <w:bottom w:val="nil"/>
              <w:right w:val="nil"/>
            </w:tcBorders>
            <w:shd w:val="clear" w:color="auto" w:fill="FFFFFF" w:themeFill="background1"/>
            <w:noWrap/>
            <w:vAlign w:val="center"/>
            <w:hideMark/>
          </w:tcPr>
          <w:p w14:paraId="66CE91D7"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nil"/>
              <w:right w:val="nil"/>
            </w:tcBorders>
            <w:shd w:val="clear" w:color="auto" w:fill="FFFFFF" w:themeFill="background1"/>
            <w:noWrap/>
            <w:vAlign w:val="bottom"/>
            <w:hideMark/>
          </w:tcPr>
          <w:p w14:paraId="1DBDCAC9"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75</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3</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15194728" w14:textId="7871E61D"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16.3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{"citationItems":[{"id":"ITEM-1","itemData":{"DOI":"10.1016/j.apsusc.2011.11.048","ISSN":"01694332","abstract":"The chemical composition of nanoparticle coated paperboard surfaces was characterized. The deposition of SiO 2 and TiO 2 nanoparticles induced changes in wetting properties of the paperboard surface: a superhydrophilic surface was created by SiO 2 nanoparticles and a superhydrophobic surface by TiO 2 nanoparticles. Both X-ray photoelectron spectroscopy (XPS) and contact angle (CA) measurements were used to study the surface properties of the samples. The low and high resolution XPS spectra were collected to evaluate the chemical composition before and after nanoparticle deposition. The SiO 2 nanocoated sample has the highest values of both O to C and C2 to C1 ratios, which indicates a high relative amount of hydroxyl groups. On the other hand, carbon C1 peak which represents the hydrocarbon type of bonds, is on higher level for TiO 2 when compared to the SiO 2 nanocoated sample. This may be related to the replacement of hydroxyl groups by aliphatic chains on the superhydrophobic surface of TiO 2 nanoparticle coated sample. © 2011 Elsevier B.V. All rights reserved.","author":[{"dropping-particle":"","family":"Stepien","given":"Milena","non-dropping-particle":"","parse-names":false,"suffix":""},{"dropping-particle":"","family":"Saarinen","given":"Jarkko J.","non-dropping-particle":"","parse-names":false,"suffix":""},{"dropping-particle":"","family":"Teisala","given":"Hannu","non-dropping-particle":"","parse-names":false,"suffix":""},{"dropping-particle":"","family":"Tuominen","given":"Mikko","non-dropping-particle":"","parse-names":false,"suffix":""},{"dropping-particle":"","family":"Aromaa","given":"Mikko","non-dropping-particle":"","parse-names":false,"suffix":""},{"dropping-particle":"","family":"Kuusipalo","given":"Jurkka","non-dropping-particle":"","parse-names":false,"suffix":""},{"dropping-particle":"","family":"Mäkelä","given":"Jyrki M.","non-dropping-particle":"","parse-names":false,"suffix":""},{"dropping-particle":"","family":"Toivakka","given":"Martti","non-dropping-particle":"","parse-names":false,"suffix":""}],"container-title":"Applied Surface Science","id":"ITEM-1","issue":"7","issued":{"date-parts":[["2012"]]},"page":"3119-3125","publisher":"Elsevier B.V.","title":"Surface chemical characterization of nanoparticle coated paperboard","type":"article-journal","volume":"258"},"uris":["http://www.mendeley.com/documents/?uuid=be337dce-df9e-44f9-90d5-f6f740765ebe"]}],"mendeley":{"formattedCitation":"&lt;sup&gt;67&lt;/sup&gt;","plainTextFormattedCitation":"67","previouslyFormattedCitation":"&lt;sup&gt;67&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67</w:t>
            </w:r>
            <w:r w:rsidRPr="00246FF5">
              <w:rPr>
                <w:rFonts w:eastAsia="Times New Roman" w:cs="Times New Roman"/>
                <w:color w:val="000000"/>
                <w:szCs w:val="24"/>
                <w:lang w:val="en-US"/>
              </w:rPr>
              <w:fldChar w:fldCharType="end"/>
            </w:r>
          </w:p>
        </w:tc>
      </w:tr>
      <w:tr w:rsidR="00F07199" w:rsidRPr="00246FF5" w14:paraId="74F3DEAC" w14:textId="77777777" w:rsidTr="00337282">
        <w:trPr>
          <w:trHeight w:val="290"/>
          <w:jc w:val="center"/>
        </w:trPr>
        <w:tc>
          <w:tcPr>
            <w:tcW w:w="766" w:type="dxa"/>
            <w:vMerge/>
            <w:tcBorders>
              <w:bottom w:val="single" w:sz="4" w:space="0" w:color="auto"/>
            </w:tcBorders>
            <w:vAlign w:val="center"/>
            <w:hideMark/>
          </w:tcPr>
          <w:p w14:paraId="6A9E865D"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ign w:val="center"/>
            <w:hideMark/>
          </w:tcPr>
          <w:p w14:paraId="5E957C91"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27D8BE43"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nil"/>
              <w:right w:val="nil"/>
            </w:tcBorders>
            <w:shd w:val="clear" w:color="auto" w:fill="FFFFFF" w:themeFill="background1"/>
            <w:noWrap/>
            <w:vAlign w:val="bottom"/>
            <w:hideMark/>
          </w:tcPr>
          <w:p w14:paraId="4107E648"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81</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2</w:t>
            </w:r>
          </w:p>
        </w:tc>
        <w:tc>
          <w:tcPr>
            <w:tcW w:w="2083" w:type="dxa"/>
            <w:vMerge/>
            <w:tcBorders>
              <w:bottom w:val="single" w:sz="4" w:space="0" w:color="auto"/>
            </w:tcBorders>
            <w:vAlign w:val="center"/>
            <w:hideMark/>
          </w:tcPr>
          <w:p w14:paraId="671A3F1B"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0ABB2DDF" w14:textId="77777777" w:rsidTr="00337282">
        <w:trPr>
          <w:trHeight w:val="290"/>
          <w:jc w:val="center"/>
        </w:trPr>
        <w:tc>
          <w:tcPr>
            <w:tcW w:w="766" w:type="dxa"/>
            <w:vMerge/>
            <w:tcBorders>
              <w:bottom w:val="single" w:sz="4" w:space="0" w:color="auto"/>
            </w:tcBorders>
            <w:vAlign w:val="center"/>
            <w:hideMark/>
          </w:tcPr>
          <w:p w14:paraId="4AB273F4"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ign w:val="center"/>
            <w:hideMark/>
          </w:tcPr>
          <w:p w14:paraId="3B174111"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0627F276"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nil"/>
              <w:right w:val="nil"/>
            </w:tcBorders>
            <w:shd w:val="clear" w:color="auto" w:fill="FFFFFF" w:themeFill="background1"/>
            <w:noWrap/>
            <w:vAlign w:val="bottom"/>
            <w:hideMark/>
          </w:tcPr>
          <w:p w14:paraId="458D3EB5"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62</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56AB752D"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485120DC" w14:textId="77777777" w:rsidTr="00337282">
        <w:trPr>
          <w:trHeight w:val="290"/>
          <w:jc w:val="center"/>
        </w:trPr>
        <w:tc>
          <w:tcPr>
            <w:tcW w:w="766" w:type="dxa"/>
            <w:vMerge/>
            <w:tcBorders>
              <w:bottom w:val="single" w:sz="4" w:space="0" w:color="auto"/>
            </w:tcBorders>
            <w:vAlign w:val="center"/>
            <w:hideMark/>
          </w:tcPr>
          <w:p w14:paraId="49DB746A"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030DED63"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4858B180"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Ethanol</w:t>
            </w:r>
          </w:p>
        </w:tc>
        <w:tc>
          <w:tcPr>
            <w:tcW w:w="1705" w:type="dxa"/>
            <w:tcBorders>
              <w:top w:val="nil"/>
              <w:left w:val="nil"/>
              <w:bottom w:val="nil"/>
              <w:right w:val="nil"/>
            </w:tcBorders>
            <w:shd w:val="clear" w:color="auto" w:fill="FFFFFF" w:themeFill="background1"/>
            <w:noWrap/>
            <w:vAlign w:val="bottom"/>
            <w:hideMark/>
          </w:tcPr>
          <w:p w14:paraId="0D9E60BC"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34</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21</w:t>
            </w:r>
          </w:p>
        </w:tc>
        <w:tc>
          <w:tcPr>
            <w:tcW w:w="2083" w:type="dxa"/>
            <w:vMerge/>
            <w:tcBorders>
              <w:bottom w:val="single" w:sz="4" w:space="0" w:color="auto"/>
            </w:tcBorders>
            <w:vAlign w:val="center"/>
            <w:hideMark/>
          </w:tcPr>
          <w:p w14:paraId="0FF1BFA0"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4C6C4935" w14:textId="77777777" w:rsidTr="00337282">
        <w:trPr>
          <w:trHeight w:val="290"/>
          <w:jc w:val="center"/>
        </w:trPr>
        <w:tc>
          <w:tcPr>
            <w:tcW w:w="766" w:type="dxa"/>
            <w:vMerge/>
            <w:tcBorders>
              <w:bottom w:val="single" w:sz="4" w:space="0" w:color="auto"/>
            </w:tcBorders>
            <w:vAlign w:val="center"/>
            <w:hideMark/>
          </w:tcPr>
          <w:p w14:paraId="6B66798D"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55520A10"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2043" w:type="dxa"/>
            <w:tcBorders>
              <w:top w:val="single" w:sz="4" w:space="0" w:color="auto"/>
              <w:left w:val="nil"/>
              <w:bottom w:val="nil"/>
              <w:right w:val="nil"/>
            </w:tcBorders>
            <w:shd w:val="clear" w:color="auto" w:fill="FFFFFF" w:themeFill="background1"/>
            <w:noWrap/>
            <w:vAlign w:val="center"/>
            <w:hideMark/>
          </w:tcPr>
          <w:p w14:paraId="4758DAC2"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single" w:sz="4" w:space="0" w:color="auto"/>
              <w:left w:val="nil"/>
              <w:bottom w:val="nil"/>
              <w:right w:val="nil"/>
            </w:tcBorders>
            <w:shd w:val="clear" w:color="auto" w:fill="FFFFFF" w:themeFill="background1"/>
            <w:noWrap/>
            <w:vAlign w:val="bottom"/>
            <w:hideMark/>
          </w:tcPr>
          <w:p w14:paraId="36CD213D"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56</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6</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7680F60D" w14:textId="0B2F1009"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50-65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10.1007/BF03218474","author":[{"dropping-particle":"","family":"Hwang","given":"J.S.","non-dropping-particle":"","parse-names":false,"suffix":""},{"dropping-particle":"","family":"Lee","given":"J.","non-dropping-particle":"","parse-names":false,"suffix":""},{"dropping-particle":"","family":"Chang","given":"Y.H.","non-dropping-particle":"","parse-names":false,"suffix":""}],"container-title":"Macromolecular Research","id":"ITEM-1","issued":{"date-parts":[["2005"]]},"page":"409-417","title":"Surface properties of silane-treated titania nanoparticles and their rheological behavior in silicone oil","type":"article-journal","volume":"13"},"uris":["http://www.mendeley.com/documents/?uuid=d9816d1e-d29c-4eaf-baaa-c1abd23eabc1"]}],"mendeley":{"formattedCitation":"&lt;sup&gt;51&lt;/sup&gt;","plainTextFormattedCitation":"51","previouslyFormattedCitation":"&lt;sup&gt;51&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51</w:t>
            </w:r>
            <w:r w:rsidRPr="00246FF5">
              <w:rPr>
                <w:rFonts w:eastAsia="Times New Roman" w:cs="Times New Roman"/>
                <w:color w:val="000000"/>
                <w:szCs w:val="24"/>
                <w:lang w:val="en-US"/>
              </w:rPr>
              <w:fldChar w:fldCharType="end"/>
            </w:r>
          </w:p>
        </w:tc>
      </w:tr>
      <w:tr w:rsidR="00F07199" w:rsidRPr="00246FF5" w14:paraId="7AD119A5" w14:textId="77777777" w:rsidTr="00337282">
        <w:trPr>
          <w:trHeight w:val="290"/>
          <w:jc w:val="center"/>
        </w:trPr>
        <w:tc>
          <w:tcPr>
            <w:tcW w:w="766" w:type="dxa"/>
            <w:vMerge/>
            <w:tcBorders>
              <w:bottom w:val="single" w:sz="4" w:space="0" w:color="auto"/>
            </w:tcBorders>
            <w:vAlign w:val="center"/>
            <w:hideMark/>
          </w:tcPr>
          <w:p w14:paraId="7141531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top w:val="single" w:sz="4" w:space="0" w:color="000000" w:themeColor="text1"/>
              <w:bottom w:val="single" w:sz="4" w:space="0" w:color="auto"/>
            </w:tcBorders>
            <w:vAlign w:val="center"/>
            <w:hideMark/>
          </w:tcPr>
          <w:p w14:paraId="721D7537"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6F26B37E"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single" w:sz="4" w:space="0" w:color="auto"/>
              <w:right w:val="nil"/>
            </w:tcBorders>
            <w:shd w:val="clear" w:color="auto" w:fill="FFFFFF" w:themeFill="background1"/>
            <w:noWrap/>
            <w:vAlign w:val="bottom"/>
            <w:hideMark/>
          </w:tcPr>
          <w:p w14:paraId="3AC0D3FF"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71</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4</w:t>
            </w:r>
          </w:p>
        </w:tc>
        <w:tc>
          <w:tcPr>
            <w:tcW w:w="2083" w:type="dxa"/>
            <w:vMerge/>
            <w:tcBorders>
              <w:top w:val="single" w:sz="4" w:space="0" w:color="000000" w:themeColor="text1"/>
              <w:bottom w:val="single" w:sz="4" w:space="0" w:color="auto"/>
            </w:tcBorders>
            <w:vAlign w:val="center"/>
            <w:hideMark/>
          </w:tcPr>
          <w:p w14:paraId="1291B4C8"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16EF66B4" w14:textId="77777777" w:rsidTr="00337282">
        <w:trPr>
          <w:trHeight w:val="290"/>
          <w:jc w:val="center"/>
        </w:trPr>
        <w:tc>
          <w:tcPr>
            <w:tcW w:w="766" w:type="dxa"/>
            <w:vMerge/>
            <w:tcBorders>
              <w:bottom w:val="single" w:sz="4" w:space="0" w:color="auto"/>
            </w:tcBorders>
            <w:vAlign w:val="center"/>
            <w:hideMark/>
          </w:tcPr>
          <w:p w14:paraId="42D1C999"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single" w:sz="4" w:space="0" w:color="auto"/>
              <w:left w:val="nil"/>
              <w:bottom w:val="single" w:sz="4" w:space="0" w:color="auto"/>
              <w:right w:val="nil"/>
            </w:tcBorders>
            <w:shd w:val="clear" w:color="auto" w:fill="FFFFFF" w:themeFill="background1"/>
            <w:noWrap/>
            <w:vAlign w:val="center"/>
            <w:hideMark/>
          </w:tcPr>
          <w:p w14:paraId="052FD9C3"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2043" w:type="dxa"/>
            <w:tcBorders>
              <w:top w:val="nil"/>
              <w:left w:val="nil"/>
              <w:bottom w:val="nil"/>
              <w:right w:val="nil"/>
            </w:tcBorders>
            <w:shd w:val="clear" w:color="auto" w:fill="FFFFFF" w:themeFill="background1"/>
            <w:noWrap/>
            <w:vAlign w:val="center"/>
            <w:hideMark/>
          </w:tcPr>
          <w:p w14:paraId="17C1C5E4"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nil"/>
              <w:right w:val="nil"/>
            </w:tcBorders>
            <w:shd w:val="clear" w:color="auto" w:fill="FFFFFF" w:themeFill="background1"/>
            <w:noWrap/>
            <w:vAlign w:val="bottom"/>
            <w:hideMark/>
          </w:tcPr>
          <w:p w14:paraId="7FD16A35"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62</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tcBorders>
              <w:top w:val="single" w:sz="4" w:space="0" w:color="auto"/>
              <w:left w:val="nil"/>
              <w:bottom w:val="single" w:sz="4" w:space="0" w:color="auto"/>
              <w:right w:val="nil"/>
            </w:tcBorders>
            <w:shd w:val="clear" w:color="auto" w:fill="FFFFFF" w:themeFill="background1"/>
            <w:hideMark/>
          </w:tcPr>
          <w:p w14:paraId="1FE45DCE" w14:textId="6CEAE8EF"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38-50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10.1007/BF03218474","author":[{"dropping-particle":"","family":"Hwang","given":"J.S.","non-dropping-particle":"","parse-names":false,"suffix":""},{"dropping-particle":"","family":"Lee","given":"J.","non-dropping-particle":"","parse-names":false,"suffix":""},{"dropping-particle":"","family":"Chang","given":"Y.H.","non-dropping-particle":"","parse-names":false,"suffix":""}],"container-title":"Macromolecular Research","id":"ITEM-1","issued":{"date-parts":[["2005"]]},"page":"409-417","title":"Surface properties of silane-treated titania nanoparticles and their rheological behavior in silicone oil","type":"article-journal","volume":"13"},"uris":["http://www.mendeley.com/documents/?uuid=d9816d1e-d29c-4eaf-baaa-c1abd23eabc1"]}],"mendeley":{"formattedCitation":"&lt;sup&gt;51&lt;/sup&gt;","plainTextFormattedCitation":"51","previouslyFormattedCitation":"&lt;sup&gt;51&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51</w:t>
            </w:r>
            <w:r w:rsidRPr="00246FF5">
              <w:rPr>
                <w:rFonts w:eastAsia="Times New Roman" w:cs="Times New Roman"/>
                <w:color w:val="000000"/>
                <w:szCs w:val="24"/>
                <w:lang w:val="en-US"/>
              </w:rPr>
              <w:fldChar w:fldCharType="end"/>
            </w:r>
          </w:p>
        </w:tc>
      </w:tr>
      <w:tr w:rsidR="00F07199" w:rsidRPr="00246FF5" w14:paraId="2B925ABD" w14:textId="77777777" w:rsidTr="00337282">
        <w:trPr>
          <w:trHeight w:val="290"/>
          <w:jc w:val="center"/>
        </w:trPr>
        <w:tc>
          <w:tcPr>
            <w:tcW w:w="766" w:type="dxa"/>
            <w:vMerge/>
            <w:tcBorders>
              <w:bottom w:val="single" w:sz="4" w:space="0" w:color="auto"/>
            </w:tcBorders>
            <w:vAlign w:val="center"/>
            <w:hideMark/>
          </w:tcPr>
          <w:p w14:paraId="7943CA13"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38AC2E11"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Water</w:t>
            </w:r>
          </w:p>
        </w:tc>
        <w:tc>
          <w:tcPr>
            <w:tcW w:w="2043" w:type="dxa"/>
            <w:tcBorders>
              <w:top w:val="single" w:sz="4" w:space="0" w:color="auto"/>
              <w:left w:val="nil"/>
              <w:bottom w:val="nil"/>
              <w:right w:val="nil"/>
            </w:tcBorders>
            <w:shd w:val="clear" w:color="auto" w:fill="FFFFFF" w:themeFill="background1"/>
            <w:noWrap/>
            <w:vAlign w:val="center"/>
            <w:hideMark/>
          </w:tcPr>
          <w:p w14:paraId="4070230F"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single" w:sz="4" w:space="0" w:color="auto"/>
              <w:left w:val="nil"/>
              <w:bottom w:val="nil"/>
              <w:right w:val="nil"/>
            </w:tcBorders>
            <w:shd w:val="clear" w:color="auto" w:fill="FFFFFF" w:themeFill="background1"/>
            <w:noWrap/>
            <w:vAlign w:val="center"/>
            <w:hideMark/>
          </w:tcPr>
          <w:p w14:paraId="28FDCAF8"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84</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2</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2B6061BD" w14:textId="47BB1A1D"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70-81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10.1007/BF03218474","author":[{"dropping-particle":"","family":"Hwang","given":"J.S.","non-dropping-particle":"","parse-names":false,"suffix":""},{"dropping-particle":"","family":"Lee","given":"J.","non-dropping-particle":"","parse-names":false,"suffix":""},{"dropping-particle":"","family":"Chang","given":"Y.H.","non-dropping-particle":"","parse-names":false,"suffix":""}],"container-title":"Macromolecular Research","id":"ITEM-1","issued":{"date-parts":[["2005"]]},"page":"409-417","title":"Surface properties of silane-treated titania nanoparticles and their rheological behavior in silicone oil","type":"article-journal","volume":"13"},"uris":["http://www.mendeley.com/documents/?uuid=d9816d1e-d29c-4eaf-baaa-c1abd23eabc1"]}],"mendeley":{"formattedCitation":"&lt;sup&gt;51&lt;/sup&gt;","plainTextFormattedCitation":"51","previouslyFormattedCitation":"&lt;sup&gt;51&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51</w:t>
            </w:r>
            <w:r w:rsidRPr="00246FF5">
              <w:rPr>
                <w:rFonts w:eastAsia="Times New Roman" w:cs="Times New Roman"/>
                <w:color w:val="000000"/>
                <w:szCs w:val="24"/>
                <w:lang w:val="en-US"/>
              </w:rPr>
              <w:fldChar w:fldCharType="end"/>
            </w:r>
          </w:p>
        </w:tc>
      </w:tr>
      <w:tr w:rsidR="00F07199" w:rsidRPr="00246FF5" w14:paraId="69A8C127" w14:textId="77777777" w:rsidTr="00337282">
        <w:trPr>
          <w:trHeight w:val="290"/>
          <w:jc w:val="center"/>
        </w:trPr>
        <w:tc>
          <w:tcPr>
            <w:tcW w:w="766" w:type="dxa"/>
            <w:vMerge/>
            <w:tcBorders>
              <w:bottom w:val="single" w:sz="4" w:space="0" w:color="auto"/>
            </w:tcBorders>
            <w:vAlign w:val="center"/>
            <w:hideMark/>
          </w:tcPr>
          <w:p w14:paraId="28AFDEA7"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7DFD65E9"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7D3B9327"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1705" w:type="dxa"/>
            <w:tcBorders>
              <w:top w:val="nil"/>
              <w:left w:val="nil"/>
              <w:bottom w:val="nil"/>
              <w:right w:val="nil"/>
            </w:tcBorders>
            <w:shd w:val="clear" w:color="auto" w:fill="FFFFFF" w:themeFill="background1"/>
            <w:noWrap/>
            <w:vAlign w:val="center"/>
            <w:hideMark/>
          </w:tcPr>
          <w:p w14:paraId="71893494"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67</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5</w:t>
            </w:r>
          </w:p>
        </w:tc>
        <w:tc>
          <w:tcPr>
            <w:tcW w:w="2083" w:type="dxa"/>
            <w:vMerge/>
            <w:tcBorders>
              <w:bottom w:val="single" w:sz="4" w:space="0" w:color="auto"/>
            </w:tcBorders>
            <w:vAlign w:val="center"/>
            <w:hideMark/>
          </w:tcPr>
          <w:p w14:paraId="37B303E2"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3DBDF183" w14:textId="77777777" w:rsidTr="00337282">
        <w:trPr>
          <w:trHeight w:val="290"/>
          <w:jc w:val="center"/>
        </w:trPr>
        <w:tc>
          <w:tcPr>
            <w:tcW w:w="766" w:type="dxa"/>
            <w:vMerge/>
            <w:tcBorders>
              <w:bottom w:val="single" w:sz="4" w:space="0" w:color="auto"/>
            </w:tcBorders>
            <w:vAlign w:val="center"/>
            <w:hideMark/>
          </w:tcPr>
          <w:p w14:paraId="0A06DD0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4459D937"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45EEE900"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nil"/>
              <w:right w:val="nil"/>
            </w:tcBorders>
            <w:shd w:val="clear" w:color="auto" w:fill="FFFFFF" w:themeFill="background1"/>
            <w:noWrap/>
            <w:vAlign w:val="center"/>
            <w:hideMark/>
          </w:tcPr>
          <w:p w14:paraId="796D6C8E"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86</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75EA6F54"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56B0AE42" w14:textId="77777777" w:rsidTr="00337282">
        <w:trPr>
          <w:trHeight w:val="290"/>
          <w:jc w:val="center"/>
        </w:trPr>
        <w:tc>
          <w:tcPr>
            <w:tcW w:w="766" w:type="dxa"/>
            <w:vMerge/>
            <w:tcBorders>
              <w:bottom w:val="single" w:sz="4" w:space="0" w:color="auto"/>
            </w:tcBorders>
            <w:vAlign w:val="center"/>
            <w:hideMark/>
          </w:tcPr>
          <w:p w14:paraId="3AE6FC24"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4A63CAD8"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71698B2B"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nil"/>
              <w:right w:val="nil"/>
            </w:tcBorders>
            <w:shd w:val="clear" w:color="auto" w:fill="FFFFFF" w:themeFill="background1"/>
            <w:noWrap/>
            <w:vAlign w:val="center"/>
            <w:hideMark/>
          </w:tcPr>
          <w:p w14:paraId="790CF47E"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79</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2</w:t>
            </w:r>
          </w:p>
        </w:tc>
        <w:tc>
          <w:tcPr>
            <w:tcW w:w="2083" w:type="dxa"/>
            <w:vMerge/>
            <w:tcBorders>
              <w:bottom w:val="single" w:sz="4" w:space="0" w:color="auto"/>
            </w:tcBorders>
            <w:vAlign w:val="center"/>
            <w:hideMark/>
          </w:tcPr>
          <w:p w14:paraId="010C79FE"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5BB8B4D4" w14:textId="77777777" w:rsidTr="00337282">
        <w:trPr>
          <w:trHeight w:val="290"/>
          <w:jc w:val="center"/>
        </w:trPr>
        <w:tc>
          <w:tcPr>
            <w:tcW w:w="766" w:type="dxa"/>
            <w:vMerge/>
            <w:tcBorders>
              <w:bottom w:val="single" w:sz="4" w:space="0" w:color="auto"/>
            </w:tcBorders>
            <w:vAlign w:val="center"/>
            <w:hideMark/>
          </w:tcPr>
          <w:p w14:paraId="531A0187"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27B97E6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1232C72E"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Ethanol</w:t>
            </w:r>
          </w:p>
        </w:tc>
        <w:tc>
          <w:tcPr>
            <w:tcW w:w="1705" w:type="dxa"/>
            <w:tcBorders>
              <w:top w:val="nil"/>
              <w:left w:val="nil"/>
              <w:bottom w:val="single" w:sz="4" w:space="0" w:color="auto"/>
              <w:right w:val="nil"/>
            </w:tcBorders>
            <w:shd w:val="clear" w:color="auto" w:fill="FFFFFF" w:themeFill="background1"/>
            <w:noWrap/>
            <w:vAlign w:val="center"/>
            <w:hideMark/>
          </w:tcPr>
          <w:p w14:paraId="410FE50F"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73</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19D356E1"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6D81564C" w14:textId="77777777" w:rsidTr="00337282">
        <w:trPr>
          <w:trHeight w:val="290"/>
          <w:jc w:val="center"/>
        </w:trPr>
        <w:tc>
          <w:tcPr>
            <w:tcW w:w="766" w:type="dxa"/>
            <w:vMerge/>
            <w:tcBorders>
              <w:bottom w:val="single" w:sz="4" w:space="0" w:color="auto"/>
            </w:tcBorders>
            <w:vAlign w:val="center"/>
            <w:hideMark/>
          </w:tcPr>
          <w:p w14:paraId="57FE009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466A211C"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Ethanol</w:t>
            </w:r>
          </w:p>
        </w:tc>
        <w:tc>
          <w:tcPr>
            <w:tcW w:w="2043" w:type="dxa"/>
            <w:tcBorders>
              <w:top w:val="nil"/>
              <w:left w:val="nil"/>
              <w:bottom w:val="nil"/>
              <w:right w:val="nil"/>
            </w:tcBorders>
            <w:shd w:val="clear" w:color="auto" w:fill="FFFFFF" w:themeFill="background1"/>
            <w:noWrap/>
            <w:vAlign w:val="center"/>
            <w:hideMark/>
          </w:tcPr>
          <w:p w14:paraId="7085111A"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nil"/>
              <w:right w:val="nil"/>
            </w:tcBorders>
            <w:shd w:val="clear" w:color="auto" w:fill="FFFFFF" w:themeFill="background1"/>
            <w:noWrap/>
            <w:vAlign w:val="center"/>
            <w:hideMark/>
          </w:tcPr>
          <w:p w14:paraId="3BEDFBCC"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68</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10</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33E18392" w14:textId="77777777"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w:t>
            </w:r>
          </w:p>
        </w:tc>
      </w:tr>
      <w:tr w:rsidR="00F07199" w:rsidRPr="00246FF5" w14:paraId="2A48F7B4" w14:textId="77777777" w:rsidTr="00337282">
        <w:trPr>
          <w:trHeight w:val="290"/>
          <w:jc w:val="center"/>
        </w:trPr>
        <w:tc>
          <w:tcPr>
            <w:tcW w:w="766" w:type="dxa"/>
            <w:vMerge/>
            <w:tcBorders>
              <w:bottom w:val="single" w:sz="4" w:space="0" w:color="auto"/>
            </w:tcBorders>
            <w:vAlign w:val="center"/>
            <w:hideMark/>
          </w:tcPr>
          <w:p w14:paraId="15D88EC8"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2FEA5B29"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4CB7F8D4"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nil"/>
              <w:right w:val="nil"/>
            </w:tcBorders>
            <w:shd w:val="clear" w:color="auto" w:fill="FFFFFF" w:themeFill="background1"/>
            <w:noWrap/>
            <w:vAlign w:val="center"/>
            <w:hideMark/>
          </w:tcPr>
          <w:p w14:paraId="48D1BB0D"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77</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6</w:t>
            </w:r>
          </w:p>
        </w:tc>
        <w:tc>
          <w:tcPr>
            <w:tcW w:w="2083" w:type="dxa"/>
            <w:vMerge/>
            <w:tcBorders>
              <w:bottom w:val="single" w:sz="4" w:space="0" w:color="auto"/>
            </w:tcBorders>
            <w:vAlign w:val="center"/>
            <w:hideMark/>
          </w:tcPr>
          <w:p w14:paraId="3101B9FD"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17ACD0D6" w14:textId="77777777" w:rsidTr="00337282">
        <w:trPr>
          <w:trHeight w:val="290"/>
          <w:jc w:val="center"/>
        </w:trPr>
        <w:tc>
          <w:tcPr>
            <w:tcW w:w="766" w:type="dxa"/>
            <w:vMerge/>
            <w:tcBorders>
              <w:bottom w:val="single" w:sz="4" w:space="0" w:color="auto"/>
            </w:tcBorders>
            <w:vAlign w:val="center"/>
            <w:hideMark/>
          </w:tcPr>
          <w:p w14:paraId="4C53713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382BD128"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0403B484"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single" w:sz="4" w:space="0" w:color="auto"/>
              <w:right w:val="nil"/>
            </w:tcBorders>
            <w:shd w:val="clear" w:color="auto" w:fill="FFFFFF" w:themeFill="background1"/>
            <w:noWrap/>
            <w:vAlign w:val="center"/>
            <w:hideMark/>
          </w:tcPr>
          <w:p w14:paraId="1D30DC49"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48</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12</w:t>
            </w:r>
          </w:p>
        </w:tc>
        <w:tc>
          <w:tcPr>
            <w:tcW w:w="2083" w:type="dxa"/>
            <w:vMerge/>
            <w:tcBorders>
              <w:bottom w:val="single" w:sz="4" w:space="0" w:color="auto"/>
            </w:tcBorders>
            <w:vAlign w:val="center"/>
            <w:hideMark/>
          </w:tcPr>
          <w:p w14:paraId="767F9610"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3CF911E5" w14:textId="77777777" w:rsidTr="00337282">
        <w:trPr>
          <w:trHeight w:val="290"/>
          <w:jc w:val="center"/>
        </w:trPr>
        <w:tc>
          <w:tcPr>
            <w:tcW w:w="766" w:type="dxa"/>
            <w:vMerge w:val="restart"/>
            <w:tcBorders>
              <w:top w:val="single" w:sz="4" w:space="0" w:color="auto"/>
              <w:left w:val="nil"/>
              <w:bottom w:val="single" w:sz="4" w:space="0" w:color="auto"/>
              <w:right w:val="nil"/>
            </w:tcBorders>
            <w:shd w:val="clear" w:color="auto" w:fill="FFFFFF" w:themeFill="background1"/>
            <w:noWrap/>
            <w:textDirection w:val="btLr"/>
            <w:vAlign w:val="center"/>
            <w:hideMark/>
          </w:tcPr>
          <w:p w14:paraId="5BD4604E"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TiO2 (100nm)</w:t>
            </w: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7D7F83DF"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2043" w:type="dxa"/>
            <w:tcBorders>
              <w:top w:val="nil"/>
              <w:left w:val="nil"/>
              <w:bottom w:val="nil"/>
              <w:right w:val="nil"/>
            </w:tcBorders>
            <w:shd w:val="clear" w:color="auto" w:fill="FFFFFF" w:themeFill="background1"/>
            <w:noWrap/>
            <w:vAlign w:val="center"/>
            <w:hideMark/>
          </w:tcPr>
          <w:p w14:paraId="1FF305AA"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nil"/>
              <w:right w:val="nil"/>
            </w:tcBorders>
            <w:shd w:val="clear" w:color="auto" w:fill="FFFFFF" w:themeFill="background1"/>
            <w:noWrap/>
            <w:vAlign w:val="bottom"/>
            <w:hideMark/>
          </w:tcPr>
          <w:p w14:paraId="492D03C7"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61</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5</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5EF6CBE6" w14:textId="77A8670F"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16.3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{"citationItems":[{"id":"ITEM-1","itemData":{"DOI":"10.13140/RG.2.1.1355.4324","author":[{"dropping-particle":"","family":"J. Lee","given":"Y. H. Chang Hwang","non-dropping-particle":"","parse-names":false,"suffix":""}],"id":"ITEM-1","issued":{"date-parts":[["2011","8","25"]]},"publisher":"University of Washtington","title":"Surface modification and characterization of zinc oxide for use in organic photovaltaic devices","type":"thesis"},"uris":["http://www.mendeley.com/documents/?uuid=f9f93739-70c7-49e3-b899-3ca6c05f49dd"]}],"mendeley":{"formattedCitation":"&lt;sup&gt;66&lt;/sup&gt;","plainTextFormattedCitation":"66","previouslyFormattedCitation":"&lt;sup&gt;66&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66</w:t>
            </w:r>
            <w:r w:rsidRPr="00246FF5">
              <w:rPr>
                <w:rFonts w:eastAsia="Times New Roman" w:cs="Times New Roman"/>
                <w:color w:val="000000"/>
                <w:szCs w:val="24"/>
                <w:lang w:val="en-US"/>
              </w:rPr>
              <w:fldChar w:fldCharType="end"/>
            </w:r>
          </w:p>
        </w:tc>
      </w:tr>
      <w:tr w:rsidR="00F07199" w:rsidRPr="00246FF5" w14:paraId="1B8FB533" w14:textId="77777777" w:rsidTr="00337282">
        <w:trPr>
          <w:trHeight w:val="290"/>
          <w:jc w:val="center"/>
        </w:trPr>
        <w:tc>
          <w:tcPr>
            <w:tcW w:w="766" w:type="dxa"/>
            <w:vMerge/>
            <w:vAlign w:val="center"/>
            <w:hideMark/>
          </w:tcPr>
          <w:p w14:paraId="3A3041C7"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top w:val="single" w:sz="4" w:space="0" w:color="000000" w:themeColor="text1"/>
              <w:bottom w:val="single" w:sz="4" w:space="0" w:color="auto"/>
            </w:tcBorders>
            <w:vAlign w:val="center"/>
            <w:hideMark/>
          </w:tcPr>
          <w:p w14:paraId="685842FC"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1D0EB9A1"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single" w:sz="4" w:space="0" w:color="auto"/>
              <w:right w:val="nil"/>
            </w:tcBorders>
            <w:shd w:val="clear" w:color="auto" w:fill="FFFFFF" w:themeFill="background1"/>
            <w:noWrap/>
            <w:vAlign w:val="bottom"/>
            <w:hideMark/>
          </w:tcPr>
          <w:p w14:paraId="58F42789"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43</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13</w:t>
            </w:r>
          </w:p>
        </w:tc>
        <w:tc>
          <w:tcPr>
            <w:tcW w:w="2083" w:type="dxa"/>
            <w:vMerge/>
            <w:tcBorders>
              <w:top w:val="single" w:sz="4" w:space="0" w:color="000000" w:themeColor="text1"/>
              <w:bottom w:val="single" w:sz="4" w:space="0" w:color="auto"/>
            </w:tcBorders>
            <w:vAlign w:val="center"/>
            <w:hideMark/>
          </w:tcPr>
          <w:p w14:paraId="299D88A4"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254E5D7C" w14:textId="77777777" w:rsidTr="00337282">
        <w:trPr>
          <w:trHeight w:val="290"/>
          <w:jc w:val="center"/>
        </w:trPr>
        <w:tc>
          <w:tcPr>
            <w:tcW w:w="766" w:type="dxa"/>
            <w:vMerge/>
            <w:vAlign w:val="center"/>
            <w:hideMark/>
          </w:tcPr>
          <w:p w14:paraId="7327332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41E23FE7"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2043" w:type="dxa"/>
            <w:tcBorders>
              <w:top w:val="nil"/>
              <w:left w:val="nil"/>
              <w:bottom w:val="nil"/>
              <w:right w:val="nil"/>
            </w:tcBorders>
            <w:shd w:val="clear" w:color="auto" w:fill="FFFFFF" w:themeFill="background1"/>
            <w:noWrap/>
            <w:vAlign w:val="center"/>
            <w:hideMark/>
          </w:tcPr>
          <w:p w14:paraId="1FBA4794"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nil"/>
              <w:right w:val="nil"/>
            </w:tcBorders>
            <w:shd w:val="clear" w:color="auto" w:fill="FFFFFF" w:themeFill="background1"/>
            <w:noWrap/>
            <w:vAlign w:val="bottom"/>
            <w:hideMark/>
          </w:tcPr>
          <w:p w14:paraId="4858B741"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71</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8</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0E7B2530" w14:textId="4AC5DECC"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50-65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10.1007/BF03218474","author":[{"dropping-particle":"","family":"Hwang","given":"J.S.","non-dropping-particle":"","parse-names":false,"suffix":""},{"dropping-particle":"","family":"Lee","given":"J.","non-dropping-particle":"","parse-names":false,"suffix":""},{"dropping-particle":"","family":"Chang","given":"Y.H.","non-dropping-particle":"","parse-names":false,"suffix":""}],"container-title":"Macromolecular Research","id":"ITEM-1","issued":{"date-parts":[["2005"]]},"page":"409-417","title":"Surface properties of silane-treated titania nanoparticles and their rheological behavior in silicone oil","type":"article-journal","volume":"13"},"uris":["http://www.mendeley.com/documents/?uuid=d9816d1e-d29c-4eaf-baaa-c1abd23eabc1"]}],"mendeley":{"formattedCitation":"&lt;sup&gt;51&lt;/sup&gt;","plainTextFormattedCitation":"51","previouslyFormattedCitation":"&lt;sup&gt;51&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51</w:t>
            </w:r>
            <w:r w:rsidRPr="00246FF5">
              <w:rPr>
                <w:rFonts w:eastAsia="Times New Roman" w:cs="Times New Roman"/>
                <w:color w:val="000000"/>
                <w:szCs w:val="24"/>
                <w:lang w:val="en-US"/>
              </w:rPr>
              <w:fldChar w:fldCharType="end"/>
            </w:r>
          </w:p>
        </w:tc>
      </w:tr>
      <w:tr w:rsidR="00F07199" w:rsidRPr="00246FF5" w14:paraId="20095BB3" w14:textId="77777777" w:rsidTr="00337282">
        <w:trPr>
          <w:trHeight w:val="290"/>
          <w:jc w:val="center"/>
        </w:trPr>
        <w:tc>
          <w:tcPr>
            <w:tcW w:w="766" w:type="dxa"/>
            <w:vMerge/>
            <w:vAlign w:val="center"/>
            <w:hideMark/>
          </w:tcPr>
          <w:p w14:paraId="4A65169E"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23218A8F"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58CD5DA6"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1705" w:type="dxa"/>
            <w:tcBorders>
              <w:top w:val="nil"/>
              <w:left w:val="nil"/>
              <w:bottom w:val="nil"/>
              <w:right w:val="nil"/>
            </w:tcBorders>
            <w:shd w:val="clear" w:color="auto" w:fill="FFFFFF" w:themeFill="background1"/>
            <w:noWrap/>
            <w:vAlign w:val="bottom"/>
            <w:hideMark/>
          </w:tcPr>
          <w:p w14:paraId="598E9101"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49</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13</w:t>
            </w:r>
          </w:p>
        </w:tc>
        <w:tc>
          <w:tcPr>
            <w:tcW w:w="2083" w:type="dxa"/>
            <w:vMerge/>
            <w:tcBorders>
              <w:bottom w:val="single" w:sz="4" w:space="0" w:color="auto"/>
            </w:tcBorders>
            <w:vAlign w:val="center"/>
            <w:hideMark/>
          </w:tcPr>
          <w:p w14:paraId="4D5DBC30"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2D51874B" w14:textId="77777777" w:rsidTr="00337282">
        <w:trPr>
          <w:trHeight w:val="290"/>
          <w:jc w:val="center"/>
        </w:trPr>
        <w:tc>
          <w:tcPr>
            <w:tcW w:w="766" w:type="dxa"/>
            <w:vMerge/>
            <w:vAlign w:val="center"/>
            <w:hideMark/>
          </w:tcPr>
          <w:p w14:paraId="220FA8D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4DCCE62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48A6E3F3"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single" w:sz="4" w:space="0" w:color="auto"/>
              <w:right w:val="nil"/>
            </w:tcBorders>
            <w:shd w:val="clear" w:color="auto" w:fill="FFFFFF" w:themeFill="background1"/>
            <w:noWrap/>
            <w:vAlign w:val="center"/>
            <w:hideMark/>
          </w:tcPr>
          <w:p w14:paraId="4583C36F"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60</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14</w:t>
            </w:r>
          </w:p>
        </w:tc>
        <w:tc>
          <w:tcPr>
            <w:tcW w:w="2083" w:type="dxa"/>
            <w:vMerge/>
            <w:tcBorders>
              <w:bottom w:val="single" w:sz="4" w:space="0" w:color="auto"/>
            </w:tcBorders>
            <w:vAlign w:val="center"/>
            <w:hideMark/>
          </w:tcPr>
          <w:p w14:paraId="6AED5136"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0B7A65EE" w14:textId="77777777" w:rsidTr="00337282">
        <w:trPr>
          <w:trHeight w:val="290"/>
          <w:jc w:val="center"/>
        </w:trPr>
        <w:tc>
          <w:tcPr>
            <w:tcW w:w="766" w:type="dxa"/>
            <w:vMerge/>
            <w:vAlign w:val="center"/>
            <w:hideMark/>
          </w:tcPr>
          <w:p w14:paraId="2BC019B2"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single" w:sz="4" w:space="0" w:color="auto"/>
              <w:left w:val="nil"/>
              <w:bottom w:val="single" w:sz="4" w:space="0" w:color="auto"/>
              <w:right w:val="nil"/>
            </w:tcBorders>
            <w:shd w:val="clear" w:color="auto" w:fill="FFFFFF" w:themeFill="background1"/>
            <w:noWrap/>
            <w:vAlign w:val="center"/>
            <w:hideMark/>
          </w:tcPr>
          <w:p w14:paraId="03A68627"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2043" w:type="dxa"/>
            <w:tcBorders>
              <w:top w:val="nil"/>
              <w:left w:val="nil"/>
              <w:bottom w:val="nil"/>
              <w:right w:val="nil"/>
            </w:tcBorders>
            <w:shd w:val="clear" w:color="auto" w:fill="FFFFFF" w:themeFill="background1"/>
            <w:noWrap/>
            <w:vAlign w:val="center"/>
            <w:hideMark/>
          </w:tcPr>
          <w:p w14:paraId="26753A65"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bottom w:val="nil"/>
              <w:right w:val="nil"/>
            </w:tcBorders>
            <w:shd w:val="clear" w:color="auto" w:fill="FFFFFF" w:themeFill="background1"/>
            <w:noWrap/>
            <w:vAlign w:val="bottom"/>
            <w:hideMark/>
          </w:tcPr>
          <w:p w14:paraId="7A4DFF51"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47</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2</w:t>
            </w:r>
          </w:p>
        </w:tc>
        <w:tc>
          <w:tcPr>
            <w:tcW w:w="2083" w:type="dxa"/>
            <w:tcBorders>
              <w:top w:val="single" w:sz="4" w:space="0" w:color="auto"/>
              <w:left w:val="nil"/>
              <w:bottom w:val="single" w:sz="4" w:space="0" w:color="auto"/>
              <w:right w:val="nil"/>
            </w:tcBorders>
            <w:shd w:val="clear" w:color="auto" w:fill="FFFFFF" w:themeFill="background1"/>
            <w:hideMark/>
          </w:tcPr>
          <w:p w14:paraId="1D48C355" w14:textId="1E0BCF75"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38-50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10.1007/BF03218474","author":[{"dropping-particle":"","family":"Hwang","given":"J.S.","non-dropping-particle":"","parse-names":false,"suffix":""},{"dropping-particle":"","family":"Lee","given":"J.","non-dropping-particle":"","parse-names":false,"suffix":""},{"dropping-particle":"","family":"Chang","given":"Y.H.","non-dropping-particle":"","parse-names":false,"suffix":""}],"container-title":"Macromolecular Research","id":"ITEM-1","issued":{"date-parts":[["2005"]]},"page":"409-417","title":"Surface properties of silane-treated titania nanoparticles and their rheological behavior in silicone oil","type":"article-journal","volume":"13"},"uris":["http://www.mendeley.com/documents/?uuid=d9816d1e-d29c-4eaf-baaa-c1abd23eabc1"]}],"mendeley":{"formattedCitation":"&lt;sup&gt;51&lt;/sup&gt;","plainTextFormattedCitation":"51","previouslyFormattedCitation":"&lt;sup&gt;51&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51</w:t>
            </w:r>
            <w:r w:rsidRPr="00246FF5">
              <w:rPr>
                <w:rFonts w:eastAsia="Times New Roman" w:cs="Times New Roman"/>
                <w:color w:val="000000"/>
                <w:szCs w:val="24"/>
                <w:lang w:val="en-US"/>
              </w:rPr>
              <w:fldChar w:fldCharType="end"/>
            </w:r>
          </w:p>
        </w:tc>
      </w:tr>
      <w:tr w:rsidR="00F07199" w:rsidRPr="00246FF5" w14:paraId="67637F5A" w14:textId="77777777" w:rsidTr="00337282">
        <w:trPr>
          <w:trHeight w:val="290"/>
          <w:jc w:val="center"/>
        </w:trPr>
        <w:tc>
          <w:tcPr>
            <w:tcW w:w="766" w:type="dxa"/>
            <w:vMerge/>
            <w:vAlign w:val="center"/>
            <w:hideMark/>
          </w:tcPr>
          <w:p w14:paraId="71A50AF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63A285B6"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Water</w:t>
            </w:r>
          </w:p>
        </w:tc>
        <w:tc>
          <w:tcPr>
            <w:tcW w:w="2043" w:type="dxa"/>
            <w:tcBorders>
              <w:top w:val="single" w:sz="4" w:space="0" w:color="auto"/>
              <w:left w:val="nil"/>
              <w:bottom w:val="nil"/>
              <w:right w:val="nil"/>
            </w:tcBorders>
            <w:shd w:val="clear" w:color="auto" w:fill="FFFFFF" w:themeFill="background1"/>
            <w:noWrap/>
            <w:vAlign w:val="center"/>
            <w:hideMark/>
          </w:tcPr>
          <w:p w14:paraId="6CF08B2E"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single" w:sz="4" w:space="0" w:color="auto"/>
              <w:left w:val="nil"/>
              <w:bottom w:val="nil"/>
              <w:right w:val="nil"/>
            </w:tcBorders>
            <w:shd w:val="clear" w:color="auto" w:fill="FFFFFF" w:themeFill="background1"/>
            <w:noWrap/>
            <w:vAlign w:val="bottom"/>
            <w:hideMark/>
          </w:tcPr>
          <w:p w14:paraId="63184B69"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82</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3611E3F8" w14:textId="0690EC59"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xml:space="preserve">70-81 </w:t>
            </w:r>
            <w:r w:rsidRPr="00246FF5">
              <w:rPr>
                <w:rFonts w:eastAsia="Times New Roman" w:cs="Times New Roman"/>
                <w:color w:val="000000"/>
                <w:szCs w:val="24"/>
                <w:lang w:val="en-US"/>
              </w:rPr>
              <w:fldChar w:fldCharType="begin" w:fldLock="1"/>
            </w:r>
            <w:r w:rsidR="004871C8">
              <w:rPr>
                <w:rFonts w:eastAsia="Times New Roman" w:cs="Times New Roman"/>
                <w:color w:val="000000"/>
                <w:szCs w:val="24"/>
                <w:lang w:val="en-US"/>
              </w:rPr>
              <w:instrText>ADDIN CSL_CITATION {"citationItems":[{"id":"ITEM-1","itemData":{"DOI":"10.1007/BF03218474","author":[{"dropping-particle":"","family":"Hwang","given":"J.S.","non-dropping-particle":"","parse-names":false,"suffix":""},{"dropping-particle":"","family":"Lee","given":"J.","non-dropping-particle":"","parse-names":false,"suffix":""},{"dropping-particle":"","family":"Chang","given":"Y.H.","non-dropping-particle":"","parse-names":false,"suffix":""}],"container-title":"Macromolecular Research","id":"ITEM-1","issued":{"date-parts":[["2005"]]},"page":"409-417","title":"Surface properties of silane-treated titania nanoparticles and their rheological behavior in silicone oil","type":"article-journal","volume":"13"},"uris":["http://www.mendeley.com/documents/?uuid=d9816d1e-d29c-4eaf-baaa-c1abd23eabc1"]}],"mendeley":{"formattedCitation":"&lt;sup&gt;51&lt;/sup&gt;","plainTextFormattedCitation":"51","previouslyFormattedCitation":"&lt;sup&gt;51&lt;/sup&gt;"},"properties":{"noteIndex":0},"schema":"https://github.com/citation-style-language/schema/raw/master/csl-citation.json"}</w:instrText>
            </w:r>
            <w:r w:rsidRPr="00246FF5">
              <w:rPr>
                <w:rFonts w:eastAsia="Times New Roman" w:cs="Times New Roman"/>
                <w:color w:val="000000"/>
                <w:szCs w:val="24"/>
                <w:lang w:val="en-US"/>
              </w:rPr>
              <w:fldChar w:fldCharType="separate"/>
            </w:r>
            <w:r w:rsidR="00B01517" w:rsidRPr="00B01517">
              <w:rPr>
                <w:rFonts w:eastAsia="Times New Roman" w:cs="Times New Roman"/>
                <w:noProof/>
                <w:color w:val="000000"/>
                <w:szCs w:val="24"/>
                <w:vertAlign w:val="superscript"/>
                <w:lang w:val="en-US"/>
              </w:rPr>
              <w:t>51</w:t>
            </w:r>
            <w:r w:rsidRPr="00246FF5">
              <w:rPr>
                <w:rFonts w:eastAsia="Times New Roman" w:cs="Times New Roman"/>
                <w:color w:val="000000"/>
                <w:szCs w:val="24"/>
                <w:lang w:val="en-US"/>
              </w:rPr>
              <w:fldChar w:fldCharType="end"/>
            </w:r>
          </w:p>
        </w:tc>
      </w:tr>
      <w:tr w:rsidR="00F07199" w:rsidRPr="00246FF5" w14:paraId="485F82B3" w14:textId="77777777" w:rsidTr="00337282">
        <w:trPr>
          <w:trHeight w:val="290"/>
          <w:jc w:val="center"/>
        </w:trPr>
        <w:tc>
          <w:tcPr>
            <w:tcW w:w="766" w:type="dxa"/>
            <w:vMerge/>
            <w:vAlign w:val="center"/>
            <w:hideMark/>
          </w:tcPr>
          <w:p w14:paraId="6F198CDD"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423DED13"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5CBCD63B"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1705" w:type="dxa"/>
            <w:tcBorders>
              <w:top w:val="nil"/>
              <w:left w:val="nil"/>
              <w:bottom w:val="nil"/>
              <w:right w:val="nil"/>
            </w:tcBorders>
            <w:shd w:val="clear" w:color="auto" w:fill="FFFFFF" w:themeFill="background1"/>
            <w:noWrap/>
            <w:vAlign w:val="bottom"/>
            <w:hideMark/>
          </w:tcPr>
          <w:p w14:paraId="53737797"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73</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w:t>
            </w:r>
          </w:p>
        </w:tc>
        <w:tc>
          <w:tcPr>
            <w:tcW w:w="2083" w:type="dxa"/>
            <w:vMerge/>
            <w:tcBorders>
              <w:bottom w:val="single" w:sz="4" w:space="0" w:color="auto"/>
            </w:tcBorders>
            <w:vAlign w:val="center"/>
            <w:hideMark/>
          </w:tcPr>
          <w:p w14:paraId="0FBFB3C0"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09247303" w14:textId="77777777" w:rsidTr="00337282">
        <w:trPr>
          <w:trHeight w:val="290"/>
          <w:jc w:val="center"/>
        </w:trPr>
        <w:tc>
          <w:tcPr>
            <w:tcW w:w="766" w:type="dxa"/>
            <w:vMerge/>
            <w:vAlign w:val="center"/>
            <w:hideMark/>
          </w:tcPr>
          <w:p w14:paraId="1325DE7A"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2ED4B2CE"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30DC636D"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top w:val="nil"/>
              <w:left w:val="nil"/>
              <w:bottom w:val="nil"/>
              <w:right w:val="nil"/>
            </w:tcBorders>
            <w:shd w:val="clear" w:color="auto" w:fill="FFFFFF" w:themeFill="background1"/>
            <w:noWrap/>
            <w:vAlign w:val="bottom"/>
            <w:hideMark/>
          </w:tcPr>
          <w:p w14:paraId="11DF173B"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78</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2</w:t>
            </w:r>
          </w:p>
        </w:tc>
        <w:tc>
          <w:tcPr>
            <w:tcW w:w="2083" w:type="dxa"/>
            <w:vMerge/>
            <w:tcBorders>
              <w:bottom w:val="single" w:sz="4" w:space="0" w:color="auto"/>
            </w:tcBorders>
            <w:vAlign w:val="center"/>
            <w:hideMark/>
          </w:tcPr>
          <w:p w14:paraId="368AE29D"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0F1BF7A6" w14:textId="77777777" w:rsidTr="00337282">
        <w:trPr>
          <w:trHeight w:val="290"/>
          <w:jc w:val="center"/>
        </w:trPr>
        <w:tc>
          <w:tcPr>
            <w:tcW w:w="766" w:type="dxa"/>
            <w:vMerge/>
            <w:vAlign w:val="center"/>
            <w:hideMark/>
          </w:tcPr>
          <w:p w14:paraId="565CE2A0"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446EF83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nil"/>
              <w:right w:val="nil"/>
            </w:tcBorders>
            <w:shd w:val="clear" w:color="auto" w:fill="FFFFFF" w:themeFill="background1"/>
            <w:noWrap/>
            <w:vAlign w:val="center"/>
            <w:hideMark/>
          </w:tcPr>
          <w:p w14:paraId="7035BCAF"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nil"/>
              <w:right w:val="nil"/>
            </w:tcBorders>
            <w:shd w:val="clear" w:color="auto" w:fill="FFFFFF" w:themeFill="background1"/>
            <w:noWrap/>
            <w:vAlign w:val="center"/>
            <w:hideMark/>
          </w:tcPr>
          <w:p w14:paraId="589469D4"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60</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10</w:t>
            </w:r>
          </w:p>
        </w:tc>
        <w:tc>
          <w:tcPr>
            <w:tcW w:w="2083" w:type="dxa"/>
            <w:vMerge/>
            <w:tcBorders>
              <w:bottom w:val="single" w:sz="4" w:space="0" w:color="auto"/>
            </w:tcBorders>
            <w:vAlign w:val="center"/>
            <w:hideMark/>
          </w:tcPr>
          <w:p w14:paraId="50ACC55A"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264C1593" w14:textId="77777777" w:rsidTr="00337282">
        <w:trPr>
          <w:trHeight w:val="290"/>
          <w:jc w:val="center"/>
        </w:trPr>
        <w:tc>
          <w:tcPr>
            <w:tcW w:w="766" w:type="dxa"/>
            <w:vMerge/>
            <w:vAlign w:val="center"/>
            <w:hideMark/>
          </w:tcPr>
          <w:p w14:paraId="3EF848A3"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bottom w:val="single" w:sz="4" w:space="0" w:color="auto"/>
            </w:tcBorders>
            <w:vAlign w:val="center"/>
            <w:hideMark/>
          </w:tcPr>
          <w:p w14:paraId="56076AEF"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759E24DE"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Ethanol</w:t>
            </w:r>
          </w:p>
        </w:tc>
        <w:tc>
          <w:tcPr>
            <w:tcW w:w="1705" w:type="dxa"/>
            <w:tcBorders>
              <w:top w:val="nil"/>
              <w:left w:val="nil"/>
              <w:bottom w:val="single" w:sz="4" w:space="0" w:color="auto"/>
              <w:right w:val="nil"/>
            </w:tcBorders>
            <w:shd w:val="clear" w:color="auto" w:fill="FFFFFF" w:themeFill="background1"/>
            <w:noWrap/>
            <w:vAlign w:val="center"/>
            <w:hideMark/>
          </w:tcPr>
          <w:p w14:paraId="4EF954E1"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41</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15</w:t>
            </w:r>
          </w:p>
        </w:tc>
        <w:tc>
          <w:tcPr>
            <w:tcW w:w="2083" w:type="dxa"/>
            <w:vMerge/>
            <w:tcBorders>
              <w:bottom w:val="single" w:sz="4" w:space="0" w:color="auto"/>
            </w:tcBorders>
            <w:vAlign w:val="center"/>
            <w:hideMark/>
          </w:tcPr>
          <w:p w14:paraId="4E3A1BDF"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50815C29" w14:textId="77777777" w:rsidTr="00337282">
        <w:trPr>
          <w:trHeight w:val="290"/>
          <w:jc w:val="center"/>
        </w:trPr>
        <w:tc>
          <w:tcPr>
            <w:tcW w:w="766" w:type="dxa"/>
            <w:vMerge/>
            <w:vAlign w:val="center"/>
            <w:hideMark/>
          </w:tcPr>
          <w:p w14:paraId="4FE480E4"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val="restart"/>
            <w:tcBorders>
              <w:top w:val="single" w:sz="4" w:space="0" w:color="auto"/>
              <w:left w:val="nil"/>
              <w:bottom w:val="single" w:sz="4" w:space="0" w:color="auto"/>
              <w:right w:val="nil"/>
            </w:tcBorders>
            <w:shd w:val="clear" w:color="auto" w:fill="FFFFFF" w:themeFill="background1"/>
            <w:noWrap/>
            <w:vAlign w:val="center"/>
            <w:hideMark/>
          </w:tcPr>
          <w:p w14:paraId="0C319887"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Ethanol</w:t>
            </w:r>
          </w:p>
        </w:tc>
        <w:tc>
          <w:tcPr>
            <w:tcW w:w="2043" w:type="dxa"/>
            <w:tcBorders>
              <w:top w:val="nil"/>
              <w:left w:val="nil"/>
              <w:right w:val="nil"/>
            </w:tcBorders>
            <w:shd w:val="clear" w:color="auto" w:fill="FFFFFF" w:themeFill="background1"/>
            <w:noWrap/>
            <w:vAlign w:val="center"/>
            <w:hideMark/>
          </w:tcPr>
          <w:p w14:paraId="65B52385"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1705" w:type="dxa"/>
            <w:tcBorders>
              <w:top w:val="nil"/>
              <w:left w:val="nil"/>
              <w:right w:val="nil"/>
            </w:tcBorders>
            <w:shd w:val="clear" w:color="auto" w:fill="FFFFFF" w:themeFill="background1"/>
            <w:noWrap/>
            <w:vAlign w:val="bottom"/>
            <w:hideMark/>
          </w:tcPr>
          <w:p w14:paraId="71209329"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78</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4</w:t>
            </w:r>
          </w:p>
        </w:tc>
        <w:tc>
          <w:tcPr>
            <w:tcW w:w="2083" w:type="dxa"/>
            <w:vMerge w:val="restart"/>
            <w:tcBorders>
              <w:top w:val="single" w:sz="4" w:space="0" w:color="auto"/>
              <w:left w:val="nil"/>
              <w:bottom w:val="single" w:sz="4" w:space="0" w:color="auto"/>
              <w:right w:val="nil"/>
            </w:tcBorders>
            <w:shd w:val="clear" w:color="auto" w:fill="FFFFFF" w:themeFill="background1"/>
            <w:hideMark/>
          </w:tcPr>
          <w:p w14:paraId="09BA70AD" w14:textId="77777777" w:rsidR="00F07199" w:rsidRPr="00246FF5" w:rsidRDefault="00F07199" w:rsidP="00CC2C28">
            <w:pPr>
              <w:spacing w:after="0" w:line="240" w:lineRule="auto"/>
              <w:jc w:val="right"/>
              <w:rPr>
                <w:rFonts w:eastAsia="Times New Roman" w:cs="Times New Roman"/>
                <w:color w:val="000000"/>
                <w:szCs w:val="24"/>
                <w:lang w:val="en-US"/>
              </w:rPr>
            </w:pPr>
            <w:r w:rsidRPr="00246FF5">
              <w:rPr>
                <w:rFonts w:eastAsia="Times New Roman" w:cs="Times New Roman"/>
                <w:color w:val="000000"/>
                <w:szCs w:val="24"/>
                <w:lang w:val="en-US"/>
              </w:rPr>
              <w:t> </w:t>
            </w:r>
          </w:p>
        </w:tc>
      </w:tr>
      <w:tr w:rsidR="00F07199" w:rsidRPr="00246FF5" w14:paraId="6FA4E8C1" w14:textId="77777777" w:rsidTr="00337282">
        <w:trPr>
          <w:trHeight w:val="290"/>
          <w:jc w:val="center"/>
        </w:trPr>
        <w:tc>
          <w:tcPr>
            <w:tcW w:w="766" w:type="dxa"/>
            <w:vMerge/>
            <w:vAlign w:val="center"/>
            <w:hideMark/>
          </w:tcPr>
          <w:p w14:paraId="0DB97D65"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top w:val="single" w:sz="4" w:space="0" w:color="auto"/>
              <w:bottom w:val="single" w:sz="4" w:space="0" w:color="auto"/>
            </w:tcBorders>
            <w:vAlign w:val="center"/>
            <w:hideMark/>
          </w:tcPr>
          <w:p w14:paraId="200C3FC5"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right w:val="nil"/>
            </w:tcBorders>
            <w:shd w:val="clear" w:color="auto" w:fill="FFFFFF" w:themeFill="background1"/>
            <w:noWrap/>
            <w:vAlign w:val="center"/>
            <w:hideMark/>
          </w:tcPr>
          <w:p w14:paraId="10F72543"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1705" w:type="dxa"/>
            <w:tcBorders>
              <w:top w:val="nil"/>
              <w:left w:val="nil"/>
              <w:right w:val="nil"/>
            </w:tcBorders>
            <w:shd w:val="clear" w:color="auto" w:fill="FFFFFF" w:themeFill="background1"/>
            <w:noWrap/>
            <w:vAlign w:val="bottom"/>
            <w:hideMark/>
          </w:tcPr>
          <w:p w14:paraId="745D33C2"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66</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5</w:t>
            </w:r>
          </w:p>
        </w:tc>
        <w:tc>
          <w:tcPr>
            <w:tcW w:w="2083" w:type="dxa"/>
            <w:vMerge/>
            <w:tcBorders>
              <w:top w:val="single" w:sz="4" w:space="0" w:color="auto"/>
              <w:bottom w:val="single" w:sz="4" w:space="0" w:color="auto"/>
            </w:tcBorders>
            <w:vAlign w:val="center"/>
            <w:hideMark/>
          </w:tcPr>
          <w:p w14:paraId="36979110"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27037B43" w14:textId="77777777" w:rsidTr="00337282">
        <w:trPr>
          <w:trHeight w:val="290"/>
          <w:jc w:val="center"/>
        </w:trPr>
        <w:tc>
          <w:tcPr>
            <w:tcW w:w="766" w:type="dxa"/>
            <w:vMerge/>
            <w:vAlign w:val="center"/>
            <w:hideMark/>
          </w:tcPr>
          <w:p w14:paraId="24821B11"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top w:val="single" w:sz="4" w:space="0" w:color="auto"/>
              <w:bottom w:val="single" w:sz="4" w:space="0" w:color="auto"/>
            </w:tcBorders>
            <w:vAlign w:val="center"/>
            <w:hideMark/>
          </w:tcPr>
          <w:p w14:paraId="2E5524D5"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left w:val="nil"/>
              <w:bottom w:val="nil"/>
              <w:right w:val="nil"/>
            </w:tcBorders>
            <w:shd w:val="clear" w:color="auto" w:fill="FFFFFF" w:themeFill="background1"/>
            <w:noWrap/>
            <w:vAlign w:val="center"/>
            <w:hideMark/>
          </w:tcPr>
          <w:p w14:paraId="1372C810"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1705" w:type="dxa"/>
            <w:tcBorders>
              <w:left w:val="nil"/>
              <w:bottom w:val="nil"/>
              <w:right w:val="nil"/>
            </w:tcBorders>
            <w:shd w:val="clear" w:color="auto" w:fill="FFFFFF" w:themeFill="background1"/>
            <w:noWrap/>
            <w:vAlign w:val="bottom"/>
            <w:hideMark/>
          </w:tcPr>
          <w:p w14:paraId="3571C8A2"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72</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7</w:t>
            </w:r>
          </w:p>
        </w:tc>
        <w:tc>
          <w:tcPr>
            <w:tcW w:w="2083" w:type="dxa"/>
            <w:vMerge/>
            <w:tcBorders>
              <w:top w:val="single" w:sz="4" w:space="0" w:color="auto"/>
              <w:bottom w:val="single" w:sz="4" w:space="0" w:color="auto"/>
            </w:tcBorders>
            <w:vAlign w:val="center"/>
            <w:hideMark/>
          </w:tcPr>
          <w:p w14:paraId="692AB8E1" w14:textId="77777777" w:rsidR="00F07199" w:rsidRPr="00246FF5" w:rsidRDefault="00F07199" w:rsidP="00CC2C28">
            <w:pPr>
              <w:spacing w:after="0" w:line="240" w:lineRule="auto"/>
              <w:rPr>
                <w:rFonts w:eastAsia="Times New Roman" w:cs="Times New Roman"/>
                <w:color w:val="000000"/>
                <w:szCs w:val="24"/>
                <w:lang w:val="en-US"/>
              </w:rPr>
            </w:pPr>
          </w:p>
        </w:tc>
      </w:tr>
      <w:tr w:rsidR="00F07199" w:rsidRPr="00246FF5" w14:paraId="01F5BC28" w14:textId="77777777" w:rsidTr="00337282">
        <w:trPr>
          <w:trHeight w:val="290"/>
          <w:jc w:val="center"/>
        </w:trPr>
        <w:tc>
          <w:tcPr>
            <w:tcW w:w="766" w:type="dxa"/>
            <w:vMerge/>
            <w:vAlign w:val="center"/>
            <w:hideMark/>
          </w:tcPr>
          <w:p w14:paraId="4B9C85EB"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vMerge/>
            <w:tcBorders>
              <w:top w:val="single" w:sz="4" w:space="0" w:color="auto"/>
              <w:bottom w:val="single" w:sz="4" w:space="0" w:color="auto"/>
            </w:tcBorders>
            <w:vAlign w:val="center"/>
            <w:hideMark/>
          </w:tcPr>
          <w:p w14:paraId="4ECA5446" w14:textId="77777777" w:rsidR="00F07199" w:rsidRPr="00246FF5" w:rsidRDefault="00F07199" w:rsidP="00CC2C28">
            <w:pPr>
              <w:spacing w:after="0" w:line="240" w:lineRule="auto"/>
              <w:rPr>
                <w:rFonts w:eastAsia="Times New Roman" w:cs="Times New Roman"/>
                <w:color w:val="000000"/>
                <w:szCs w:val="24"/>
                <w:lang w:val="en-US"/>
              </w:rPr>
            </w:pPr>
          </w:p>
        </w:tc>
        <w:tc>
          <w:tcPr>
            <w:tcW w:w="2043" w:type="dxa"/>
            <w:tcBorders>
              <w:top w:val="nil"/>
              <w:left w:val="nil"/>
              <w:bottom w:val="single" w:sz="4" w:space="0" w:color="auto"/>
              <w:right w:val="nil"/>
            </w:tcBorders>
            <w:shd w:val="clear" w:color="auto" w:fill="FFFFFF" w:themeFill="background1"/>
            <w:noWrap/>
            <w:vAlign w:val="center"/>
            <w:hideMark/>
          </w:tcPr>
          <w:p w14:paraId="430FDB58" w14:textId="77777777" w:rsidR="00F07199" w:rsidRPr="00246FF5" w:rsidRDefault="00F07199" w:rsidP="00CC2C28">
            <w:pPr>
              <w:spacing w:after="0" w:line="240" w:lineRule="auto"/>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1705" w:type="dxa"/>
            <w:tcBorders>
              <w:top w:val="nil"/>
              <w:left w:val="nil"/>
              <w:bottom w:val="single" w:sz="4" w:space="0" w:color="auto"/>
              <w:right w:val="nil"/>
            </w:tcBorders>
            <w:shd w:val="clear" w:color="auto" w:fill="FFFFFF" w:themeFill="background1"/>
            <w:noWrap/>
            <w:vAlign w:val="center"/>
            <w:hideMark/>
          </w:tcPr>
          <w:p w14:paraId="525E979C" w14:textId="77777777" w:rsidR="00F07199" w:rsidRPr="00246FF5" w:rsidRDefault="00F07199" w:rsidP="00CC2C28">
            <w:pPr>
              <w:spacing w:after="0" w:line="240" w:lineRule="auto"/>
              <w:jc w:val="right"/>
              <w:rPr>
                <w:rFonts w:eastAsia="Times New Roman" w:cs="Times New Roman"/>
                <w:color w:val="000000" w:themeColor="text1"/>
                <w:szCs w:val="24"/>
                <w:lang w:val="en-US"/>
              </w:rPr>
            </w:pPr>
            <w:r w:rsidRPr="00246FF5">
              <w:rPr>
                <w:rFonts w:eastAsia="Times New Roman" w:cs="Times New Roman"/>
                <w:color w:val="000000" w:themeColor="text1"/>
                <w:szCs w:val="24"/>
                <w:lang w:val="en-US"/>
              </w:rPr>
              <w:t>49</w:t>
            </w:r>
            <w:r>
              <w:rPr>
                <w:rFonts w:eastAsia="Times New Roman" w:cs="Times New Roman"/>
                <w:color w:val="000000" w:themeColor="text1"/>
                <w:szCs w:val="24"/>
                <w:lang w:val="en-US"/>
              </w:rPr>
              <w:t xml:space="preserve"> </w:t>
            </w:r>
            <w:r w:rsidRPr="00425851">
              <w:rPr>
                <w:rFonts w:eastAsia="Times New Roman" w:cs="Times New Roman"/>
                <w:color w:val="000000" w:themeColor="text1"/>
                <w:szCs w:val="24"/>
                <w:lang w:val="en-US"/>
              </w:rPr>
              <w:t>±</w:t>
            </w:r>
            <w:r>
              <w:rPr>
                <w:rFonts w:eastAsia="Times New Roman" w:cs="Times New Roman"/>
                <w:color w:val="000000" w:themeColor="text1"/>
                <w:szCs w:val="24"/>
                <w:lang w:val="en-US"/>
              </w:rPr>
              <w:t xml:space="preserve"> 4</w:t>
            </w:r>
          </w:p>
        </w:tc>
        <w:tc>
          <w:tcPr>
            <w:tcW w:w="2083" w:type="dxa"/>
            <w:vMerge/>
            <w:tcBorders>
              <w:top w:val="single" w:sz="4" w:space="0" w:color="auto"/>
              <w:bottom w:val="single" w:sz="4" w:space="0" w:color="auto"/>
            </w:tcBorders>
            <w:vAlign w:val="center"/>
            <w:hideMark/>
          </w:tcPr>
          <w:p w14:paraId="11EB10F2" w14:textId="77777777" w:rsidR="00F07199" w:rsidRPr="00246FF5" w:rsidRDefault="00F07199" w:rsidP="00CC2C28">
            <w:pPr>
              <w:spacing w:after="0" w:line="240" w:lineRule="auto"/>
              <w:rPr>
                <w:rFonts w:eastAsia="Times New Roman" w:cs="Times New Roman"/>
                <w:color w:val="000000"/>
                <w:szCs w:val="24"/>
                <w:lang w:val="en-US"/>
              </w:rPr>
            </w:pPr>
          </w:p>
        </w:tc>
      </w:tr>
    </w:tbl>
    <w:p w14:paraId="627CFE52" w14:textId="77777777" w:rsidR="00DA6A08" w:rsidRDefault="00DA6A08" w:rsidP="00F07199">
      <w:pPr>
        <w:jc w:val="both"/>
        <w:rPr>
          <w:rFonts w:cs="Times New Roman"/>
          <w:szCs w:val="24"/>
          <w:lang w:val="en-US"/>
        </w:rPr>
      </w:pPr>
    </w:p>
    <w:p w14:paraId="6E5CE2CA" w14:textId="77777777" w:rsidR="00F07199" w:rsidRPr="00246FF5" w:rsidRDefault="00F07199" w:rsidP="00F07199">
      <w:pPr>
        <w:jc w:val="both"/>
        <w:rPr>
          <w:rFonts w:cs="Times New Roman"/>
          <w:szCs w:val="24"/>
          <w:lang w:val="en-US"/>
        </w:rPr>
      </w:pPr>
      <w:r>
        <w:rPr>
          <w:noProof/>
          <w:lang w:val="en-US"/>
        </w:rPr>
        <w:drawing>
          <wp:inline distT="0" distB="0" distL="0" distR="0" wp14:anchorId="6B432150" wp14:editId="28E7987A">
            <wp:extent cx="5289550" cy="4425950"/>
            <wp:effectExtent l="0" t="0" r="6350" b="12700"/>
            <wp:docPr id="8" name="Chart 8">
              <a:extLst xmlns:a="http://schemas.openxmlformats.org/drawingml/2006/main">
                <a:ext uri="{FF2B5EF4-FFF2-40B4-BE49-F238E27FC236}">
                  <a16:creationId xmlns:a16="http://schemas.microsoft.com/office/drawing/2014/main" id="{8E8B22EE-435F-422E-834A-5AB14580A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9455489" w14:textId="031D1D01" w:rsidR="00781EBB" w:rsidRDefault="007B6A93" w:rsidP="00781EBB">
      <w:pPr>
        <w:jc w:val="both"/>
        <w:rPr>
          <w:noProof/>
          <w:lang w:val="en-US"/>
        </w:rPr>
      </w:pPr>
      <w:r w:rsidRPr="008A5068">
        <w:rPr>
          <w:rFonts w:cs="Times New Roman"/>
          <w:b/>
          <w:bCs/>
          <w:color w:val="4F81BD" w:themeColor="accent1"/>
          <w:szCs w:val="24"/>
          <w:lang w:val="en-US"/>
        </w:rPr>
        <w:fldChar w:fldCharType="begin"/>
      </w:r>
      <w:r w:rsidRPr="008A5068">
        <w:rPr>
          <w:rFonts w:cs="Times New Roman"/>
          <w:b/>
          <w:bCs/>
          <w:color w:val="4F81BD" w:themeColor="accent1"/>
          <w:szCs w:val="24"/>
          <w:lang w:val="en-US"/>
        </w:rPr>
        <w:instrText xml:space="preserve"> REF _Ref36305003 \h </w:instrText>
      </w:r>
      <w:r w:rsidR="008A5068" w:rsidRPr="008A5068">
        <w:rPr>
          <w:rFonts w:cs="Times New Roman"/>
          <w:b/>
          <w:bCs/>
          <w:color w:val="4F81BD" w:themeColor="accent1"/>
          <w:szCs w:val="24"/>
          <w:lang w:val="en-US"/>
        </w:rPr>
        <w:instrText xml:space="preserve"> \* MERGEFORMAT </w:instrText>
      </w:r>
      <w:r w:rsidRPr="008A5068">
        <w:rPr>
          <w:rFonts w:cs="Times New Roman"/>
          <w:b/>
          <w:bCs/>
          <w:color w:val="4F81BD" w:themeColor="accent1"/>
          <w:szCs w:val="24"/>
          <w:lang w:val="en-US"/>
        </w:rPr>
      </w:r>
      <w:r w:rsidRPr="008A5068">
        <w:rPr>
          <w:rFonts w:cs="Times New Roman"/>
          <w:b/>
          <w:bCs/>
          <w:color w:val="4F81BD" w:themeColor="accent1"/>
          <w:szCs w:val="24"/>
          <w:lang w:val="en-US"/>
        </w:rPr>
        <w:fldChar w:fldCharType="separate"/>
      </w:r>
      <w:r w:rsidR="0008188F" w:rsidRPr="0008188F">
        <w:rPr>
          <w:b/>
          <w:bCs/>
          <w:color w:val="4F81BD" w:themeColor="accent1"/>
          <w:lang w:val="en-US"/>
        </w:rPr>
        <w:t xml:space="preserve">Figure </w:t>
      </w:r>
      <w:r w:rsidR="0008188F" w:rsidRPr="0008188F">
        <w:rPr>
          <w:b/>
          <w:bCs/>
          <w:noProof/>
          <w:color w:val="4F81BD" w:themeColor="accent1"/>
          <w:lang w:val="en-US"/>
        </w:rPr>
        <w:t>10</w:t>
      </w:r>
      <w:r w:rsidRPr="008A5068">
        <w:rPr>
          <w:rFonts w:cs="Times New Roman"/>
          <w:b/>
          <w:bCs/>
          <w:color w:val="4F81BD" w:themeColor="accent1"/>
          <w:szCs w:val="24"/>
          <w:lang w:val="en-US"/>
        </w:rPr>
        <w:fldChar w:fldCharType="end"/>
      </w:r>
      <w:r w:rsidR="00976F0C" w:rsidRPr="008A5068">
        <w:rPr>
          <w:rFonts w:cs="Times New Roman"/>
          <w:b/>
          <w:bCs/>
          <w:color w:val="4F81BD" w:themeColor="accent1"/>
          <w:szCs w:val="24"/>
          <w:lang w:val="en-US"/>
        </w:rPr>
        <w:t>B</w:t>
      </w:r>
      <w:r w:rsidR="002003DD">
        <w:rPr>
          <w:rFonts w:cs="Times New Roman"/>
          <w:b/>
          <w:bCs/>
          <w:color w:val="4F81BD" w:themeColor="accent1"/>
          <w:szCs w:val="24"/>
          <w:lang w:val="en-US"/>
        </w:rPr>
        <w:t xml:space="preserve"> </w:t>
      </w:r>
      <w:r w:rsidR="00781EBB" w:rsidRPr="00246FF5">
        <w:rPr>
          <w:rFonts w:cs="Times New Roman"/>
          <w:szCs w:val="24"/>
          <w:lang w:val="en-US"/>
        </w:rPr>
        <w:t>– Experimental contact angle versus literature contact angle with elimination of data &gt;90 degrees and diiodomethane.</w:t>
      </w:r>
      <w:r w:rsidR="00781EBB">
        <w:rPr>
          <w:rFonts w:cs="Times New Roman"/>
          <w:szCs w:val="24"/>
          <w:lang w:val="en-US"/>
        </w:rPr>
        <w:t xml:space="preserve"> A clear linear relationship can be seen giving a correlation value of 0.82 and a slope of 0.97. The literature values are an average of the contact angle values using different measurement methods on a variety of surface types.</w:t>
      </w:r>
      <w:r w:rsidR="00781EBB" w:rsidRPr="007731C9">
        <w:rPr>
          <w:noProof/>
          <w:lang w:val="en-US"/>
        </w:rPr>
        <w:t xml:space="preserve"> </w:t>
      </w:r>
    </w:p>
    <w:p w14:paraId="3CE99A5D" w14:textId="5EC74377" w:rsidR="00F07199" w:rsidRPr="003243F4" w:rsidRDefault="00F07199" w:rsidP="00F07199">
      <w:pPr>
        <w:spacing w:after="0" w:line="480" w:lineRule="auto"/>
        <w:jc w:val="both"/>
        <w:rPr>
          <w:rFonts w:cs="Times New Roman"/>
          <w:b/>
          <w:szCs w:val="24"/>
          <w:lang w:val="en-US"/>
        </w:rPr>
      </w:pPr>
      <w:r>
        <w:rPr>
          <w:rFonts w:cs="Times New Roman"/>
          <w:szCs w:val="24"/>
          <w:lang w:val="en-US"/>
        </w:rPr>
        <w:t>Previous studie</w:t>
      </w:r>
      <w:r w:rsidR="00144ABC">
        <w:rPr>
          <w:rFonts w:cs="Times New Roman"/>
          <w:szCs w:val="24"/>
          <w:lang w:val="en-US"/>
        </w:rPr>
        <w:t>s</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{"citationItems":[{"id":"ITEM-1","itemData":{"DOI":"https://doi.org/10.1016/j.powtec.2010.11.012","ISSN":"0032-5910","abstract":"In the present study the effects of the particle shape, size and size distribution on the wetting behavior of soft magnetic micropowders are investigated. For this purpose, capillary rise experiments based on Washburn theory for contact angle determination were conducted using capillary rise method in standard tensiometer. Two particle materials were used—spherical Iron Silicon particles (FeSi) and irregular shaped Magnetite particles (Fe3O4) with the following particle size distributions: 0–20, 20–40, 40–63, 63–80 and 80–100μm. Moreover, standard liquids of varying surface tensions were used to investigate the effect of liquid properties on the wetting behavior. It was found that larger particle sizes yield lower contact angles and consequently improved wetting. Similarly, with constant particle size, FeSi particles exhibit lower contact angles compared to Fe3O4 particles due to their regular particle shape. Finally, effect of liquid was such that lower liquid surface tension results in lower contact angles.","author":[{"dropping-particle":"","family":"Kirchberg","given":"S","non-dropping-particle":"","parse-names":false,"suffix":""},{"dropping-particle":"","family":"Abdin","given":"Y","non-dropping-particle":"","parse-names":false,"suffix":""},{"dropping-particle":"","family":"Ziegmann","given":"G","non-dropping-particle":"","parse-names":false,"suffix":""}],"container-title":"Powder Technology","id":"ITEM-1","issue":"1","issued":{"date-parts":[["2011"]]},"page":"311-317","title":"Influence of particle shape and size on the wetting behavior of soft magnetic micropowders","type":"article-journal","volume":"207"},"uris":["http://www.mendeley.com/documents/?uuid=5565d011-85a5-4327-8f79-97623eeddc85"]},{"id":"ITEM-2","itemData":{"DOI":"https://doi.org/10.1016/j.surfcoat.2017.12.005","ISSN":"0257-8972","abstract":"This paper presents findings concerning the influence of the grain size of titanium on its surface properties and on the efficiency of surface treatments. The investigations were performed on titanium grade 2 of two grain sizes. The chemical composition and chemical state of the surface were analyzed by X-ray photoelectron spectroscopy. Different types of surface treatment were applied: plasma nitriding, and a combination of chemical and mechanical modifications using etching with hydrofluoric acid and shot peening. The effect of the grain size on surface treatments was evaluated through roughness quantification, hardness measurements, and observations of the surface and microstructure. The investigations showed that grain size influences the wettability and surface free energy of titanium grade 2. A reduction in grain size is beneficial for the effectiveness of plasma nitriding. The results also indicate that the grain size of titanium grade 2 affects the surface morphology after shot peening and chemical etching with HF acid; these various methods make it possible to modify the surface roughness of titanium over a wide range. The present paper demonstrates that grain size affects the surface properties of titanium grade 2 and can be used as an additional parameter in optimizing the microstructure and properties of surface layers and coatings.","author":[{"dropping-particle":"","family":"Garbacz","given":"H","non-dropping-particle":"","parse-names":false,"suffix":""},{"dropping-particle":"","family":"Wieciński","given":"P","non-dropping-particle":"","parse-names":false,"suffix":""},{"dropping-particle":"","family":"Kuczyńska","given":"D","non-dropping-particle":"","parse-names":false,"suffix":""},{"dropping-particle":"","family":"Kubacka","given":"D","non-dropping-particle":"","parse-names":false,"suffix":""},{"dropping-particle":"","family":"Kurzydłowski","given":"K J","non-dropping-particle":"","parse-names":false,"suffix":""}],"container-title":"Surface and Coatings Technology","id":"ITEM-2","issued":{"date-parts":[["2018"]]},"page":"13-24","title":"The effect of grain size on the surface properties of titanium grade 2 after different treatments","type":"article-journal","volume":"335"},"uris":["http://www.mendeley.com/documents/?uuid=e6786149-d17b-4633-b534-e41f76097ac9"]},{"id":"ITEM-3","itemData":{"DOI":"10.1016/j.jcis.2013.01.033","author":[{"dropping-particle":"","family":"Kirdponpattara","given":"Suchata","non-dropping-particle":"","parse-names":false,"suffix":""},{"dropping-particle":"","family":"Phisalaphong","given":"Muenduen","non-dropping-particle":"","parse-names":false,"suffix":""},{"dropping-particle":"","family":"Zhang Newby","given":"Bi-min","non-dropping-particle":"","parse-names":false,"suffix":""}],"container-title":"Journal of colloid and interface science","id":"ITEM-3","issued":{"date-parts":[["2013","1","29"]]},"title":"Applicability of washburn capillary rise for determining contact angles of powders and porous materials","type":"article-journal","volume":"397"},"uris":["http://www.mendeley.com/documents/?uuid=0ac7ad96-2933-4503-89ec-c7e236caa82b"]}],"mendeley":{"formattedCitation":"&lt;sup&gt;68–70&lt;/sup&gt;","plainTextFormattedCitation":"68–70","previouslyFormattedCitation":"&lt;sup&gt;68–70&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bCs/>
          <w:noProof/>
          <w:szCs w:val="24"/>
          <w:vertAlign w:val="superscript"/>
          <w:lang w:val="en-US"/>
        </w:rPr>
        <w:t>68–70</w:t>
      </w:r>
      <w:r>
        <w:rPr>
          <w:rStyle w:val="FootnoteReference"/>
          <w:rFonts w:cs="Times New Roman"/>
          <w:szCs w:val="24"/>
          <w:lang w:val="en-US"/>
        </w:rPr>
        <w:fldChar w:fldCharType="end"/>
      </w:r>
      <w:r>
        <w:rPr>
          <w:rFonts w:cs="Times New Roman"/>
          <w:szCs w:val="24"/>
          <w:lang w:val="en-US"/>
        </w:rPr>
        <w:t xml:space="preserve"> investigating the effects of particle size and shapes on the wetting properties of metal micropowders have indicated the presence of an inversely proportional relationship, wherein particles of smaller sizes were associated with higher contact angle values. The results of the present study contradict previous reports</w:t>
      </w:r>
      <w:r w:rsidR="007B4921">
        <w:rPr>
          <w:rFonts w:cs="Times New Roman"/>
          <w:szCs w:val="24"/>
          <w:lang w:val="en-US"/>
        </w:rPr>
        <w:t>; however, there is was limited research conducted for this study.</w:t>
      </w:r>
      <w:r>
        <w:rPr>
          <w:rFonts w:cs="Times New Roman"/>
          <w:szCs w:val="24"/>
          <w:lang w:val="en-US"/>
        </w:rPr>
        <w:t xml:space="preserve"> </w:t>
      </w:r>
      <w:r w:rsidR="007B4921">
        <w:rPr>
          <w:rFonts w:cs="Times New Roman"/>
          <w:szCs w:val="24"/>
          <w:lang w:val="en-US"/>
        </w:rPr>
        <w:t>I</w:t>
      </w:r>
      <w:r>
        <w:rPr>
          <w:rFonts w:cs="Times New Roman"/>
          <w:szCs w:val="24"/>
          <w:lang w:val="en-US"/>
        </w:rPr>
        <w:t>t was possible to observe a direct proportional trend between TiO</w:t>
      </w:r>
      <w:r w:rsidRPr="00E34D14">
        <w:rPr>
          <w:rFonts w:cs="Times New Roman"/>
          <w:szCs w:val="24"/>
          <w:vertAlign w:val="subscript"/>
          <w:lang w:val="en-US"/>
        </w:rPr>
        <w:t>2</w:t>
      </w:r>
      <w:r>
        <w:rPr>
          <w:rFonts w:cs="Times New Roman"/>
          <w:szCs w:val="24"/>
          <w:lang w:val="en-US"/>
        </w:rPr>
        <w:t xml:space="preserve"> sizes and contact angle values observed where lower contact angle values were observed for particles of smaller dimensions (diameter</w:t>
      </w:r>
      <w:r>
        <w:rPr>
          <w:rFonts w:ascii="Symbol" w:eastAsia="Symbol" w:hAnsi="Symbol" w:cs="Symbol"/>
          <w:szCs w:val="24"/>
          <w:lang w:val="en-US"/>
        </w:rPr>
        <w:t></w:t>
      </w:r>
      <w:r>
        <w:rPr>
          <w:rFonts w:cs="Times New Roman"/>
          <w:szCs w:val="24"/>
          <w:lang w:val="en-US"/>
        </w:rPr>
        <w:t xml:space="preserve"> 21 nm). This finding could be partially explained by significant variations in capillary forces that result from materials fabricated using particles of different sizes and the effects of crystalline structure (e.g., rutile, anatase or brookite) as particle sizes decreases. One study reported that rutile has a somewhat higher surface energy than anatase which suggests it should have a low contact angle with water</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10.2138/rmg.2001.44.01","ISSN":"1529-6466","author":[{"dropping-particle":"","family":"Zhang","given":"Hengzhong","non-dropping-particle":"","parse-names":false,"suffix":""},{"dropping-particle":"","family":"Banfield","given":"Jillian F","non-dropping-particle":"","parse-names":false,"suffix":""}],"container-title":"Reviews in mineralogy and geochemistry","id":"ITEM-1","issue":"1","issued":{"date-parts":[["2001","1","1"]]},"page":"1-58","title":"Nanoparticles in the environment","type":"article-journal","volume":"44"},"uris":["http://www.mendeley.com/documents/?uuid=1b643881-6b26-4d76-934a-67a3ace78035"]},{"id":"ITEM-2","itemData":{"DOI":"10.1021/cr300230q","ISBN":"0009-2665","author":[{"dropping-particle":"","family":"Bourikas","given":"Kyriakos","non-dropping-particle":"","parse-names":false,"suffix":""},{"dropping-particle":"","family":"Kordulis","given":"Christos","non-dropping-particle":"","parse-names":false,"suffix":""},{"dropping-particle":"","family":"Lycourghiotis","given":"Alexis","non-dropping-particle":"","parse-names":false,"suffix":""}],"container-title":"Chemical Reviews","id":"ITEM-2","issue":"19","issued":{"date-parts":[["2014"]]},"page":"9754-9823","publisher":"American Chemical Society","title":"Titanium dioxide (anatase and rutile): surface chemistry, liquid–solid interface chemistry, and scientific synthesis of supported catalysts","type":"article-journal","volume":"114"},"uris":["http://www.mendeley.com/documents/?uuid=2a03f50b-7ff9-4243-b4b3-c7d585ed27a5"]}],"mendeley":{"formattedCitation":"&lt;sup&gt;71,72&lt;/sup&gt;","plainTextFormattedCitation":"71,72","previouslyFormattedCitation":"&lt;sup&gt;71,72&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bCs/>
          <w:noProof/>
          <w:szCs w:val="24"/>
          <w:vertAlign w:val="superscript"/>
          <w:lang w:val="en-US"/>
        </w:rPr>
        <w:t>71,72</w:t>
      </w:r>
      <w:r>
        <w:rPr>
          <w:rStyle w:val="FootnoteReference"/>
          <w:rFonts w:cs="Times New Roman"/>
          <w:szCs w:val="24"/>
          <w:lang w:val="en-US"/>
        </w:rPr>
        <w:fldChar w:fldCharType="end"/>
      </w:r>
      <w:r>
        <w:rPr>
          <w:rFonts w:cs="Times New Roman"/>
          <w:szCs w:val="24"/>
          <w:lang w:val="en-US"/>
        </w:rPr>
        <w:t>. Conversely, Pantaroto et al. while investigating the antibacterial efficacy of different crystalline phases of TiO</w:t>
      </w:r>
      <w:r w:rsidRPr="00162745">
        <w:rPr>
          <w:rFonts w:cs="Times New Roman"/>
          <w:szCs w:val="24"/>
          <w:vertAlign w:val="subscript"/>
          <w:lang w:val="en-US"/>
        </w:rPr>
        <w:t>2</w:t>
      </w:r>
      <w:r>
        <w:rPr>
          <w:rFonts w:cs="Times New Roman"/>
          <w:szCs w:val="24"/>
          <w:lang w:val="en-US"/>
        </w:rPr>
        <w:t xml:space="preserve"> photocatalysis against oral multispecies biofilms have indicated that the contact angle for rutile (</w:t>
      </w:r>
      <w:r>
        <w:rPr>
          <w:rFonts w:ascii="Cambria Math" w:hAnsi="Cambria Math" w:cs="Times New Roman"/>
          <w:szCs w:val="24"/>
          <w:lang w:val="en-US"/>
        </w:rPr>
        <w:t>𝜃</w:t>
      </w:r>
      <w:r>
        <w:rPr>
          <w:rFonts w:cs="Times New Roman"/>
          <w:szCs w:val="24"/>
          <w:lang w:val="en-US"/>
        </w:rPr>
        <w:t>=95</w:t>
      </w:r>
      <w:r w:rsidRPr="00243583">
        <w:rPr>
          <w:rFonts w:cs="Times New Roman"/>
          <w:szCs w:val="24"/>
          <w:vertAlign w:val="superscript"/>
          <w:lang w:val="en-US"/>
        </w:rPr>
        <w:t>o</w:t>
      </w:r>
      <w:r>
        <w:rPr>
          <w:rFonts w:cs="Times New Roman"/>
          <w:szCs w:val="24"/>
          <w:lang w:val="en-US"/>
        </w:rPr>
        <w:t>) was higher when compared to that of anatase or that of a mixture of the two (</w:t>
      </w:r>
      <w:r>
        <w:rPr>
          <w:rFonts w:ascii="Cambria Math" w:hAnsi="Cambria Math" w:cs="Times New Roman"/>
          <w:szCs w:val="24"/>
          <w:lang w:val="en-US"/>
        </w:rPr>
        <w:t>𝜃</w:t>
      </w:r>
      <w:r>
        <w:rPr>
          <w:rFonts w:cs="Times New Roman"/>
          <w:szCs w:val="24"/>
          <w:lang w:val="en-US"/>
        </w:rPr>
        <w:t>=90</w:t>
      </w:r>
      <w:r w:rsidRPr="00243583">
        <w:rPr>
          <w:rFonts w:cs="Times New Roman"/>
          <w:szCs w:val="24"/>
          <w:vertAlign w:val="superscript"/>
          <w:lang w:val="en-US"/>
        </w:rPr>
        <w:t>o</w:t>
      </w:r>
      <w:r>
        <w:rPr>
          <w:rFonts w:cs="Times New Roman"/>
          <w:szCs w:val="24"/>
          <w:lang w:val="en-US"/>
        </w:rPr>
        <w:t>), which indicates a lower surface energy</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{"citationItems":[{"id":"ITEM-1","itemData":{"DOI":"10.1016/j.dental.2018.03.011","author":[{"dropping-particle":"","family":"Pantaroto","given":"Heloisa","non-dropping-particle":"","parse-names":false,"suffix":""},{"dropping-particle":"","family":"Filho","given":"A P","non-dropping-particle":"","parse-names":false,"suffix":""},{"dropping-particle":"","family":"Bertolini","given":"Martinna","non-dropping-particle":"","parse-names":false,"suffix":""},{"dropping-particle":"","family":"Silva","given":"Jose H D","non-dropping-particle":"da","parse-names":false,"suffix":""},{"dropping-particle":"","family":"F. Azevedo Neto","given":"Nilton","non-dropping-particle":"","parse-names":false,"suffix":""},{"dropping-particle":"","family":"Sukotjo","given":"Cortino","non-dropping-particle":"","parse-names":false,"suffix":""},{"dropping-particle":"","family":"Rangel","given":"Elidiane","non-dropping-particle":"","parse-names":false,"suffix":""},{"dropping-particle":"","family":"Barao","given":"Valentim","non-dropping-particle":"","parse-names":false,"suffix":""}],"container-title":"Dental Materials","id":"ITEM-1","issue":"7","issued":{"date-parts":[["2018","4","1"]]},"page":"3182-3195","title":"Antibacterial photocatalytic activity of different crystalline TiO2 phases in oral multispecies biofilm","type":"article-journal","volume":"34"},"uris":["http://www.mendeley.com/documents/?uuid=a6b8eb84-7019-4b45-8686-edd053275afa"]}],"mendeley":{"formattedCitation":"&lt;sup&gt;73&lt;/sup&gt;","plainTextFormattedCitation":"73","previouslyFormattedCitation":"&lt;sup&gt;73&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noProof/>
          <w:szCs w:val="24"/>
          <w:vertAlign w:val="superscript"/>
          <w:lang w:val="en-US"/>
        </w:rPr>
        <w:t>73</w:t>
      </w:r>
      <w:r>
        <w:rPr>
          <w:rStyle w:val="FootnoteReference"/>
          <w:rFonts w:cs="Times New Roman"/>
          <w:szCs w:val="24"/>
          <w:lang w:val="en-US"/>
        </w:rPr>
        <w:fldChar w:fldCharType="end"/>
      </w:r>
      <w:r>
        <w:rPr>
          <w:rFonts w:cs="Times New Roman"/>
          <w:szCs w:val="24"/>
          <w:lang w:val="en-US"/>
        </w:rPr>
        <w:t>. Still according to the authors, the properties of titanium dioxide will change under depending on particle sizes and under certain conditions of temperature and pressure</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{"citationItems":[{"id":"ITEM-1","itemData":{"DOI":"10.1073/pnas.251534898","abstract":"The energetics of the TiO2 polymorphs (rutile, anatase, and brookite) were studied by high temperature oxide melt drop solution calorimetry. Relative to bulk rutile, bulk brookite is 0.71 ± 0.38 kJ/mol (6) and bulk anatase is 2.61 ± 0.41 kJ/mol higher in enthalpy. The surface enthalpies of rutile, brookite, and anatase are 2.2 ± 0.2 J/m2, 1.0 ± 0.2 J/m2, and 0.4 ± 0.1 J/m2, respectively. The closely balanced energetics directly confirm the crossover in stability of nanophase polymorphs inferred by Zhang and Banfield (7). An amorphous sample with surface area of 34,600 m2/mol is 24.25 ± 0.88 kJ/mol higher in enthalpy than bulk rutile.XRD, x-ray diffraction patterns","author":[{"dropping-particle":"","family":"Ranade","given":"M R","non-dropping-particle":"","parse-names":false,"suffix":""},{"dropping-particle":"","family":"Navrotsky","given":"A","non-dropping-particle":"","parse-names":false,"suffix":""},{"dropping-particle":"","family":"Zhang","given":"H Z","non-dropping-particle":"","parse-names":false,"suffix":""},{"dropping-particle":"","family":"Banfield","given":"J F","non-dropping-particle":"","parse-names":false,"suffix":""},{"dropping-particle":"","family":"Elder","given":"S H","non-dropping-particle":"","parse-names":false,"suffix":""},{"dropping-particle":"","family":"Zaban","given":"A","non-dropping-particle":"","parse-names":false,"suffix":""},{"dropping-particle":"","family":"Borse","given":"P H","non-dropping-particle":"","parse-names":false,"suffix":""},{"dropping-particle":"","family":"Kulkarni","given":"S K","non-dropping-particle":"","parse-names":false,"suffix":""},{"dropping-particle":"","family":"Doran","given":"G S","non-dropping-particle":"","parse-names":false,"suffix":""},{"dropping-particle":"","family":"Whitfield","given":"H J","non-dropping-particle":"","parse-names":false,"suffix":""}],"container-title":"Proceedings of the National Academy of Sciences","id":"ITEM-1","issue":"suppl 2","issued":{"date-parts":[["2002","4","30"]]},"page":"6476 LP - 6481","title":"Energetics of nanocrystalline TiO2","type":"article-journal","volume":"99"},"uris":["http://www.mendeley.com/documents/?uuid=36182a5b-b38f-49c6-9723-5e941277e799"]},{"id":"ITEM-2","itemData":{"DOI":"https://doi.org/10.2478/pjct-2013-0026","author":[{"dropping-particle":"","family":"Grzmil","given":"Barbara","non-dropping-particle":"","parse-names":false,"suffix":""},{"dropping-particle":"","family":"Gleń","given":"Marta","non-dropping-particle":"","parse-names":false,"suffix":""},{"dropping-particle":"","family":"Kic","given":"Bogumił","non-dropping-particle":"","parse-names":false,"suffix":""},{"dropping-particle":"","family":"Lubkowski","given":"K","non-dropping-particle":"","parse-names":false,"suffix":""}],"container-title":"Polish Journal of Chemical Technology","id":"ITEM-2","issue":"2","issued":{"date-parts":[["2013"]]},"language":"English","page":"73-80","title":"Study of the anatase to rutile transformation kinetics of the modified TiO2","type":"article-journal","volume":"15"},"uris":["http://www.mendeley.com/documents/?uuid=ded553bf-4c31-4ef5-b71b-d77a66839e01"]},{"id":"ITEM-3","itemData":{"DOI":"10.1021/ct0499635","ISBN":"1549-9618","author":[{"dropping-particle":"","family":"Barnard","given":"A S","non-dropping-particle":"","parse-names":false,"suffix":""},{"dropping-particle":"","family":"Zapol","given":"P","non-dropping-particle":"","parse-names":false,"suffix":""},{"dropping-particle":"","family":"Curtiss","given":"L A","non-dropping-particle":"","parse-names":false,"suffix":""}],"container-title":"Journal of chemical theory and computation","id":"ITEM-3","issue":"1","issued":{"date-parts":[["2005"]]},"page":"107-116","publisher":"American Chemical Society","title":"Modeling the morphology and phase stability of TiO2 nanocrystals in water","type":"article-journal","volume":"1"},"uris":["http://www.mendeley.com/documents/?uuid=97944f8a-a741-4716-be65-189184ec8d7c"]}],"mendeley":{"formattedCitation":"&lt;sup&gt;41,74,75&lt;/sup&gt;","plainTextFormattedCitation":"41,74,75","previouslyFormattedCitation":"&lt;sup&gt;41,74,75&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bCs/>
          <w:noProof/>
          <w:szCs w:val="24"/>
          <w:vertAlign w:val="superscript"/>
          <w:lang w:val="en-US"/>
        </w:rPr>
        <w:t>41,74,75</w:t>
      </w:r>
      <w:r>
        <w:rPr>
          <w:rStyle w:val="FootnoteReference"/>
          <w:rFonts w:cs="Times New Roman"/>
          <w:szCs w:val="24"/>
          <w:lang w:val="en-US"/>
        </w:rPr>
        <w:fldChar w:fldCharType="end"/>
      </w:r>
      <w:r>
        <w:rPr>
          <w:rFonts w:cs="Times New Roman"/>
          <w:szCs w:val="24"/>
          <w:lang w:val="en-US"/>
        </w:rPr>
        <w:t>. In this direction, even though anatase is more stable when particles sizes are small (typically below ~14.5 nm), increased pressures may cause anatase to become increasingly unstable</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10.2138/rmg.2001.44.01","ISSN":"1529-6466","author":[{"dropping-particle":"","family":"Zhang","given":"Hengzhong","non-dropping-particle":"","parse-names":false,"suffix":""},{"dropping-particle":"","family":"Banfield","given":"Jillian F","non-dropping-particle":"","parse-names":false,"suffix":""}],"container-title":"Reviews in mineralogy and geochemistry","id":"ITEM-1","issue":"1","issued":{"date-parts":[["2001","1","1"]]},"page":"1-58","title":"Nanoparticles in the environment","type":"article-journal","volume":"44"},"uris":["http://www.mendeley.com/documents/?uuid=1b643881-6b26-4d76-934a-67a3ace78035"]}],"mendeley":{"formattedCitation":"&lt;sup&gt;71&lt;/sup&gt;","plainTextFormattedCitation":"71","previouslyFormattedCitation":"&lt;sup&gt;71&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noProof/>
          <w:szCs w:val="24"/>
          <w:vertAlign w:val="superscript"/>
          <w:lang w:val="en-US"/>
        </w:rPr>
        <w:t>71</w:t>
      </w:r>
      <w:r>
        <w:rPr>
          <w:rStyle w:val="FootnoteReference"/>
          <w:rFonts w:cs="Times New Roman"/>
          <w:szCs w:val="24"/>
          <w:lang w:val="en-US"/>
        </w:rPr>
        <w:fldChar w:fldCharType="end"/>
      </w:r>
      <w:r>
        <w:rPr>
          <w:rFonts w:cs="Times New Roman"/>
          <w:szCs w:val="24"/>
          <w:lang w:val="en-US"/>
        </w:rPr>
        <w:t>.</w:t>
      </w:r>
      <w:r w:rsidRPr="00384BE7">
        <w:rPr>
          <w:rFonts w:cs="Times New Roman"/>
          <w:szCs w:val="24"/>
          <w:lang w:val="en-US"/>
        </w:rPr>
        <w:t xml:space="preserve"> </w:t>
      </w:r>
    </w:p>
    <w:p w14:paraId="68D3A4FE" w14:textId="46D919A6" w:rsidR="00F07199" w:rsidRDefault="00F07199" w:rsidP="00F07199">
      <w:pPr>
        <w:spacing w:after="0" w:line="480" w:lineRule="auto"/>
        <w:ind w:firstLine="708"/>
        <w:jc w:val="both"/>
        <w:rPr>
          <w:rFonts w:cs="Times New Roman"/>
          <w:szCs w:val="24"/>
          <w:lang w:val="en-US"/>
        </w:rPr>
      </w:pPr>
      <w:r>
        <w:rPr>
          <w:rFonts w:cs="Times New Roman"/>
          <w:szCs w:val="24"/>
          <w:lang w:val="en-US"/>
        </w:rPr>
        <w:t>The pressure used to compress the powders into discs has been demonstrated to affect the observed contact angles of compressed powders when assessed using different methods.  Studies investigating the wettability of different types of materials using SCA or WPM have shown that contact angles tend to reduce as compression forces increase until a constant contact angle value is achieved</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{"citationItems":[{"id":"ITEM-1","itemData":{"DOI":"https://doi.org/10.1016/0032-5910(86)80027-4","ISBN":"0032-5910","abstract":"The value of contact angle measurements on compressed discs of powder has been critically examined as a method of assessing the wettability of five barbiturate powders. The contact angle was found to reduce with increased compression force, until a constant value was achieved. This was demonstrated, by use of scanning electron micrographs, to be due to plastic deformation of the powder surface. The values of θ obtained did not alter after electrostatic forces were discharged with an antistatic gun, and are thus not responsible for the hydrophobic nature of the loosely compressed beds. The effect of drop size, in the range 10 to 50 μl, and surface roughness were not large enough to be detected amongst the scatter of results. Small drops of water on the plane faces of large crystals formed a contact angle in close agreement with the plastic skin on the compacts. It is postulated that the crystal defects and heterogeneities are responsible for raising the value of θ in the uncompacted powders.","author":[{"dropping-particle":"","family":"Buckton","given":"G","non-dropping-particle":"","parse-names":false,"suffix":""},{"dropping-particle":"","family":"Newton","given":"J M","non-dropping-particle":"","parse-names":false,"suffix":""}],"container-title":"Powder Technology","id":"ITEM-1","issue":"2","issued":{"date-parts":[["1986"]]},"page":"201-208","title":"Assessment of the wettability of powders by use of compressed powder discs","type":"article-journal","volume":"46"},"uris":["http://www.mendeley.com/documents/?uuid=32eed424-1071-4a0a-88f0-b23cef737dec"]},{"id":"ITEM-2","itemData":{"DOI":"https://doi.org/10.1016/0928-0987(94)90030-2","ISBN":"0928-0987","abstract":"A Wilhelmy plate method has been used to study the surface energies of spray-dried salbutamol sulphate. Scanning electron micrographs of compacts, prepared for the measurement of contact angles, revealed that the surfaces of the formed compacts were rough, and the lowest compression pressure left spheres of material over the surface of the compact. As the perimeter of the plate is an essential measurement for use in calculation of contact angles from Wilhelmy plates, estimates of the true perimeter have been made, and the results compared to those obtained by the use of the apparent external perimeter. On the basis of fractal geometry, the perimeter will increase in relation to the sensitivity of the measurement method, and in actual fact may be very significantly greater than the perceived external measurement. The effective perimeter must be considered for measurements of contact angle obtained by the Wilhelmy plate technique; unfortunately this is not readily estimated.","author":[{"dropping-particle":"","family":"Chawla","given":"A","non-dropping-particle":"","parse-names":false,"suffix":""},{"dropping-particle":"","family":"Buckton","given":"G","non-dropping-particle":"","parse-names":false,"suffix":""},{"dropping-particle":"","family":"Taylor","given":"K M G","non-dropping-particle":"","parse-names":false,"suffix":""},{"dropping-particle":"","family":"Newton","given":"J M","non-dropping-particle":"","parse-names":false,"suffix":""},{"dropping-particle":"","family":"Johnson","given":"M C R","non-dropping-particle":"","parse-names":false,"suffix":""}],"container-title":"European Journal of Pharmaceutical Sciences","id":"ITEM-2","issue":"3","issued":{"date-parts":[["1994"]]},"page":"253-258","title":"Wilhelmy plate contact angle data on powder compacts: considerations of plate perimeter","type":"article-journal","volume":"2"},"uris":["http://www.mendeley.com/documents/?uuid=29609b0b-63ce-4bf1-89af-299245ec9eeb"]}],"mendeley":{"formattedCitation":"&lt;sup&gt;43,55&lt;/sup&gt;","plainTextFormattedCitation":"43,55","previouslyFormattedCitation":"&lt;sup&gt;43,55&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noProof/>
          <w:szCs w:val="24"/>
          <w:vertAlign w:val="superscript"/>
          <w:lang w:val="en-US"/>
        </w:rPr>
        <w:t>43,55</w:t>
      </w:r>
      <w:r>
        <w:rPr>
          <w:rStyle w:val="FootnoteReference"/>
          <w:rFonts w:cs="Times New Roman"/>
          <w:szCs w:val="24"/>
          <w:lang w:val="en-US"/>
        </w:rPr>
        <w:fldChar w:fldCharType="end"/>
      </w:r>
      <w:r>
        <w:rPr>
          <w:rFonts w:cs="Times New Roman"/>
          <w:szCs w:val="24"/>
          <w:lang w:val="en-US"/>
        </w:rPr>
        <w:t>. Other studie</w:t>
      </w:r>
      <w:r w:rsidR="00A83D25">
        <w:rPr>
          <w:rFonts w:cs="Times New Roman"/>
          <w:szCs w:val="24"/>
          <w:lang w:val="en-US"/>
        </w:rPr>
        <w:t>s</w:t>
      </w:r>
      <w:r>
        <w:rPr>
          <w:rFonts w:cs="Times New Roman"/>
          <w:szCs w:val="24"/>
          <w:lang w:val="en-US"/>
        </w:rPr>
        <w:fldChar w:fldCharType="begin" w:fldLock="1"/>
      </w:r>
      <w:r w:rsidR="004871C8">
        <w:rPr>
          <w:rFonts w:cs="Times New Roman"/>
          <w:szCs w:val="24"/>
          <w:lang w:val="en-US"/>
        </w:rPr>
        <w:instrText>ADDIN CSL_CITATION {"citationItems":[{"id":"ITEM-1","itemData":{"DOI":"https://doi.org/10.1016/j.powtec.2015.10.002","ISBN":"0032-5910","abstract":"This review summarizes some common methods for determining the wettability of powders, especially the contact angle that a liquid would form on powders. The sessile drop, Wilhelmy plate and liquid penetration methods are then briefly compared, especially on the advantages and disadvantages of these techniques. The later part of the review summarizes some experimental details in determining wettability of powders utilizing liquid penetration into a packed column or the Washburn capillary rise (WCR) method based on liquid mass uptake. The discussion is focused on the selection of capillary tube for packing, bottom support, powder properties, reference wetting liquid, and packing method. How each of these parameters influences mass uptake and subsequent wettability determination are also presented, followed with the applicability of mass based WCR for determining the wettability of some powders. The intent of this review is to provide researchers a guide on the proper selection of the method and then the associated details when they apply the mass based WCR experiments for deducing the wettability information of the powders of interest.","author":[{"dropping-particle":"","family":"Alghunaim","given":"Abdullah","non-dropping-particle":"","parse-names":false,"suffix":""},{"dropping-particle":"","family":"Kirdponpattara","given":"Suchata","non-dropping-particle":"","parse-names":false,"suffix":""},{"dropping-particle":"","family":"Newby","given":"Bi-min Zhang","non-dropping-particle":"","parse-names":false,"suffix":""}],"container-title":"Powder Technology","id":"ITEM-1","issued":{"date-parts":[["2016"]]},"page":"201-215","title":"Techniques for determining contact angle and wettability of powders","type":"article-journal","volume":"287"},"uris":["http://www.mendeley.com/documents/?uuid=9b259ee9-6bb4-436c-bcd1-ca263f61b45c"]},{"id":"ITEM-2","itemData":{"DOI":"https://doi.org/10.1016/0032-5910(86)80027-4","ISBN":"0032-5910","abstract":"The value of contact angle measurements on compressed discs of powder has been critically examined as a method of assessing the wettability of five barbiturate powders. The contact angle was found to reduce with increased compression force, until a constant value was achieved. This was demonstrated, by use of scanning electron micrographs, to be due to plastic deformation of the powder surface. The values of θ obtained did not alter after electrostatic forces were discharged with an antistatic gun, and are thus not responsible for the hydrophobic nature of the loosely compressed beds. The effect of drop size, in the range 10 to 50 μl, and surface roughness were not large enough to be detected amongst the scatter of results. Small drops of water on the plane faces of large crystals formed a contact angle in close agreement with the plastic skin on the compacts. It is postulated that the crystal defects and heterogeneities are responsible for raising the value of θ in the uncompacted powders.","author":[{"dropping-particle":"","family":"Buckton","given":"G","non-dropping-particle":"","parse-names":false,"suffix":""},{"dropping-particle":"","family":"Newton","given":"J M","non-dropping-particle":"","parse-names":false,"suffix":""}],"container-title":"Powder Technology","id":"ITEM-2","issue":"2","issued":{"date-parts":[["1986"]]},"page":"201-208","title":"Assessment of the wettability of powders by use of compressed powder discs","type":"article-journal","volume":"46"},"uris":["http://www.mendeley.com/documents/?uuid=32eed424-1071-4a0a-88f0-b23cef737dec"]}],"mendeley":{"formattedCitation":"&lt;sup&gt;43,50&lt;/sup&gt;","plainTextFormattedCitation":"43,50","previouslyFormattedCitation":"&lt;sup&gt;43,50&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43,50</w:t>
      </w:r>
      <w:r>
        <w:rPr>
          <w:rFonts w:cs="Times New Roman"/>
          <w:szCs w:val="24"/>
          <w:lang w:val="en-US"/>
        </w:rPr>
        <w:fldChar w:fldCharType="end"/>
      </w:r>
      <w:r>
        <w:rPr>
          <w:rFonts w:cs="Times New Roman"/>
          <w:szCs w:val="24"/>
          <w:lang w:val="en-US"/>
        </w:rPr>
        <w:t xml:space="preserve"> have shown that high compressive forces may plastically deform nanoparticles depending on their physical structure and their chemical compositions. The macroscopic manifestation of this behavior may adversely impact the penetration of solvents into materials by changing interparticle spacing, pore connectivity and changing capillary forces</w:t>
      </w:r>
      <w:r>
        <w:rPr>
          <w:rStyle w:val="FootnoteReference"/>
          <w:rFonts w:cs="Times New Roman"/>
          <w:szCs w:val="24"/>
          <w:lang w:val="en-US"/>
        </w:rPr>
        <w:fldChar w:fldCharType="begin" w:fldLock="1"/>
      </w:r>
      <w:r w:rsidR="004871C8">
        <w:rPr>
          <w:rFonts w:cs="Times New Roman"/>
          <w:szCs w:val="24"/>
          <w:lang w:val="en-US"/>
        </w:rPr>
        <w:instrText>ADDIN CSL_CITATION {"citationItems":[{"id":"ITEM-1","itemData":{"DOI":"https://doi.org/10.1016/0032-5910(86)80027-4","ISBN":"0032-5910","abstract":"The value of contact angle measurements on compressed discs of powder has been critically examined as a method of assessing the wettability of five barbiturate powders. The contact angle was found to reduce with increased compression force, until a constant value was achieved. This was demonstrated, by use of scanning electron micrographs, to be due to plastic deformation of the powder surface. The values of θ obtained did not alter after electrostatic forces were discharged with an antistatic gun, and are thus not responsible for the hydrophobic nature of the loosely compressed beds. The effect of drop size, in the range 10 to 50 μl, and surface roughness were not large enough to be detected amongst the scatter of results. Small drops of water on the plane faces of large crystals formed a contact angle in close agreement with the plastic skin on the compacts. It is postulated that the crystal defects and heterogeneities are responsible for raising the value of θ in the uncompacted powders.","author":[{"dropping-particle":"","family":"Buckton","given":"G","non-dropping-particle":"","parse-names":false,"suffix":""},{"dropping-particle":"","family":"Newton","given":"J M","non-dropping-particle":"","parse-names":false,"suffix":""}],"container-title":"Powder Technology","id":"ITEM-1","issue":"2","issued":{"date-parts":[["1986"]]},"page":"201-208","title":"Assessment of the wettability of powders by use of compressed powder discs","type":"article-journal","volume":"46"},"uris":["http://www.mendeley.com/documents/?uuid=32eed424-1071-4a0a-88f0-b23cef737dec"]}],"mendeley":{"formattedCitation":"&lt;sup&gt;43&lt;/sup&gt;","plainTextFormattedCitation":"43","previouslyFormattedCitation":"&lt;sup&gt;43&lt;/sup&gt;"},"properties":{"noteIndex":0},"schema":"https://github.com/citation-style-language/schema/raw/master/csl-citation.json"}</w:instrText>
      </w:r>
      <w:r>
        <w:rPr>
          <w:rStyle w:val="FootnoteReference"/>
          <w:rFonts w:cs="Times New Roman"/>
          <w:szCs w:val="24"/>
          <w:lang w:val="en-US"/>
        </w:rPr>
        <w:fldChar w:fldCharType="separate"/>
      </w:r>
      <w:r w:rsidR="00B01517" w:rsidRPr="00B01517">
        <w:rPr>
          <w:rFonts w:cs="Times New Roman"/>
          <w:noProof/>
          <w:szCs w:val="24"/>
          <w:vertAlign w:val="superscript"/>
          <w:lang w:val="en-US"/>
        </w:rPr>
        <w:t>43</w:t>
      </w:r>
      <w:r>
        <w:rPr>
          <w:rStyle w:val="FootnoteReference"/>
          <w:rFonts w:cs="Times New Roman"/>
          <w:szCs w:val="24"/>
          <w:lang w:val="en-US"/>
        </w:rPr>
        <w:fldChar w:fldCharType="end"/>
      </w:r>
      <w:r>
        <w:rPr>
          <w:rFonts w:cs="Times New Roman"/>
          <w:szCs w:val="24"/>
          <w:lang w:val="en-US"/>
        </w:rPr>
        <w:t xml:space="preserve">.  </w:t>
      </w:r>
    </w:p>
    <w:p w14:paraId="1A6DA1DB" w14:textId="6F56D432" w:rsidR="00F07199" w:rsidRDefault="00F07199" w:rsidP="00F07199">
      <w:pPr>
        <w:spacing w:after="0" w:line="480" w:lineRule="auto"/>
        <w:ind w:firstLine="708"/>
        <w:jc w:val="both"/>
        <w:rPr>
          <w:rFonts w:cs="Times New Roman"/>
          <w:szCs w:val="24"/>
          <w:lang w:val="en-US"/>
        </w:rPr>
      </w:pPr>
      <w:r>
        <w:rPr>
          <w:rFonts w:cs="Times New Roman"/>
          <w:szCs w:val="24"/>
          <w:lang w:val="en-US"/>
        </w:rPr>
        <w:t xml:space="preserve">The greatest limitation to obtaining accurate measurements with the modified-DPM was directly related to the selection of solvents displaying contact angles </w:t>
      </w:r>
      <w:r w:rsidR="00404EA9">
        <w:rPr>
          <w:rFonts w:cs="Times New Roman"/>
          <w:szCs w:val="24"/>
          <w:lang w:val="en-US"/>
        </w:rPr>
        <w:t xml:space="preserve">less than </w:t>
      </w:r>
      <w:r>
        <w:rPr>
          <w:rFonts w:cs="Times New Roman"/>
          <w:szCs w:val="24"/>
          <w:lang w:val="en-US"/>
        </w:rPr>
        <w:t>90</w:t>
      </w:r>
      <w:r w:rsidRPr="00243583">
        <w:rPr>
          <w:rFonts w:cs="Times New Roman"/>
          <w:szCs w:val="24"/>
          <w:vertAlign w:val="superscript"/>
          <w:lang w:val="en-US"/>
        </w:rPr>
        <w:t>o</w:t>
      </w:r>
      <w:r>
        <w:rPr>
          <w:rFonts w:cs="Times New Roman"/>
          <w:szCs w:val="24"/>
          <w:lang w:val="en-US"/>
        </w:rPr>
        <w:t>.  Despite this significant limitation</w:t>
      </w:r>
      <w:r w:rsidRPr="006F4A17">
        <w:rPr>
          <w:rFonts w:cs="Times New Roman"/>
          <w:szCs w:val="24"/>
          <w:lang w:val="en-US"/>
        </w:rPr>
        <w:t xml:space="preserve"> </w:t>
      </w:r>
      <w:r>
        <w:rPr>
          <w:rFonts w:cs="Times New Roman"/>
          <w:szCs w:val="24"/>
          <w:lang w:val="en-US"/>
        </w:rPr>
        <w:t xml:space="preserve">when the criteria for use were met, the method reported provided values that comparable to those reported in the current literature. As discussed in the present study, there are different methods available to determine solvents’ contact angles on the surfaces of specimens fabricated using compressed powders. </w:t>
      </w:r>
      <w:r w:rsidR="006A12A8">
        <w:rPr>
          <w:rFonts w:cs="Times New Roman"/>
          <w:szCs w:val="24"/>
          <w:lang w:val="en-US"/>
        </w:rPr>
        <w:fldChar w:fldCharType="begin"/>
      </w:r>
      <w:r w:rsidR="006A12A8">
        <w:rPr>
          <w:rFonts w:cs="Times New Roman"/>
          <w:szCs w:val="24"/>
          <w:lang w:val="en-US"/>
        </w:rPr>
        <w:instrText xml:space="preserve"> REF _Ref36305127 \h </w:instrText>
      </w:r>
      <w:r w:rsidR="006A12A8">
        <w:rPr>
          <w:rFonts w:cs="Times New Roman"/>
          <w:szCs w:val="24"/>
          <w:lang w:val="en-US"/>
        </w:rPr>
      </w:r>
      <w:r w:rsidR="006A12A8">
        <w:rPr>
          <w:rFonts w:cs="Times New Roman"/>
          <w:szCs w:val="24"/>
          <w:lang w:val="en-US"/>
        </w:rPr>
        <w:fldChar w:fldCharType="separate"/>
      </w:r>
      <w:r w:rsidR="0008188F" w:rsidRPr="006A12A8">
        <w:rPr>
          <w:lang w:val="en-US"/>
        </w:rPr>
        <w:t xml:space="preserve">Table </w:t>
      </w:r>
      <w:r w:rsidR="0008188F">
        <w:rPr>
          <w:noProof/>
          <w:lang w:val="en-US"/>
        </w:rPr>
        <w:t>4</w:t>
      </w:r>
      <w:r w:rsidR="006A12A8">
        <w:rPr>
          <w:rFonts w:cs="Times New Roman"/>
          <w:szCs w:val="24"/>
          <w:lang w:val="en-US"/>
        </w:rPr>
        <w:fldChar w:fldCharType="end"/>
      </w:r>
      <w:r w:rsidR="006A12A8">
        <w:rPr>
          <w:rFonts w:cs="Times New Roman"/>
          <w:szCs w:val="24"/>
          <w:lang w:val="en-US"/>
        </w:rPr>
        <w:t xml:space="preserve"> </w:t>
      </w:r>
      <w:r>
        <w:rPr>
          <w:rFonts w:cs="Times New Roman"/>
          <w:szCs w:val="24"/>
          <w:lang w:val="en-US"/>
        </w:rPr>
        <w:t xml:space="preserve">exemplifies many of the commonly used methods for contact angle measurement and the typical values of contact angles obtained from the utilization of each method described.  Once the contact angle values have been obtained, the van-Oss-Good-Chaudhury technique can then be used to determine the surface free energy of the investigated surface; however, the vOCG technique has limitations when using the drop penetration method. The vOCG technique needs solvents with a variety of characteristics. When using the drop penetration method, the characteristics of the solvent are limited because they must completely penetrate the surface </w:t>
      </w:r>
      <w:r w:rsidR="00993FC1">
        <w:rPr>
          <w:rFonts w:cs="Times New Roman"/>
          <w:szCs w:val="24"/>
          <w:lang w:val="en-US"/>
        </w:rPr>
        <w:t>but retain a nearly constant radius while penetrating. This</w:t>
      </w:r>
      <w:r>
        <w:rPr>
          <w:rFonts w:cs="Times New Roman"/>
          <w:szCs w:val="24"/>
          <w:lang w:val="en-US"/>
        </w:rPr>
        <w:t xml:space="preserve"> means it should give a contact angle between 20</w:t>
      </w:r>
      <w:r w:rsidRPr="00243583">
        <w:rPr>
          <w:rFonts w:cs="Times New Roman"/>
          <w:szCs w:val="24"/>
          <w:vertAlign w:val="superscript"/>
          <w:lang w:val="en-US"/>
        </w:rPr>
        <w:t>o</w:t>
      </w:r>
      <w:r>
        <w:rPr>
          <w:rFonts w:cs="Times New Roman"/>
          <w:szCs w:val="24"/>
          <w:lang w:val="en-US"/>
        </w:rPr>
        <w:t xml:space="preserve"> and 80</w:t>
      </w:r>
      <w:r w:rsidRPr="00243583">
        <w:rPr>
          <w:rFonts w:cs="Times New Roman"/>
          <w:szCs w:val="24"/>
          <w:vertAlign w:val="superscript"/>
          <w:lang w:val="en-US"/>
        </w:rPr>
        <w:t>o</w:t>
      </w:r>
      <w:r>
        <w:rPr>
          <w:rFonts w:cs="Times New Roman"/>
          <w:szCs w:val="24"/>
          <w:lang w:val="en-US"/>
        </w:rPr>
        <w:t>, therefore, limiting solvent choices and making the use of the vOCG</w:t>
      </w:r>
      <w:r w:rsidDel="00F33176">
        <w:rPr>
          <w:rFonts w:cs="Times New Roman"/>
          <w:szCs w:val="24"/>
          <w:lang w:val="en-US"/>
        </w:rPr>
        <w:t xml:space="preserve"> </w:t>
      </w:r>
      <w:r>
        <w:rPr>
          <w:rFonts w:cs="Times New Roman"/>
          <w:szCs w:val="24"/>
          <w:lang w:val="en-US"/>
        </w:rPr>
        <w:t>technique somewhat unfavorable.</w:t>
      </w:r>
    </w:p>
    <w:p w14:paraId="2ED90D82" w14:textId="58EAB8E1" w:rsidR="002003DD" w:rsidRPr="002003DD" w:rsidRDefault="006A12A8" w:rsidP="002003DD">
      <w:pPr>
        <w:pStyle w:val="Caption"/>
        <w:rPr>
          <w:rFonts w:cs="Times New Roman"/>
          <w:szCs w:val="24"/>
          <w:lang w:val="en-US"/>
        </w:rPr>
      </w:pPr>
      <w:bookmarkStart w:id="49" w:name="_Ref36305127"/>
      <w:r w:rsidRPr="006A12A8">
        <w:rPr>
          <w:lang w:val="en-US"/>
        </w:rPr>
        <w:t xml:space="preserve">Table </w:t>
      </w:r>
      <w:r>
        <w:fldChar w:fldCharType="begin"/>
      </w:r>
      <w:r w:rsidRPr="006A12A8">
        <w:rPr>
          <w:lang w:val="en-US"/>
        </w:rPr>
        <w:instrText xml:space="preserve"> SEQ Table \* ARABIC </w:instrText>
      </w:r>
      <w:r>
        <w:fldChar w:fldCharType="separate"/>
      </w:r>
      <w:r w:rsidR="0008188F">
        <w:rPr>
          <w:noProof/>
          <w:lang w:val="en-US"/>
        </w:rPr>
        <w:t>4</w:t>
      </w:r>
      <w:r>
        <w:fldChar w:fldCharType="end"/>
      </w:r>
      <w:bookmarkEnd w:id="49"/>
      <w:r w:rsidR="002003DD" w:rsidRPr="002003DD">
        <w:rPr>
          <w:lang w:val="en-US"/>
        </w:rPr>
        <w:t xml:space="preserve"> </w:t>
      </w:r>
      <w:r w:rsidR="00F07199" w:rsidRPr="00246FF5">
        <w:rPr>
          <w:rFonts w:cs="Times New Roman"/>
          <w:szCs w:val="24"/>
          <w:lang w:val="en-US"/>
        </w:rPr>
        <w:t>– Summary of methods used for contact angle measurement in literature</w:t>
      </w:r>
    </w:p>
    <w:tbl>
      <w:tblPr>
        <w:tblW w:w="8280" w:type="dxa"/>
        <w:jc w:val="center"/>
        <w:tblLook w:val="04A0" w:firstRow="1" w:lastRow="0" w:firstColumn="1" w:lastColumn="0" w:noHBand="0" w:noVBand="1"/>
      </w:tblPr>
      <w:tblGrid>
        <w:gridCol w:w="1440"/>
        <w:gridCol w:w="2043"/>
        <w:gridCol w:w="3361"/>
        <w:gridCol w:w="1620"/>
      </w:tblGrid>
      <w:tr w:rsidR="00F07199" w:rsidRPr="00246FF5" w14:paraId="344F9329" w14:textId="77777777" w:rsidTr="00E2537D">
        <w:trPr>
          <w:trHeight w:val="290"/>
          <w:jc w:val="center"/>
        </w:trPr>
        <w:tc>
          <w:tcPr>
            <w:tcW w:w="1440" w:type="dxa"/>
            <w:tcBorders>
              <w:top w:val="single" w:sz="4" w:space="0" w:color="auto"/>
              <w:left w:val="nil"/>
              <w:bottom w:val="single" w:sz="4" w:space="0" w:color="auto"/>
              <w:right w:val="nil"/>
            </w:tcBorders>
            <w:shd w:val="clear" w:color="000000" w:fill="FFFFFF"/>
            <w:noWrap/>
            <w:vAlign w:val="center"/>
            <w:hideMark/>
          </w:tcPr>
          <w:p w14:paraId="0DBE487E" w14:textId="77777777" w:rsidR="00F07199" w:rsidRPr="00246FF5" w:rsidRDefault="00F07199" w:rsidP="00CC2C28">
            <w:pPr>
              <w:spacing w:after="121"/>
              <w:jc w:val="center"/>
              <w:rPr>
                <w:rFonts w:eastAsia="Times New Roman" w:cs="Times New Roman"/>
                <w:color w:val="000000"/>
                <w:szCs w:val="24"/>
                <w:lang w:val="en-US"/>
              </w:rPr>
            </w:pPr>
            <w:r w:rsidRPr="00246FF5">
              <w:rPr>
                <w:rFonts w:eastAsia="Times New Roman" w:cs="Times New Roman"/>
                <w:color w:val="000000"/>
                <w:szCs w:val="24"/>
                <w:lang w:val="en-US"/>
              </w:rPr>
              <w:t>Surface</w:t>
            </w:r>
          </w:p>
        </w:tc>
        <w:tc>
          <w:tcPr>
            <w:tcW w:w="1859" w:type="dxa"/>
            <w:tcBorders>
              <w:top w:val="single" w:sz="4" w:space="0" w:color="auto"/>
              <w:left w:val="nil"/>
              <w:bottom w:val="single" w:sz="4" w:space="0" w:color="auto"/>
              <w:right w:val="nil"/>
            </w:tcBorders>
            <w:shd w:val="clear" w:color="000000" w:fill="FFFFFF"/>
            <w:noWrap/>
            <w:vAlign w:val="center"/>
            <w:hideMark/>
          </w:tcPr>
          <w:p w14:paraId="57EFCB09"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Liquid</w:t>
            </w:r>
          </w:p>
        </w:tc>
        <w:tc>
          <w:tcPr>
            <w:tcW w:w="3361" w:type="dxa"/>
            <w:tcBorders>
              <w:top w:val="single" w:sz="4" w:space="0" w:color="auto"/>
              <w:left w:val="nil"/>
              <w:bottom w:val="single" w:sz="4" w:space="0" w:color="auto"/>
              <w:right w:val="nil"/>
            </w:tcBorders>
            <w:shd w:val="clear" w:color="000000" w:fill="FFFFFF"/>
            <w:noWrap/>
            <w:vAlign w:val="center"/>
            <w:hideMark/>
          </w:tcPr>
          <w:p w14:paraId="254CFA21"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Method</w:t>
            </w:r>
          </w:p>
        </w:tc>
        <w:tc>
          <w:tcPr>
            <w:tcW w:w="1620" w:type="dxa"/>
            <w:tcBorders>
              <w:top w:val="single" w:sz="4" w:space="0" w:color="auto"/>
              <w:left w:val="nil"/>
              <w:bottom w:val="single" w:sz="4" w:space="0" w:color="auto"/>
              <w:right w:val="nil"/>
            </w:tcBorders>
            <w:shd w:val="clear" w:color="000000" w:fill="FFFFFF"/>
            <w:noWrap/>
            <w:vAlign w:val="center"/>
            <w:hideMark/>
          </w:tcPr>
          <w:p w14:paraId="15248002"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Contact angle</w:t>
            </w:r>
          </w:p>
        </w:tc>
      </w:tr>
      <w:tr w:rsidR="00F07199" w:rsidRPr="00246FF5" w14:paraId="6E10C841" w14:textId="77777777" w:rsidTr="00E2537D">
        <w:trPr>
          <w:trHeight w:val="290"/>
          <w:jc w:val="center"/>
        </w:trPr>
        <w:tc>
          <w:tcPr>
            <w:tcW w:w="1440" w:type="dxa"/>
            <w:vMerge w:val="restart"/>
            <w:tcBorders>
              <w:top w:val="nil"/>
              <w:left w:val="nil"/>
              <w:bottom w:val="single" w:sz="4" w:space="0" w:color="000000"/>
              <w:right w:val="nil"/>
            </w:tcBorders>
            <w:shd w:val="clear" w:color="000000" w:fill="FFFFFF"/>
            <w:noWrap/>
            <w:textDirection w:val="btLr"/>
            <w:vAlign w:val="center"/>
            <w:hideMark/>
          </w:tcPr>
          <w:p w14:paraId="6BCD5BD7"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Zinc Oxide</w:t>
            </w:r>
          </w:p>
        </w:tc>
        <w:tc>
          <w:tcPr>
            <w:tcW w:w="1859" w:type="dxa"/>
            <w:vMerge w:val="restart"/>
            <w:tcBorders>
              <w:top w:val="nil"/>
              <w:left w:val="nil"/>
              <w:bottom w:val="nil"/>
              <w:right w:val="nil"/>
            </w:tcBorders>
            <w:shd w:val="clear" w:color="000000" w:fill="FFFFFF"/>
            <w:noWrap/>
            <w:vAlign w:val="center"/>
            <w:hideMark/>
          </w:tcPr>
          <w:p w14:paraId="4049400A"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3361" w:type="dxa"/>
            <w:tcBorders>
              <w:top w:val="nil"/>
              <w:left w:val="nil"/>
              <w:bottom w:val="single" w:sz="4" w:space="0" w:color="auto"/>
              <w:right w:val="nil"/>
            </w:tcBorders>
            <w:shd w:val="clear" w:color="000000" w:fill="FFFFFF"/>
            <w:vAlign w:val="center"/>
            <w:hideMark/>
          </w:tcPr>
          <w:p w14:paraId="552AA011"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Thin-layer wicking method</w:t>
            </w:r>
          </w:p>
        </w:tc>
        <w:tc>
          <w:tcPr>
            <w:tcW w:w="1620" w:type="dxa"/>
            <w:tcBorders>
              <w:top w:val="nil"/>
              <w:left w:val="nil"/>
              <w:bottom w:val="single" w:sz="4" w:space="0" w:color="auto"/>
              <w:right w:val="nil"/>
            </w:tcBorders>
            <w:shd w:val="clear" w:color="auto" w:fill="auto"/>
            <w:noWrap/>
            <w:vAlign w:val="center"/>
            <w:hideMark/>
          </w:tcPr>
          <w:p w14:paraId="5F4B7D3F"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17, 28</w:t>
            </w:r>
          </w:p>
        </w:tc>
      </w:tr>
      <w:tr w:rsidR="00F07199" w:rsidRPr="00246FF5" w14:paraId="66AE8CA3" w14:textId="77777777" w:rsidTr="00E2537D">
        <w:trPr>
          <w:trHeight w:val="290"/>
          <w:jc w:val="center"/>
        </w:trPr>
        <w:tc>
          <w:tcPr>
            <w:tcW w:w="1440" w:type="dxa"/>
            <w:vMerge/>
            <w:tcBorders>
              <w:top w:val="nil"/>
              <w:left w:val="nil"/>
              <w:bottom w:val="single" w:sz="4" w:space="0" w:color="000000"/>
              <w:right w:val="nil"/>
            </w:tcBorders>
            <w:vAlign w:val="center"/>
            <w:hideMark/>
          </w:tcPr>
          <w:p w14:paraId="14DF54CF"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vMerge/>
            <w:tcBorders>
              <w:top w:val="nil"/>
              <w:left w:val="nil"/>
              <w:bottom w:val="nil"/>
              <w:right w:val="nil"/>
            </w:tcBorders>
            <w:vAlign w:val="center"/>
            <w:hideMark/>
          </w:tcPr>
          <w:p w14:paraId="56C551F4" w14:textId="77777777" w:rsidR="00F07199" w:rsidRPr="00246FF5" w:rsidRDefault="00F07199" w:rsidP="00CC2C28">
            <w:pPr>
              <w:spacing w:after="0" w:line="240" w:lineRule="auto"/>
              <w:rPr>
                <w:rFonts w:eastAsia="Times New Roman" w:cs="Times New Roman"/>
                <w:color w:val="000000"/>
                <w:szCs w:val="24"/>
                <w:lang w:val="en-US"/>
              </w:rPr>
            </w:pPr>
          </w:p>
        </w:tc>
        <w:tc>
          <w:tcPr>
            <w:tcW w:w="3361" w:type="dxa"/>
            <w:tcBorders>
              <w:top w:val="nil"/>
              <w:left w:val="nil"/>
              <w:bottom w:val="single" w:sz="4" w:space="0" w:color="auto"/>
              <w:right w:val="nil"/>
            </w:tcBorders>
            <w:shd w:val="clear" w:color="000000" w:fill="FFFFFF"/>
            <w:vAlign w:val="center"/>
            <w:hideMark/>
          </w:tcPr>
          <w:p w14:paraId="6AE5E5CA"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Static contact angle</w:t>
            </w:r>
          </w:p>
        </w:tc>
        <w:tc>
          <w:tcPr>
            <w:tcW w:w="1620" w:type="dxa"/>
            <w:tcBorders>
              <w:top w:val="nil"/>
              <w:left w:val="nil"/>
              <w:bottom w:val="nil"/>
              <w:right w:val="nil"/>
            </w:tcBorders>
            <w:shd w:val="clear" w:color="auto" w:fill="auto"/>
            <w:noWrap/>
            <w:vAlign w:val="center"/>
            <w:hideMark/>
          </w:tcPr>
          <w:p w14:paraId="10AD62A8"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8.5</w:t>
            </w:r>
          </w:p>
        </w:tc>
      </w:tr>
      <w:tr w:rsidR="00F07199" w:rsidRPr="00246FF5" w14:paraId="45E7D675" w14:textId="77777777" w:rsidTr="00E2537D">
        <w:trPr>
          <w:trHeight w:val="290"/>
          <w:jc w:val="center"/>
        </w:trPr>
        <w:tc>
          <w:tcPr>
            <w:tcW w:w="1440" w:type="dxa"/>
            <w:vMerge/>
            <w:tcBorders>
              <w:top w:val="nil"/>
              <w:left w:val="nil"/>
              <w:bottom w:val="single" w:sz="4" w:space="0" w:color="000000"/>
              <w:right w:val="nil"/>
            </w:tcBorders>
            <w:vAlign w:val="center"/>
            <w:hideMark/>
          </w:tcPr>
          <w:p w14:paraId="51563F9A"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tcBorders>
              <w:top w:val="single" w:sz="4" w:space="0" w:color="auto"/>
              <w:left w:val="nil"/>
              <w:bottom w:val="single" w:sz="4" w:space="0" w:color="auto"/>
              <w:right w:val="nil"/>
            </w:tcBorders>
            <w:shd w:val="clear" w:color="000000" w:fill="FFFFFF"/>
            <w:noWrap/>
            <w:vAlign w:val="center"/>
            <w:hideMark/>
          </w:tcPr>
          <w:p w14:paraId="74D2D07B"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3361" w:type="dxa"/>
            <w:tcBorders>
              <w:top w:val="single" w:sz="4" w:space="0" w:color="auto"/>
              <w:left w:val="nil"/>
              <w:bottom w:val="nil"/>
              <w:right w:val="nil"/>
            </w:tcBorders>
            <w:shd w:val="clear" w:color="000000" w:fill="FFFFFF"/>
            <w:vAlign w:val="center"/>
            <w:hideMark/>
          </w:tcPr>
          <w:p w14:paraId="56950135"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Thin-layer wicking method</w:t>
            </w:r>
          </w:p>
        </w:tc>
        <w:tc>
          <w:tcPr>
            <w:tcW w:w="1620" w:type="dxa"/>
            <w:tcBorders>
              <w:top w:val="single" w:sz="4" w:space="0" w:color="auto"/>
              <w:left w:val="nil"/>
              <w:bottom w:val="nil"/>
              <w:right w:val="nil"/>
            </w:tcBorders>
            <w:shd w:val="clear" w:color="auto" w:fill="auto"/>
            <w:noWrap/>
            <w:vAlign w:val="center"/>
            <w:hideMark/>
          </w:tcPr>
          <w:p w14:paraId="2D5C3847"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25, 22</w:t>
            </w:r>
          </w:p>
        </w:tc>
      </w:tr>
      <w:tr w:rsidR="00F07199" w:rsidRPr="00246FF5" w14:paraId="486093F4" w14:textId="77777777" w:rsidTr="00E2537D">
        <w:trPr>
          <w:trHeight w:val="290"/>
          <w:jc w:val="center"/>
        </w:trPr>
        <w:tc>
          <w:tcPr>
            <w:tcW w:w="1440" w:type="dxa"/>
            <w:vMerge/>
            <w:tcBorders>
              <w:top w:val="nil"/>
              <w:left w:val="nil"/>
              <w:bottom w:val="single" w:sz="4" w:space="0" w:color="000000"/>
              <w:right w:val="nil"/>
            </w:tcBorders>
            <w:vAlign w:val="center"/>
            <w:hideMark/>
          </w:tcPr>
          <w:p w14:paraId="6A1B1819"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vMerge w:val="restart"/>
            <w:tcBorders>
              <w:top w:val="single" w:sz="4" w:space="0" w:color="auto"/>
              <w:left w:val="nil"/>
              <w:bottom w:val="single" w:sz="4" w:space="0" w:color="auto"/>
              <w:right w:val="nil"/>
            </w:tcBorders>
            <w:shd w:val="clear" w:color="000000" w:fill="FFFFFF"/>
            <w:noWrap/>
            <w:vAlign w:val="center"/>
            <w:hideMark/>
          </w:tcPr>
          <w:p w14:paraId="2C786FDE"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Water</w:t>
            </w:r>
          </w:p>
        </w:tc>
        <w:tc>
          <w:tcPr>
            <w:tcW w:w="3361" w:type="dxa"/>
            <w:tcBorders>
              <w:top w:val="single" w:sz="4" w:space="0" w:color="auto"/>
              <w:left w:val="nil"/>
              <w:bottom w:val="single" w:sz="4" w:space="0" w:color="auto"/>
              <w:right w:val="nil"/>
            </w:tcBorders>
            <w:shd w:val="clear" w:color="000000" w:fill="FFFFFF"/>
            <w:vAlign w:val="center"/>
            <w:hideMark/>
          </w:tcPr>
          <w:p w14:paraId="236869FF"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Static contact angle</w:t>
            </w:r>
          </w:p>
        </w:tc>
        <w:tc>
          <w:tcPr>
            <w:tcW w:w="1620" w:type="dxa"/>
            <w:tcBorders>
              <w:top w:val="single" w:sz="4" w:space="0" w:color="auto"/>
              <w:left w:val="nil"/>
              <w:bottom w:val="single" w:sz="4" w:space="0" w:color="auto"/>
              <w:right w:val="nil"/>
            </w:tcBorders>
            <w:shd w:val="clear" w:color="auto" w:fill="auto"/>
            <w:noWrap/>
            <w:vAlign w:val="center"/>
            <w:hideMark/>
          </w:tcPr>
          <w:p w14:paraId="77B72703"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88.6</w:t>
            </w:r>
          </w:p>
        </w:tc>
      </w:tr>
      <w:tr w:rsidR="00F07199" w:rsidRPr="00246FF5" w14:paraId="74885AB7" w14:textId="77777777" w:rsidTr="00E2537D">
        <w:trPr>
          <w:trHeight w:val="290"/>
          <w:jc w:val="center"/>
        </w:trPr>
        <w:tc>
          <w:tcPr>
            <w:tcW w:w="1440" w:type="dxa"/>
            <w:vMerge/>
            <w:tcBorders>
              <w:top w:val="nil"/>
              <w:left w:val="nil"/>
              <w:bottom w:val="single" w:sz="4" w:space="0" w:color="000000"/>
              <w:right w:val="nil"/>
            </w:tcBorders>
            <w:vAlign w:val="center"/>
            <w:hideMark/>
          </w:tcPr>
          <w:p w14:paraId="3C18C6D7"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vMerge/>
            <w:tcBorders>
              <w:top w:val="single" w:sz="4" w:space="0" w:color="auto"/>
              <w:left w:val="nil"/>
              <w:bottom w:val="single" w:sz="4" w:space="0" w:color="auto"/>
              <w:right w:val="nil"/>
            </w:tcBorders>
            <w:vAlign w:val="center"/>
            <w:hideMark/>
          </w:tcPr>
          <w:p w14:paraId="1D90FFB9" w14:textId="77777777" w:rsidR="00F07199" w:rsidRPr="00246FF5" w:rsidRDefault="00F07199" w:rsidP="00CC2C28">
            <w:pPr>
              <w:spacing w:after="0" w:line="240" w:lineRule="auto"/>
              <w:rPr>
                <w:rFonts w:eastAsia="Times New Roman" w:cs="Times New Roman"/>
                <w:color w:val="000000"/>
                <w:szCs w:val="24"/>
                <w:lang w:val="en-US"/>
              </w:rPr>
            </w:pPr>
          </w:p>
        </w:tc>
        <w:tc>
          <w:tcPr>
            <w:tcW w:w="3361" w:type="dxa"/>
            <w:tcBorders>
              <w:top w:val="nil"/>
              <w:left w:val="nil"/>
              <w:bottom w:val="single" w:sz="4" w:space="0" w:color="auto"/>
              <w:right w:val="nil"/>
            </w:tcBorders>
            <w:shd w:val="clear" w:color="000000" w:fill="FFFFFF"/>
            <w:vAlign w:val="center"/>
            <w:hideMark/>
          </w:tcPr>
          <w:p w14:paraId="5EAF18F9"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Static contact angle</w:t>
            </w:r>
          </w:p>
        </w:tc>
        <w:tc>
          <w:tcPr>
            <w:tcW w:w="1620" w:type="dxa"/>
            <w:tcBorders>
              <w:top w:val="nil"/>
              <w:left w:val="nil"/>
              <w:bottom w:val="single" w:sz="4" w:space="0" w:color="auto"/>
              <w:right w:val="nil"/>
            </w:tcBorders>
            <w:shd w:val="clear" w:color="auto" w:fill="auto"/>
            <w:noWrap/>
            <w:vAlign w:val="center"/>
            <w:hideMark/>
          </w:tcPr>
          <w:p w14:paraId="7E5DEE35"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81</w:t>
            </w:r>
          </w:p>
        </w:tc>
      </w:tr>
      <w:tr w:rsidR="00F07199" w:rsidRPr="00246FF5" w14:paraId="682861CC" w14:textId="77777777" w:rsidTr="00E2537D">
        <w:trPr>
          <w:trHeight w:val="350"/>
          <w:jc w:val="center"/>
        </w:trPr>
        <w:tc>
          <w:tcPr>
            <w:tcW w:w="1440" w:type="dxa"/>
            <w:vMerge w:val="restart"/>
            <w:tcBorders>
              <w:top w:val="nil"/>
              <w:left w:val="nil"/>
              <w:bottom w:val="single" w:sz="4" w:space="0" w:color="000000"/>
              <w:right w:val="nil"/>
            </w:tcBorders>
            <w:shd w:val="clear" w:color="000000" w:fill="FFFFFF"/>
            <w:textDirection w:val="btLr"/>
            <w:vAlign w:val="center"/>
            <w:hideMark/>
          </w:tcPr>
          <w:p w14:paraId="2E0D1B3D"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Titanium Dioxide</w:t>
            </w:r>
          </w:p>
        </w:tc>
        <w:tc>
          <w:tcPr>
            <w:tcW w:w="1859" w:type="dxa"/>
            <w:tcBorders>
              <w:top w:val="nil"/>
              <w:left w:val="nil"/>
              <w:bottom w:val="single" w:sz="4" w:space="0" w:color="auto"/>
              <w:right w:val="nil"/>
            </w:tcBorders>
            <w:shd w:val="clear" w:color="000000" w:fill="FFFFFF"/>
            <w:noWrap/>
            <w:vAlign w:val="center"/>
            <w:hideMark/>
          </w:tcPr>
          <w:p w14:paraId="47DAB745"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Diiodomethane</w:t>
            </w:r>
          </w:p>
        </w:tc>
        <w:tc>
          <w:tcPr>
            <w:tcW w:w="3361" w:type="dxa"/>
            <w:tcBorders>
              <w:top w:val="nil"/>
              <w:left w:val="nil"/>
              <w:bottom w:val="single" w:sz="4" w:space="0" w:color="auto"/>
              <w:right w:val="nil"/>
            </w:tcBorders>
            <w:shd w:val="clear" w:color="000000" w:fill="FFFFFF"/>
            <w:vAlign w:val="center"/>
            <w:hideMark/>
          </w:tcPr>
          <w:p w14:paraId="2CB5B02E"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Static contact angle</w:t>
            </w:r>
          </w:p>
        </w:tc>
        <w:tc>
          <w:tcPr>
            <w:tcW w:w="1620" w:type="dxa"/>
            <w:tcBorders>
              <w:top w:val="nil"/>
              <w:left w:val="nil"/>
              <w:bottom w:val="single" w:sz="4" w:space="0" w:color="auto"/>
              <w:right w:val="nil"/>
            </w:tcBorders>
            <w:shd w:val="clear" w:color="auto" w:fill="auto"/>
            <w:noWrap/>
            <w:vAlign w:val="center"/>
            <w:hideMark/>
          </w:tcPr>
          <w:p w14:paraId="51348D95"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16.3</w:t>
            </w:r>
          </w:p>
        </w:tc>
      </w:tr>
      <w:tr w:rsidR="00F07199" w:rsidRPr="00246FF5" w14:paraId="6761600D" w14:textId="77777777" w:rsidTr="00E2537D">
        <w:trPr>
          <w:trHeight w:val="332"/>
          <w:jc w:val="center"/>
        </w:trPr>
        <w:tc>
          <w:tcPr>
            <w:tcW w:w="1440" w:type="dxa"/>
            <w:vMerge/>
            <w:tcBorders>
              <w:top w:val="nil"/>
              <w:left w:val="nil"/>
              <w:bottom w:val="single" w:sz="4" w:space="0" w:color="000000"/>
              <w:right w:val="nil"/>
            </w:tcBorders>
            <w:vAlign w:val="center"/>
            <w:hideMark/>
          </w:tcPr>
          <w:p w14:paraId="703CB2B0"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tcBorders>
              <w:top w:val="nil"/>
              <w:left w:val="nil"/>
              <w:bottom w:val="single" w:sz="4" w:space="0" w:color="auto"/>
              <w:right w:val="nil"/>
            </w:tcBorders>
            <w:shd w:val="clear" w:color="000000" w:fill="FFFFFF"/>
            <w:noWrap/>
            <w:vAlign w:val="center"/>
            <w:hideMark/>
          </w:tcPr>
          <w:p w14:paraId="639FF323"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Formamide</w:t>
            </w:r>
          </w:p>
        </w:tc>
        <w:tc>
          <w:tcPr>
            <w:tcW w:w="3361" w:type="dxa"/>
            <w:tcBorders>
              <w:top w:val="nil"/>
              <w:left w:val="nil"/>
              <w:bottom w:val="single" w:sz="4" w:space="0" w:color="auto"/>
              <w:right w:val="nil"/>
            </w:tcBorders>
            <w:shd w:val="clear" w:color="000000" w:fill="FFFFFF"/>
            <w:vAlign w:val="center"/>
            <w:hideMark/>
          </w:tcPr>
          <w:p w14:paraId="0A3F6075"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Washburn Method - Rutile</w:t>
            </w:r>
          </w:p>
        </w:tc>
        <w:tc>
          <w:tcPr>
            <w:tcW w:w="1620" w:type="dxa"/>
            <w:tcBorders>
              <w:top w:val="nil"/>
              <w:left w:val="nil"/>
              <w:bottom w:val="single" w:sz="4" w:space="0" w:color="auto"/>
              <w:right w:val="nil"/>
            </w:tcBorders>
            <w:shd w:val="clear" w:color="auto" w:fill="auto"/>
            <w:noWrap/>
            <w:vAlign w:val="center"/>
            <w:hideMark/>
          </w:tcPr>
          <w:p w14:paraId="3C641AB5"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50-65</w:t>
            </w:r>
          </w:p>
        </w:tc>
      </w:tr>
      <w:tr w:rsidR="00F07199" w:rsidRPr="00246FF5" w14:paraId="495BF122" w14:textId="77777777" w:rsidTr="00E2537D">
        <w:trPr>
          <w:trHeight w:val="368"/>
          <w:jc w:val="center"/>
        </w:trPr>
        <w:tc>
          <w:tcPr>
            <w:tcW w:w="1440" w:type="dxa"/>
            <w:vMerge/>
            <w:tcBorders>
              <w:top w:val="nil"/>
              <w:left w:val="nil"/>
              <w:bottom w:val="single" w:sz="4" w:space="0" w:color="000000"/>
              <w:right w:val="nil"/>
            </w:tcBorders>
            <w:vAlign w:val="center"/>
            <w:hideMark/>
          </w:tcPr>
          <w:p w14:paraId="1DAECBCF"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tcBorders>
              <w:top w:val="nil"/>
              <w:left w:val="nil"/>
              <w:bottom w:val="single" w:sz="4" w:space="0" w:color="auto"/>
              <w:right w:val="nil"/>
            </w:tcBorders>
            <w:shd w:val="clear" w:color="000000" w:fill="FFFFFF"/>
            <w:noWrap/>
            <w:vAlign w:val="center"/>
            <w:hideMark/>
          </w:tcPr>
          <w:p w14:paraId="55CD8C0E"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Bromonaphthalene</w:t>
            </w:r>
          </w:p>
        </w:tc>
        <w:tc>
          <w:tcPr>
            <w:tcW w:w="3361" w:type="dxa"/>
            <w:tcBorders>
              <w:top w:val="nil"/>
              <w:left w:val="nil"/>
              <w:bottom w:val="single" w:sz="4" w:space="0" w:color="auto"/>
              <w:right w:val="nil"/>
            </w:tcBorders>
            <w:shd w:val="clear" w:color="000000" w:fill="FFFFFF"/>
            <w:vAlign w:val="center"/>
            <w:hideMark/>
          </w:tcPr>
          <w:p w14:paraId="4982D658"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Washburn Method - Rutile</w:t>
            </w:r>
          </w:p>
        </w:tc>
        <w:tc>
          <w:tcPr>
            <w:tcW w:w="1620" w:type="dxa"/>
            <w:tcBorders>
              <w:top w:val="nil"/>
              <w:left w:val="nil"/>
              <w:bottom w:val="single" w:sz="4" w:space="0" w:color="auto"/>
              <w:right w:val="nil"/>
            </w:tcBorders>
            <w:shd w:val="clear" w:color="auto" w:fill="auto"/>
            <w:noWrap/>
            <w:vAlign w:val="center"/>
            <w:hideMark/>
          </w:tcPr>
          <w:p w14:paraId="3B65BEF8"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38-50</w:t>
            </w:r>
          </w:p>
        </w:tc>
      </w:tr>
      <w:tr w:rsidR="00F07199" w:rsidRPr="00246FF5" w14:paraId="3216293C" w14:textId="77777777" w:rsidTr="00E2537D">
        <w:trPr>
          <w:trHeight w:val="269"/>
          <w:jc w:val="center"/>
        </w:trPr>
        <w:tc>
          <w:tcPr>
            <w:tcW w:w="1440" w:type="dxa"/>
            <w:vMerge/>
            <w:tcBorders>
              <w:top w:val="nil"/>
              <w:left w:val="nil"/>
              <w:bottom w:val="single" w:sz="4" w:space="0" w:color="000000"/>
              <w:right w:val="nil"/>
            </w:tcBorders>
            <w:vAlign w:val="center"/>
            <w:hideMark/>
          </w:tcPr>
          <w:p w14:paraId="673E724D"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vMerge w:val="restart"/>
            <w:tcBorders>
              <w:top w:val="nil"/>
              <w:left w:val="nil"/>
              <w:bottom w:val="single" w:sz="4" w:space="0" w:color="000000"/>
              <w:right w:val="nil"/>
            </w:tcBorders>
            <w:shd w:val="clear" w:color="000000" w:fill="FFFFFF"/>
            <w:noWrap/>
            <w:vAlign w:val="center"/>
            <w:hideMark/>
          </w:tcPr>
          <w:p w14:paraId="61B3E2B7"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Water</w:t>
            </w:r>
          </w:p>
        </w:tc>
        <w:tc>
          <w:tcPr>
            <w:tcW w:w="3361" w:type="dxa"/>
            <w:tcBorders>
              <w:top w:val="nil"/>
              <w:left w:val="nil"/>
              <w:bottom w:val="single" w:sz="4" w:space="0" w:color="auto"/>
              <w:right w:val="nil"/>
            </w:tcBorders>
            <w:shd w:val="clear" w:color="000000" w:fill="FFFFFF"/>
            <w:vAlign w:val="center"/>
            <w:hideMark/>
          </w:tcPr>
          <w:p w14:paraId="4D0D7227"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Washburn Method - Rutile</w:t>
            </w:r>
          </w:p>
        </w:tc>
        <w:tc>
          <w:tcPr>
            <w:tcW w:w="1620" w:type="dxa"/>
            <w:tcBorders>
              <w:top w:val="nil"/>
              <w:left w:val="nil"/>
              <w:bottom w:val="single" w:sz="4" w:space="0" w:color="auto"/>
              <w:right w:val="nil"/>
            </w:tcBorders>
            <w:shd w:val="clear" w:color="auto" w:fill="auto"/>
            <w:noWrap/>
            <w:vAlign w:val="center"/>
            <w:hideMark/>
          </w:tcPr>
          <w:p w14:paraId="17E11CAF"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70-81</w:t>
            </w:r>
          </w:p>
        </w:tc>
      </w:tr>
      <w:tr w:rsidR="00F07199" w:rsidRPr="00246FF5" w14:paraId="605525D4" w14:textId="77777777" w:rsidTr="00E2537D">
        <w:trPr>
          <w:trHeight w:val="305"/>
          <w:jc w:val="center"/>
        </w:trPr>
        <w:tc>
          <w:tcPr>
            <w:tcW w:w="1440" w:type="dxa"/>
            <w:vMerge/>
            <w:tcBorders>
              <w:top w:val="nil"/>
              <w:left w:val="nil"/>
              <w:bottom w:val="single" w:sz="4" w:space="0" w:color="000000"/>
              <w:right w:val="nil"/>
            </w:tcBorders>
            <w:vAlign w:val="center"/>
            <w:hideMark/>
          </w:tcPr>
          <w:p w14:paraId="1738BD77"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vMerge/>
            <w:tcBorders>
              <w:top w:val="nil"/>
              <w:left w:val="nil"/>
              <w:bottom w:val="single" w:sz="4" w:space="0" w:color="000000"/>
              <w:right w:val="nil"/>
            </w:tcBorders>
            <w:vAlign w:val="center"/>
            <w:hideMark/>
          </w:tcPr>
          <w:p w14:paraId="76C92976" w14:textId="77777777" w:rsidR="00F07199" w:rsidRPr="00246FF5" w:rsidRDefault="00F07199" w:rsidP="00CC2C28">
            <w:pPr>
              <w:spacing w:after="0" w:line="240" w:lineRule="auto"/>
              <w:rPr>
                <w:rFonts w:eastAsia="Times New Roman" w:cs="Times New Roman"/>
                <w:color w:val="000000"/>
                <w:szCs w:val="24"/>
                <w:lang w:val="en-US"/>
              </w:rPr>
            </w:pPr>
          </w:p>
        </w:tc>
        <w:tc>
          <w:tcPr>
            <w:tcW w:w="3361" w:type="dxa"/>
            <w:tcBorders>
              <w:top w:val="nil"/>
              <w:left w:val="nil"/>
              <w:bottom w:val="single" w:sz="4" w:space="0" w:color="auto"/>
              <w:right w:val="nil"/>
            </w:tcBorders>
            <w:shd w:val="clear" w:color="000000" w:fill="FFFFFF"/>
            <w:vAlign w:val="center"/>
            <w:hideMark/>
          </w:tcPr>
          <w:p w14:paraId="1E488CA7"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Static contact angle</w:t>
            </w:r>
          </w:p>
        </w:tc>
        <w:tc>
          <w:tcPr>
            <w:tcW w:w="1620" w:type="dxa"/>
            <w:tcBorders>
              <w:top w:val="nil"/>
              <w:left w:val="nil"/>
              <w:bottom w:val="single" w:sz="4" w:space="0" w:color="auto"/>
              <w:right w:val="nil"/>
            </w:tcBorders>
            <w:shd w:val="clear" w:color="auto" w:fill="auto"/>
            <w:noWrap/>
            <w:vAlign w:val="center"/>
            <w:hideMark/>
          </w:tcPr>
          <w:p w14:paraId="6048B503"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74</w:t>
            </w:r>
          </w:p>
        </w:tc>
      </w:tr>
      <w:tr w:rsidR="00F07199" w:rsidRPr="00246FF5" w14:paraId="1F86017F" w14:textId="77777777" w:rsidTr="00E2537D">
        <w:trPr>
          <w:trHeight w:val="350"/>
          <w:jc w:val="center"/>
        </w:trPr>
        <w:tc>
          <w:tcPr>
            <w:tcW w:w="1440" w:type="dxa"/>
            <w:vMerge/>
            <w:tcBorders>
              <w:top w:val="nil"/>
              <w:left w:val="nil"/>
              <w:bottom w:val="single" w:sz="4" w:space="0" w:color="000000"/>
              <w:right w:val="nil"/>
            </w:tcBorders>
            <w:vAlign w:val="center"/>
            <w:hideMark/>
          </w:tcPr>
          <w:p w14:paraId="3D992BE1" w14:textId="77777777" w:rsidR="00F07199" w:rsidRPr="00246FF5" w:rsidRDefault="00F07199" w:rsidP="00CC2C28">
            <w:pPr>
              <w:spacing w:after="0" w:line="240" w:lineRule="auto"/>
              <w:rPr>
                <w:rFonts w:eastAsia="Times New Roman" w:cs="Times New Roman"/>
                <w:color w:val="000000"/>
                <w:szCs w:val="24"/>
                <w:lang w:val="en-US"/>
              </w:rPr>
            </w:pPr>
          </w:p>
        </w:tc>
        <w:tc>
          <w:tcPr>
            <w:tcW w:w="1859" w:type="dxa"/>
            <w:tcBorders>
              <w:top w:val="nil"/>
              <w:left w:val="nil"/>
              <w:bottom w:val="single" w:sz="4" w:space="0" w:color="auto"/>
              <w:right w:val="nil"/>
            </w:tcBorders>
            <w:shd w:val="clear" w:color="000000" w:fill="FFFFFF"/>
            <w:noWrap/>
            <w:vAlign w:val="center"/>
            <w:hideMark/>
          </w:tcPr>
          <w:p w14:paraId="383525DD"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Ethylene Glycol</w:t>
            </w:r>
          </w:p>
        </w:tc>
        <w:tc>
          <w:tcPr>
            <w:tcW w:w="3361" w:type="dxa"/>
            <w:tcBorders>
              <w:top w:val="nil"/>
              <w:left w:val="nil"/>
              <w:bottom w:val="single" w:sz="4" w:space="0" w:color="auto"/>
              <w:right w:val="nil"/>
            </w:tcBorders>
            <w:shd w:val="clear" w:color="000000" w:fill="FFFFFF"/>
            <w:vAlign w:val="center"/>
            <w:hideMark/>
          </w:tcPr>
          <w:p w14:paraId="69FA61EE" w14:textId="77777777" w:rsidR="00F07199" w:rsidRPr="00246FF5" w:rsidRDefault="00F07199" w:rsidP="00CC2C28">
            <w:pPr>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Static contact angle</w:t>
            </w:r>
          </w:p>
        </w:tc>
        <w:tc>
          <w:tcPr>
            <w:tcW w:w="1620" w:type="dxa"/>
            <w:tcBorders>
              <w:top w:val="nil"/>
              <w:left w:val="nil"/>
              <w:bottom w:val="single" w:sz="4" w:space="0" w:color="auto"/>
              <w:right w:val="nil"/>
            </w:tcBorders>
            <w:shd w:val="clear" w:color="auto" w:fill="auto"/>
            <w:noWrap/>
            <w:vAlign w:val="center"/>
            <w:hideMark/>
          </w:tcPr>
          <w:p w14:paraId="458BCEB6" w14:textId="77777777" w:rsidR="00F07199" w:rsidRPr="00246FF5" w:rsidRDefault="00F07199" w:rsidP="00CC2C28">
            <w:pPr>
              <w:spacing w:after="0" w:line="240" w:lineRule="auto"/>
              <w:jc w:val="center"/>
              <w:rPr>
                <w:rFonts w:eastAsia="Times New Roman" w:cs="Times New Roman"/>
                <w:color w:val="000000"/>
                <w:szCs w:val="24"/>
                <w:lang w:val="en-US"/>
              </w:rPr>
            </w:pPr>
            <w:r w:rsidRPr="00246FF5">
              <w:rPr>
                <w:rFonts w:eastAsia="Times New Roman" w:cs="Times New Roman"/>
                <w:color w:val="000000"/>
                <w:szCs w:val="24"/>
                <w:lang w:val="en-US"/>
              </w:rPr>
              <w:t>44</w:t>
            </w:r>
          </w:p>
        </w:tc>
      </w:tr>
    </w:tbl>
    <w:p w14:paraId="5DE267FC" w14:textId="77777777" w:rsidR="002003DD" w:rsidRDefault="002003DD" w:rsidP="006C7C08">
      <w:pPr>
        <w:spacing w:after="0" w:line="480" w:lineRule="auto"/>
        <w:ind w:firstLine="708"/>
        <w:jc w:val="both"/>
        <w:rPr>
          <w:rFonts w:cs="Times New Roman"/>
          <w:szCs w:val="24"/>
          <w:lang w:val="en-US"/>
        </w:rPr>
      </w:pPr>
    </w:p>
    <w:p w14:paraId="3FC8E301" w14:textId="7FD3C926" w:rsidR="006C7C08" w:rsidRPr="006C7C08" w:rsidRDefault="002003DD" w:rsidP="006C7C08">
      <w:pPr>
        <w:spacing w:after="0" w:line="480" w:lineRule="auto"/>
        <w:ind w:firstLine="708"/>
        <w:jc w:val="both"/>
        <w:rPr>
          <w:rFonts w:cs="Times New Roman"/>
          <w:szCs w:val="24"/>
          <w:lang w:val="en-US"/>
        </w:rPr>
      </w:pPr>
      <w:r w:rsidRPr="002003DD">
        <w:rPr>
          <w:lang w:val="en-US"/>
        </w:rPr>
        <w:t>The correlation between the experimental data reported in the present study and literature values has indicated that a clear correlation could not be found between the modified-DPM and the accuracy of the experimental results obtained</w:t>
      </w:r>
      <w:r>
        <w:rPr>
          <w:lang w:val="en-US"/>
        </w:rPr>
        <w:t xml:space="preserve"> (</w:t>
      </w:r>
      <w:r>
        <w:rPr>
          <w:lang w:val="en-US"/>
        </w:rPr>
        <w:fldChar w:fldCharType="begin"/>
      </w:r>
      <w:r>
        <w:rPr>
          <w:lang w:val="en-US"/>
        </w:rPr>
        <w:instrText xml:space="preserve"> REF _Ref45572885 \h </w:instrText>
      </w:r>
      <w:r>
        <w:rPr>
          <w:lang w:val="en-US"/>
        </w:rPr>
      </w:r>
      <w:r>
        <w:rPr>
          <w:lang w:val="en-US"/>
        </w:rPr>
        <w:fldChar w:fldCharType="separate"/>
      </w:r>
      <w:r w:rsidR="0008188F" w:rsidRPr="007C39B4">
        <w:rPr>
          <w:lang w:val="en-US"/>
        </w:rPr>
        <w:t xml:space="preserve">Figure </w:t>
      </w:r>
      <w:r w:rsidR="0008188F">
        <w:rPr>
          <w:noProof/>
          <w:lang w:val="en-US"/>
        </w:rPr>
        <w:t>11</w:t>
      </w:r>
      <w:r>
        <w:rPr>
          <w:lang w:val="en-US"/>
        </w:rPr>
        <w:fldChar w:fldCharType="end"/>
      </w:r>
      <w:r w:rsidR="00F07199" w:rsidRPr="7579317E">
        <w:rPr>
          <w:rFonts w:cs="Times New Roman"/>
          <w:szCs w:val="24"/>
          <w:lang w:val="en-US"/>
        </w:rPr>
        <w:t>).</w:t>
      </w:r>
      <w:r w:rsidR="00F07199">
        <w:rPr>
          <w:rFonts w:cs="Times New Roman"/>
          <w:szCs w:val="24"/>
          <w:lang w:val="en-US"/>
        </w:rPr>
        <w:t xml:space="preserve"> The thin layer wicking method is a variation of the WCR method.</w:t>
      </w:r>
      <w:r w:rsidR="002F48E9">
        <w:rPr>
          <w:rFonts w:cs="Times New Roman"/>
          <w:szCs w:val="24"/>
          <w:lang w:val="en-US"/>
        </w:rPr>
        <w:t xml:space="preserve"> For the thin layer wicking method</w:t>
      </w:r>
      <w:r w:rsidR="00F07199">
        <w:rPr>
          <w:rFonts w:cs="Times New Roman"/>
          <w:szCs w:val="24"/>
          <w:lang w:val="en-US"/>
        </w:rPr>
        <w:t>, a thin layer of powders is deposited onto a substrate to f</w:t>
      </w:r>
      <w:r w:rsidR="002F48E9">
        <w:rPr>
          <w:rFonts w:cs="Times New Roman"/>
          <w:szCs w:val="24"/>
          <w:lang w:val="en-US"/>
        </w:rPr>
        <w:t>or</w:t>
      </w:r>
      <w:r w:rsidR="00F07199">
        <w:rPr>
          <w:rFonts w:cs="Times New Roman"/>
          <w:szCs w:val="24"/>
          <w:lang w:val="en-US"/>
        </w:rPr>
        <w:t xml:space="preserve">m a particle suspension. The surfaces in which the literature contact angle values were measured on varied across the studies reviewed where insufficient contact angles data on compact powders was observed; therefore, literature values typically reflect contact angle measurements performed on solid specimens as well as on the surfaces of </w:t>
      </w:r>
      <w:r w:rsidR="00814908">
        <w:rPr>
          <w:noProof/>
          <w:lang w:val="en-US"/>
        </w:rPr>
        <w:drawing>
          <wp:anchor distT="0" distB="0" distL="114300" distR="114300" simplePos="0" relativeHeight="251660288" behindDoc="0" locked="0" layoutInCell="1" allowOverlap="1" wp14:anchorId="0DA88197" wp14:editId="03D5D2DB">
            <wp:simplePos x="0" y="0"/>
            <wp:positionH relativeFrom="margin">
              <wp:align>right</wp:align>
            </wp:positionH>
            <wp:positionV relativeFrom="paragraph">
              <wp:posOffset>1404620</wp:posOffset>
            </wp:positionV>
            <wp:extent cx="5213350" cy="3524250"/>
            <wp:effectExtent l="0" t="0" r="6350" b="0"/>
            <wp:wrapSquare wrapText="bothSides"/>
            <wp:docPr id="13" name="Chart 13">
              <a:extLst xmlns:a="http://schemas.openxmlformats.org/drawingml/2006/main">
                <a:ext uri="{FF2B5EF4-FFF2-40B4-BE49-F238E27FC236}">
                  <a16:creationId xmlns:a16="http://schemas.microsoft.com/office/drawing/2014/main" id="{53FD6DC4-02D3-4D2B-AAB8-E04ACC40D6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F07199">
        <w:rPr>
          <w:rFonts w:cs="Times New Roman"/>
          <w:szCs w:val="24"/>
          <w:lang w:val="en-US"/>
        </w:rPr>
        <w:t>specimens fabricated using compacted powders.</w:t>
      </w:r>
    </w:p>
    <w:p w14:paraId="4F17214B" w14:textId="0E1171E9" w:rsidR="00781EBB" w:rsidRDefault="00F07199" w:rsidP="00781EBB">
      <w:pPr>
        <w:pStyle w:val="Caption"/>
        <w:jc w:val="both"/>
        <w:rPr>
          <w:rFonts w:cs="Times New Roman"/>
          <w:szCs w:val="24"/>
          <w:lang w:val="en-US"/>
        </w:rPr>
      </w:pPr>
      <w:r w:rsidRPr="00246FF5">
        <w:rPr>
          <w:rFonts w:cs="Times New Roman"/>
          <w:szCs w:val="24"/>
          <w:lang w:val="en-US"/>
        </w:rPr>
        <w:t xml:space="preserve"> </w:t>
      </w:r>
      <w:bookmarkStart w:id="50" w:name="_Ref36305189"/>
    </w:p>
    <w:p w14:paraId="4DBABD0F" w14:textId="177B6503" w:rsidR="007C39B4" w:rsidRPr="007C39B4" w:rsidRDefault="007C39B4" w:rsidP="007C39B4">
      <w:pPr>
        <w:pStyle w:val="Caption"/>
        <w:rPr>
          <w:lang w:val="en-US"/>
        </w:rPr>
      </w:pPr>
      <w:bookmarkStart w:id="51" w:name="_Ref45572885"/>
      <w:bookmarkStart w:id="52" w:name="_Toc45837582"/>
      <w:bookmarkEnd w:id="50"/>
      <w:r w:rsidRPr="007C39B4">
        <w:rPr>
          <w:lang w:val="en-US"/>
        </w:rPr>
        <w:t xml:space="preserve">Figure </w:t>
      </w:r>
      <w:r>
        <w:fldChar w:fldCharType="begin"/>
      </w:r>
      <w:r w:rsidRPr="007C39B4">
        <w:rPr>
          <w:lang w:val="en-US"/>
        </w:rPr>
        <w:instrText xml:space="preserve"> SEQ Figure \* ARABIC </w:instrText>
      </w:r>
      <w:r>
        <w:fldChar w:fldCharType="separate"/>
      </w:r>
      <w:r w:rsidR="0008188F">
        <w:rPr>
          <w:noProof/>
          <w:lang w:val="en-US"/>
        </w:rPr>
        <w:t>11</w:t>
      </w:r>
      <w:r>
        <w:fldChar w:fldCharType="end"/>
      </w:r>
      <w:bookmarkEnd w:id="51"/>
      <w:r w:rsidRPr="007C39B4">
        <w:rPr>
          <w:lang w:val="en-US"/>
        </w:rPr>
        <w:t xml:space="preserve"> </w:t>
      </w:r>
      <w:r>
        <w:rPr>
          <w:lang w:val="en-US"/>
        </w:rPr>
        <w:t xml:space="preserve">– </w:t>
      </w:r>
      <w:r w:rsidRPr="007C39B4">
        <w:rPr>
          <w:lang w:val="en-US"/>
        </w:rPr>
        <w:t>C</w:t>
      </w:r>
      <w:r>
        <w:rPr>
          <w:lang w:val="en-US"/>
        </w:rPr>
        <w:t>ontact angle measurement method vs. experimental contact angle</w:t>
      </w:r>
      <w:bookmarkEnd w:id="52"/>
    </w:p>
    <w:p w14:paraId="504DA22B" w14:textId="48285110" w:rsidR="00781EBB" w:rsidRDefault="009D6174" w:rsidP="00781EBB">
      <w:pPr>
        <w:spacing w:after="120" w:line="240" w:lineRule="auto"/>
        <w:jc w:val="both"/>
        <w:rPr>
          <w:rFonts w:cs="Times New Roman"/>
          <w:szCs w:val="24"/>
          <w:lang w:val="en-US"/>
        </w:rPr>
      </w:pPr>
      <w:r w:rsidRPr="009D6174">
        <w:rPr>
          <w:rFonts w:cs="Times New Roman"/>
          <w:szCs w:val="24"/>
          <w:lang w:val="en-US"/>
        </w:rPr>
        <w:t>Comparison of modified DPM experimental values and literature contact angle values based on the type of technique used. The results have indicated that an obvious correlation between the experimental and literature contact angle values with any particular method could not be made. (The thin layer wicking method is a variation of the WCR method with powder deposited on a substrate.) Ideally, values would fall on a line with a slope equal to 1.  This figure illustrates the challenge in obtaining reliable contact angles.  Symbol shape represents measurement technique and color the solvent used for zinc oxide and titanium dioxide substrates.</w:t>
      </w:r>
    </w:p>
    <w:p w14:paraId="708C1D69" w14:textId="4D532E87" w:rsidR="00F07199" w:rsidRPr="003955A9" w:rsidRDefault="00F07199" w:rsidP="00F07199">
      <w:pPr>
        <w:spacing w:after="120" w:line="240" w:lineRule="auto"/>
        <w:jc w:val="both"/>
        <w:rPr>
          <w:rFonts w:cs="Times New Roman"/>
          <w:b/>
          <w:szCs w:val="24"/>
          <w:lang w:val="en-US"/>
        </w:rPr>
      </w:pPr>
    </w:p>
    <w:p w14:paraId="390D24DB" w14:textId="336C41B3" w:rsidR="00654E30" w:rsidRPr="00004721" w:rsidRDefault="008C1BB7" w:rsidP="00004721">
      <w:pPr>
        <w:pStyle w:val="Heading1"/>
        <w:rPr>
          <w:szCs w:val="24"/>
          <w:lang w:val="en-US"/>
        </w:rPr>
      </w:pPr>
      <w:r>
        <w:rPr>
          <w:szCs w:val="24"/>
          <w:lang w:val="en-US"/>
        </w:rPr>
        <w:br w:type="column"/>
      </w:r>
      <w:bookmarkStart w:id="53" w:name="_Toc45837547"/>
      <w:r w:rsidR="0053585C" w:rsidRPr="005B00D6">
        <w:rPr>
          <w:szCs w:val="24"/>
          <w:lang w:val="en-US"/>
        </w:rPr>
        <w:t>Chapter 3</w:t>
      </w:r>
      <w:r w:rsidR="00004721">
        <w:rPr>
          <w:szCs w:val="24"/>
          <w:lang w:val="en-US"/>
        </w:rPr>
        <w:t xml:space="preserve"> </w:t>
      </w:r>
      <w:r w:rsidR="006E30A8">
        <w:rPr>
          <w:szCs w:val="24"/>
          <w:lang w:val="en-US"/>
        </w:rPr>
        <w:t xml:space="preserve">– Potential of </w:t>
      </w:r>
      <w:r w:rsidR="00991B43">
        <w:rPr>
          <w:rFonts w:cs="Times New Roman"/>
          <w:szCs w:val="24"/>
          <w:lang w:val="en-US"/>
        </w:rPr>
        <w:t>An</w:t>
      </w:r>
      <w:r w:rsidR="00A302FA">
        <w:rPr>
          <w:rFonts w:cs="Times New Roman"/>
          <w:szCs w:val="24"/>
          <w:lang w:val="en-US"/>
        </w:rPr>
        <w:t>tibacterial Adhesive</w:t>
      </w:r>
      <w:r w:rsidR="00DC6872">
        <w:rPr>
          <w:rFonts w:cs="Times New Roman"/>
          <w:szCs w:val="24"/>
          <w:lang w:val="en-US"/>
        </w:rPr>
        <w:t>s</w:t>
      </w:r>
      <w:r w:rsidR="006E30A8">
        <w:rPr>
          <w:rFonts w:cs="Times New Roman"/>
          <w:szCs w:val="24"/>
          <w:lang w:val="en-US"/>
        </w:rPr>
        <w:t xml:space="preserve"> for Dental Applications</w:t>
      </w:r>
      <w:bookmarkEnd w:id="53"/>
    </w:p>
    <w:p w14:paraId="4908D91C" w14:textId="0FE491EA" w:rsidR="00421940" w:rsidRDefault="001104C6" w:rsidP="00444A03">
      <w:pPr>
        <w:pStyle w:val="Heading2"/>
      </w:pPr>
      <w:bookmarkStart w:id="54" w:name="_Toc45837548"/>
      <w:r>
        <w:t>I</w:t>
      </w:r>
      <w:r w:rsidR="00F66F5D">
        <w:t>ntroduction</w:t>
      </w:r>
      <w:bookmarkEnd w:id="54"/>
    </w:p>
    <w:p w14:paraId="27CA7826" w14:textId="27A5951D" w:rsidR="001E5ED8" w:rsidRDefault="00747E84" w:rsidP="00273D80">
      <w:pPr>
        <w:spacing w:line="480" w:lineRule="auto"/>
        <w:ind w:firstLine="708"/>
        <w:jc w:val="both"/>
        <w:rPr>
          <w:lang w:val="en-US"/>
        </w:rPr>
      </w:pPr>
      <w:r>
        <w:rPr>
          <w:lang w:val="en-US"/>
        </w:rPr>
        <w:t>Tooth decay resulting in c</w:t>
      </w:r>
      <w:r w:rsidRPr="00747E84">
        <w:rPr>
          <w:lang w:val="en-US"/>
        </w:rPr>
        <w:t xml:space="preserve">aries </w:t>
      </w:r>
      <w:r w:rsidR="003D3D2C">
        <w:rPr>
          <w:lang w:val="en-US"/>
        </w:rPr>
        <w:t>is</w:t>
      </w:r>
      <w:r w:rsidRPr="00747E84">
        <w:rPr>
          <w:lang w:val="en-US"/>
        </w:rPr>
        <w:t xml:space="preserve"> one of the most prevalent diseases in the world. If caries are left untreated, they can become a very painful problem</w:t>
      </w:r>
      <w:r>
        <w:rPr>
          <w:lang w:val="en-US"/>
        </w:rPr>
        <w:t xml:space="preserve"> that requires medical attention</w:t>
      </w:r>
      <w:r w:rsidRPr="00747E84">
        <w:rPr>
          <w:lang w:val="en-US"/>
        </w:rPr>
        <w:t xml:space="preserve">. </w:t>
      </w:r>
      <w:r>
        <w:rPr>
          <w:lang w:val="en-US"/>
        </w:rPr>
        <w:t>Commonly the damage from dental caries result</w:t>
      </w:r>
      <w:r w:rsidR="00C527E3">
        <w:rPr>
          <w:lang w:val="en-US"/>
        </w:rPr>
        <w:t>s</w:t>
      </w:r>
      <w:r>
        <w:rPr>
          <w:lang w:val="en-US"/>
        </w:rPr>
        <w:t xml:space="preserve"> in the use of dental restorative techniques. The damage from caries </w:t>
      </w:r>
      <w:r w:rsidR="00C527E3">
        <w:rPr>
          <w:lang w:val="en-US"/>
        </w:rPr>
        <w:t>is</w:t>
      </w:r>
      <w:r>
        <w:rPr>
          <w:lang w:val="en-US"/>
        </w:rPr>
        <w:t xml:space="preserve"> caused by bacterial adhesion to the tooth’s surface</w:t>
      </w:r>
      <w:r w:rsidR="00127EFC">
        <w:rPr>
          <w:lang w:val="en-US"/>
        </w:rPr>
        <w:t>.</w:t>
      </w:r>
    </w:p>
    <w:p w14:paraId="096065B5" w14:textId="42459977" w:rsidR="00494095" w:rsidRDefault="007F58AE" w:rsidP="00273D80">
      <w:pPr>
        <w:spacing w:line="480" w:lineRule="auto"/>
        <w:ind w:firstLine="708"/>
        <w:jc w:val="both"/>
        <w:rPr>
          <w:rFonts w:cs="Times New Roman"/>
          <w:szCs w:val="24"/>
          <w:lang w:val="en-US"/>
        </w:rPr>
      </w:pPr>
      <w:r w:rsidRPr="29941BFC">
        <w:rPr>
          <w:rFonts w:cs="Times New Roman"/>
          <w:lang w:val="en-US"/>
        </w:rPr>
        <w:t>A study conducted by Brighton University concluded that, “amine oxide showed high potential for controlling early biofilms caused by periodontal bacteria”</w:t>
      </w:r>
      <w:r w:rsidRPr="29941BFC">
        <w:rPr>
          <w:rFonts w:cs="Times New Roman"/>
          <w:lang w:val="en-US"/>
        </w:rPr>
        <w:fldChar w:fldCharType="begin" w:fldLock="1"/>
      </w:r>
      <w:r w:rsidR="004871C8">
        <w:rPr>
          <w:rFonts w:cs="Times New Roman"/>
          <w:lang w:val="en-US"/>
        </w:rPr>
        <w:instrText>ADDIN CSL_CITATION {"citationItems":[{"id":"ITEM-1","itemData":{"DOI":"10.1093/jac/dki325","ISBN":"0305-7453","abstract":"Aims: To assess the potential bactericidal activity of amine oxide (C10-C16-alkyldimethyl N-oxides) against Streptococcus mutans grown as planktonic suspension and as biofilm on hydroxyapatite discs, and its ability to control acidification of the media.Methods: Amine oxide bacteriostasis was investigated using the Bioscreen C Microbiological Growth Analyser, while a standard suspension test was used to determine its bactericidal efficacy. In addition, the lethal activity of amine oxide was studied against sedimentation biofilms of S. mutans on hydroxyapatite (HA) discs and resuspended biofilms. Several parameters were considered such as the surfactant concentration, pH, the starting inoculum and the maturity of the biofilm.Results: Amine oxide was bacteriostatic against planktonic S. mutans at a low concentration (0.006% v/v) and highly bactericidal against S. mutans in suspension or in a mature biofilm on hydroxyapatite, although the concentration required to achieve the latter effect was four times higher. The activity of amine oxide against biofilms depended upon its concentration and the age of the biofilm. In addition, amine oxide pre-treatment of the HA discs did not affect the growth of the biofilm. Finally, amine oxide did not prevent the acidification of the medium, although lower pHs had a potentiating effect on amine oxide activity.Conclusion: Amine oxide showed high potential for controlling early biofilms caused by periodontal bacteria. Further investigations should be carried out, particularly on the potential toxicity of amine oxide and its efficacy in complex formulations for oral care products.","author":[{"dropping-particle":"","family":"Fraud","given":"Sébastien","non-dropping-particle":"","parse-names":false,"suffix":""},{"dropping-particle":"","family":"Maillard","given":"Jean-Yves","non-dropping-particle":"","parse-names":false,"suffix":""},{"dropping-particle":"","family":"Kaminski","given":"Michael A","non-dropping-particle":"","parse-names":false,"suffix":""},{"dropping-particle":"","family":"Hanlon","given":"Geoffrey W","non-dropping-particle":"","parse-names":false,"suffix":""}],"container-title":"Journal of Antimicrobial Chemotherapy","id":"ITEM-1","issue":"4","issued":{"date-parts":[["2005"]]},"note":"10.1093/jac/dki325","page":"672-677","title":"Activity of amine oxide against biofilms of Streptococcus mutans: a potential biocide for oral care formulations","type":"article-journal","volume":"56"},"uris":["http://www.mendeley.com/documents/?uuid=771c0d39-a28b-4db3-850b-09cb077e1a24"]}],"mendeley":{"formattedCitation":"&lt;sup&gt;76&lt;/sup&gt;","plainTextFormattedCitation":"76","previouslyFormattedCitation":"&lt;sup&gt;76&lt;/sup&gt;"},"properties":{"noteIndex":0},"schema":"https://github.com/citation-style-language/schema/raw/master/csl-citation.json"}</w:instrText>
      </w:r>
      <w:r w:rsidRPr="29941BFC">
        <w:rPr>
          <w:rFonts w:cs="Times New Roman"/>
          <w:lang w:val="en-US"/>
        </w:rPr>
        <w:fldChar w:fldCharType="separate"/>
      </w:r>
      <w:r w:rsidR="00B01517" w:rsidRPr="00B01517">
        <w:rPr>
          <w:rFonts w:cs="Times New Roman"/>
          <w:noProof/>
          <w:vertAlign w:val="superscript"/>
          <w:lang w:val="en-US"/>
        </w:rPr>
        <w:t>76</w:t>
      </w:r>
      <w:r w:rsidRPr="29941BFC">
        <w:rPr>
          <w:rFonts w:cs="Times New Roman"/>
          <w:lang w:val="en-US"/>
        </w:rPr>
        <w:fldChar w:fldCharType="end"/>
      </w:r>
      <w:r w:rsidRPr="29941BFC">
        <w:rPr>
          <w:rFonts w:cs="Times New Roman"/>
          <w:lang w:val="en-US"/>
        </w:rPr>
        <w:t xml:space="preserve">. </w:t>
      </w:r>
      <w:r w:rsidR="00494095">
        <w:rPr>
          <w:lang w:val="en-US"/>
        </w:rPr>
        <w:t>A method of preventing bacterial adhesion to the tooth is to incorporate antibacterial materials such as zinc oxide nanoparticles</w:t>
      </w:r>
      <w:r>
        <w:rPr>
          <w:lang w:val="en-US"/>
        </w:rPr>
        <w:t xml:space="preserve"> and amine oxide surfactants </w:t>
      </w:r>
      <w:r w:rsidR="00494095">
        <w:rPr>
          <w:lang w:val="en-US"/>
        </w:rPr>
        <w:t xml:space="preserve">into dental adhesive resins. This would inhibit the growth of bacteria and decrease the likelihood of secondary caries. </w:t>
      </w:r>
      <w:r w:rsidR="00F80D19">
        <w:rPr>
          <w:lang w:val="en-US"/>
        </w:rPr>
        <w:t>It is desirable for the dental</w:t>
      </w:r>
      <w:r w:rsidR="00F80D19" w:rsidRPr="00F80D19">
        <w:rPr>
          <w:rFonts w:cs="Times New Roman"/>
          <w:szCs w:val="24"/>
          <w:lang w:val="en-US"/>
        </w:rPr>
        <w:t xml:space="preserve"> </w:t>
      </w:r>
      <w:r w:rsidR="00F80D19">
        <w:rPr>
          <w:rFonts w:cs="Times New Roman"/>
          <w:szCs w:val="24"/>
          <w:lang w:val="en-US"/>
        </w:rPr>
        <w:t xml:space="preserve">adhesive to possess antibacterial properties capable of deterring harmful bacterial growth, but not at the expense of the mechanical properties and bonding abilities of the dental adhesive. It important to determine the influence the nanoparticles </w:t>
      </w:r>
      <w:r>
        <w:rPr>
          <w:rFonts w:cs="Times New Roman"/>
          <w:szCs w:val="24"/>
          <w:lang w:val="en-US"/>
        </w:rPr>
        <w:t xml:space="preserve">and surfactant </w:t>
      </w:r>
      <w:r w:rsidR="00F80D19">
        <w:rPr>
          <w:rFonts w:cs="Times New Roman"/>
          <w:szCs w:val="24"/>
          <w:lang w:val="en-US"/>
        </w:rPr>
        <w:t>have on the mechanical properties of the adhesive resins.</w:t>
      </w:r>
      <w:r w:rsidR="00A163A4">
        <w:rPr>
          <w:rFonts w:cs="Times New Roman"/>
          <w:szCs w:val="24"/>
          <w:lang w:val="en-US"/>
        </w:rPr>
        <w:t xml:space="preserve"> If the bonding is weak, the adhesive may fail at that site.</w:t>
      </w:r>
      <w:r w:rsidR="00F80D19">
        <w:rPr>
          <w:rFonts w:cs="Times New Roman"/>
          <w:szCs w:val="24"/>
          <w:lang w:val="en-US"/>
        </w:rPr>
        <w:t xml:space="preserve"> One way this can be investigated is by measuring the contact angle of the adhesives with nanoparticle </w:t>
      </w:r>
      <w:r>
        <w:rPr>
          <w:rFonts w:cs="Times New Roman"/>
          <w:szCs w:val="24"/>
          <w:lang w:val="en-US"/>
        </w:rPr>
        <w:t xml:space="preserve">and surfactant </w:t>
      </w:r>
      <w:r w:rsidR="00F80D19">
        <w:rPr>
          <w:rFonts w:cs="Times New Roman"/>
          <w:szCs w:val="24"/>
          <w:lang w:val="en-US"/>
        </w:rPr>
        <w:t xml:space="preserve">incorporation. Knowing the hydrophobicity or hydrophilicity effects of the nanoparticles </w:t>
      </w:r>
      <w:r>
        <w:rPr>
          <w:rFonts w:cs="Times New Roman"/>
          <w:szCs w:val="24"/>
          <w:lang w:val="en-US"/>
        </w:rPr>
        <w:t xml:space="preserve">and surfactant </w:t>
      </w:r>
      <w:r w:rsidR="00F80D19">
        <w:rPr>
          <w:rFonts w:cs="Times New Roman"/>
          <w:szCs w:val="24"/>
          <w:lang w:val="en-US"/>
        </w:rPr>
        <w:t>when incorporated into the adhesive will give an idea of how the adhesive will react on the tooth’s surface. It is favorable for the adhesive to show hydrophobic properties because water</w:t>
      </w:r>
      <w:r w:rsidR="00A715B0">
        <w:rPr>
          <w:rFonts w:cs="Times New Roman"/>
          <w:szCs w:val="24"/>
          <w:lang w:val="en-US"/>
        </w:rPr>
        <w:t>-</w:t>
      </w:r>
      <w:r w:rsidR="00F80D19">
        <w:rPr>
          <w:rFonts w:cs="Times New Roman"/>
          <w:szCs w:val="24"/>
          <w:lang w:val="en-US"/>
        </w:rPr>
        <w:t>based saliva containing harmful bacteria will be deterred from entering possible gaps or cracks in the adhesive resin.</w:t>
      </w:r>
    </w:p>
    <w:p w14:paraId="69B403EA" w14:textId="45DB1517" w:rsidR="00A715B0" w:rsidRPr="00813D9B" w:rsidRDefault="00A715B0" w:rsidP="00273D80">
      <w:pPr>
        <w:spacing w:line="480" w:lineRule="auto"/>
        <w:ind w:firstLine="708"/>
        <w:jc w:val="both"/>
        <w:rPr>
          <w:lang w:val="en-US"/>
        </w:rPr>
      </w:pPr>
      <w:r>
        <w:rPr>
          <w:rFonts w:cs="Times New Roman"/>
          <w:szCs w:val="24"/>
          <w:lang w:val="en-US"/>
        </w:rPr>
        <w:t xml:space="preserve">Another important factor to consider when incorporating metallic nanoparticles </w:t>
      </w:r>
      <w:r w:rsidR="007F58AE">
        <w:rPr>
          <w:rFonts w:cs="Times New Roman"/>
          <w:szCs w:val="24"/>
          <w:lang w:val="en-US"/>
        </w:rPr>
        <w:t xml:space="preserve">and amine oxide surfactants </w:t>
      </w:r>
      <w:r>
        <w:rPr>
          <w:rFonts w:cs="Times New Roman"/>
          <w:szCs w:val="24"/>
          <w:lang w:val="en-US"/>
        </w:rPr>
        <w:t>into dental adhesives is to the antibacterial effects. It is expected that when incorporating metal</w:t>
      </w:r>
      <w:r w:rsidR="0037519D">
        <w:rPr>
          <w:rFonts w:cs="Times New Roman"/>
          <w:szCs w:val="24"/>
          <w:lang w:val="en-US"/>
        </w:rPr>
        <w:t xml:space="preserve"> </w:t>
      </w:r>
      <w:r>
        <w:rPr>
          <w:rFonts w:cs="Times New Roman"/>
          <w:szCs w:val="24"/>
          <w:lang w:val="en-US"/>
        </w:rPr>
        <w:t>oxides into the dental adhesives, there will be less bacteria adhesion and growth on the adhesive due to the nanoparticle’s antibacterial properties. The metallic nanoparticles will serve as a deterrent for bacteria</w:t>
      </w:r>
      <w:r w:rsidR="00532470">
        <w:rPr>
          <w:rFonts w:cs="Times New Roman"/>
          <w:szCs w:val="24"/>
          <w:lang w:val="en-US"/>
        </w:rPr>
        <w:t xml:space="preserve">. The main reason for </w:t>
      </w:r>
      <w:r>
        <w:rPr>
          <w:rFonts w:cs="Times New Roman"/>
          <w:szCs w:val="24"/>
          <w:lang w:val="en-US"/>
        </w:rPr>
        <w:t>nanoparticle incorporation</w:t>
      </w:r>
      <w:r w:rsidR="00532470">
        <w:rPr>
          <w:rFonts w:cs="Times New Roman"/>
          <w:szCs w:val="24"/>
          <w:lang w:val="en-US"/>
        </w:rPr>
        <w:t xml:space="preserve"> into the dental adhesive resins</w:t>
      </w:r>
      <w:r>
        <w:rPr>
          <w:rFonts w:cs="Times New Roman"/>
          <w:szCs w:val="24"/>
          <w:lang w:val="en-US"/>
        </w:rPr>
        <w:t xml:space="preserve"> is to prevent tooth decay from harmful bacteria found in the oral cavity</w:t>
      </w:r>
      <w:r w:rsidR="00994B6A">
        <w:rPr>
          <w:rFonts w:cs="Times New Roman"/>
          <w:szCs w:val="24"/>
          <w:lang w:val="en-US"/>
        </w:rPr>
        <w:t>; however, the surface wettability must</w:t>
      </w:r>
      <w:r w:rsidR="00FA393E">
        <w:rPr>
          <w:rFonts w:cs="Times New Roman"/>
          <w:szCs w:val="24"/>
          <w:lang w:val="en-US"/>
        </w:rPr>
        <w:t xml:space="preserve"> also</w:t>
      </w:r>
      <w:r w:rsidR="00994B6A">
        <w:rPr>
          <w:rFonts w:cs="Times New Roman"/>
          <w:szCs w:val="24"/>
          <w:lang w:val="en-US"/>
        </w:rPr>
        <w:t xml:space="preserve"> be examined in order to </w:t>
      </w:r>
      <w:r w:rsidR="00107E01">
        <w:rPr>
          <w:rFonts w:cs="Times New Roman"/>
          <w:szCs w:val="24"/>
          <w:lang w:val="en-US"/>
        </w:rPr>
        <w:t>determine the surface properties of the modified adhesive</w:t>
      </w:r>
      <w:r>
        <w:rPr>
          <w:rFonts w:cs="Times New Roman"/>
          <w:szCs w:val="24"/>
          <w:lang w:val="en-US"/>
        </w:rPr>
        <w:t>.</w:t>
      </w:r>
      <w:r w:rsidR="00107E01">
        <w:rPr>
          <w:rFonts w:cs="Times New Roman"/>
          <w:szCs w:val="24"/>
          <w:lang w:val="en-US"/>
        </w:rPr>
        <w:t xml:space="preserve"> The wettability will </w:t>
      </w:r>
      <w:r w:rsidR="001871A4">
        <w:rPr>
          <w:rFonts w:cs="Times New Roman"/>
          <w:szCs w:val="24"/>
          <w:lang w:val="en-US"/>
        </w:rPr>
        <w:t>help determine the overall mechanical strength of the adhesive.</w:t>
      </w:r>
    </w:p>
    <w:p w14:paraId="75F6395B" w14:textId="77777777" w:rsidR="001104C6" w:rsidRDefault="001104C6" w:rsidP="00273D80">
      <w:pPr>
        <w:pStyle w:val="Heading3"/>
        <w:jc w:val="both"/>
      </w:pPr>
      <w:bookmarkStart w:id="55" w:name="_Toc45837549"/>
      <w:r w:rsidRPr="00241A81">
        <w:t>Bacterial Influence</w:t>
      </w:r>
      <w:bookmarkEnd w:id="55"/>
    </w:p>
    <w:p w14:paraId="02034BD4" w14:textId="5CB15CF5" w:rsidR="001104C6" w:rsidRDefault="001104C6" w:rsidP="00273D80">
      <w:pPr>
        <w:spacing w:after="0" w:line="480" w:lineRule="auto"/>
        <w:jc w:val="both"/>
        <w:rPr>
          <w:rFonts w:cs="Times New Roman"/>
          <w:szCs w:val="24"/>
          <w:lang w:val="en-US"/>
        </w:rPr>
      </w:pPr>
      <w:r>
        <w:rPr>
          <w:lang w:val="en-US"/>
        </w:rPr>
        <w:tab/>
      </w:r>
      <w:r w:rsidRPr="007314F6">
        <w:rPr>
          <w:rFonts w:cs="Times New Roman"/>
          <w:szCs w:val="24"/>
          <w:lang w:val="en-US"/>
        </w:rPr>
        <w:t>The oral cavity has a vast array of bacteria residing in it. There is thought to be over 700 bacterial species or phylotypes residing in the oral cavity</w:t>
      </w:r>
      <w:r>
        <w:rPr>
          <w:rFonts w:cs="Times New Roman"/>
          <w:szCs w:val="24"/>
          <w:lang w:val="en-US"/>
        </w:rPr>
        <w:fldChar w:fldCharType="begin" w:fldLock="1"/>
      </w:r>
      <w:r w:rsidR="004871C8">
        <w:rPr>
          <w:rFonts w:cs="Times New Roman"/>
          <w:szCs w:val="24"/>
          <w:lang w:val="en-US"/>
        </w:rPr>
        <w:instrText>ADDIN CSL_CITATION {"citationItems":[{"id":"ITEM-1","itemData":{"DOI":"10.1128/JCM.43.11.5721-5732.2005","ISSN":"0095-1137","abstract":"More than 700 bacterial species or phylotypes, of which over 50% have not been cultivated, have been detected in the oral cavity. Our purposes were (i) to utilize culture-independent molecular techniques to extend our knowledge on the breadth of bacterial diversity in the healthy human oral cavity, including not-yet-cultivated bacteria species, and (ii) to determine the site and subject specificity of bacterial colonization. Nine sites from five clinically healthy subjects were analyzed. Sites included tongue dorsum, lateral sides of tongue, buccal epithelium, hard palate, soft palate, supragingival plaque of tooth surfaces, subgingival plaque, maxillary anterior vestibule, and tonsils. 16S rRNA genes from sample DNA were amplified, cloned, and transformed into Escherichia coli. Sequences of 16S rRNA genes were used to determine species identity or closest relatives. In 2,589 clones, 141 predominant species were detected, of which over 60% have not been cultivated. Thirteen new phylotypes were identified. Species common to all sites belonged to the genera Gemella, Granulicatella, Streptococcus, and Veillonella. While some species were subject specific and detected in most sites, other species were site specific. Most sites possessed 20 to 30 different predominant species, and the number of predominant species from all nine sites per individual ranged from 34 to 72. Species typically associated with periodontitis and caries were not detected. There is a distinctive predominant bacterial flora of the healthy oral cavity that is highly diverse and site and subject specific. It is important to fully define the human microflora of the healthy oral cavity before we can understand the role of bacteria in oral disease.","author":[{"dropping-particle":"","family":"Aas","given":"Jørn A","non-dropping-particle":"","parse-names":false,"suffix":""},{"dropping-particle":"","family":"Paster","given":"Bruce J","non-dropping-particle":"","parse-names":false,"suffix":""},{"dropping-particle":"","family":"Stokes","given":"Lauren N","non-dropping-particle":"","parse-names":false,"suffix":""},{"dropping-particle":"","family":"Olsen","given":"Ingar","non-dropping-particle":"","parse-names":false,"suffix":""},{"dropping-particle":"","family":"Dewhirst","given":"Floyd E","non-dropping-particle":"","parse-names":false,"suffix":""}],"container-title":"Journal of clinical microbiology","id":"ITEM-1","issue":"11","issued":{"date-parts":[["2005","11"]]},"language":"eng","page":"5721-5732","publisher":"American Society for Microbiology","title":"Defining the normal bacterial flora of the oral cavity","type":"article-journal","volume":"43"},"uris":["http://www.mendeley.com/documents/?uuid=9212ede8-dead-491f-8dc1-2574d47e98f9"]}],"mendeley":{"formattedCitation":"&lt;sup&gt;77&lt;/sup&gt;","plainTextFormattedCitation":"77","previouslyFormattedCitation":"&lt;sup&gt;77&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77</w:t>
      </w:r>
      <w:r>
        <w:rPr>
          <w:rFonts w:cs="Times New Roman"/>
          <w:szCs w:val="24"/>
          <w:lang w:val="en-US"/>
        </w:rPr>
        <w:fldChar w:fldCharType="end"/>
      </w:r>
      <w:r w:rsidRPr="007314F6">
        <w:rPr>
          <w:rFonts w:cs="Times New Roman"/>
          <w:szCs w:val="24"/>
          <w:lang w:val="en-US"/>
        </w:rPr>
        <w:t>.</w:t>
      </w:r>
      <w:r w:rsidRPr="007314F6">
        <w:rPr>
          <w:rFonts w:cs="Times New Roman"/>
          <w:szCs w:val="24"/>
          <w:vertAlign w:val="superscript"/>
          <w:lang w:val="en-US"/>
        </w:rPr>
        <w:t xml:space="preserve"> </w:t>
      </w:r>
      <w:r w:rsidRPr="007314F6">
        <w:rPr>
          <w:rFonts w:cs="Times New Roman"/>
          <w:szCs w:val="24"/>
          <w:lang w:val="en-US"/>
        </w:rPr>
        <w:t xml:space="preserve">The bacterium in the oral cavity can be beneficial to the host. The bacteria can also be harmful; however, in most cases, the bacteria provide a symbiotic relationship with the host. Some major benefits provided by the bacteria include: colonization resistance, down-regulation of potentially damaging host inflammatory responses, and active contributions to the normal development of the physiology of the mouth and the host defenses. The oral microbiome lives in harmony with the bacteria until there is </w:t>
      </w:r>
      <w:r>
        <w:rPr>
          <w:rFonts w:cs="Times New Roman"/>
          <w:szCs w:val="24"/>
          <w:lang w:val="en-US"/>
        </w:rPr>
        <w:t>a</w:t>
      </w:r>
      <w:r w:rsidRPr="007314F6">
        <w:rPr>
          <w:rFonts w:cs="Times New Roman"/>
          <w:szCs w:val="24"/>
          <w:lang w:val="en-US"/>
        </w:rPr>
        <w:t xml:space="preserve"> shift in the balance of the oral cavity that allows pathogenic bacteria to thrive and become harmful to the host. The bacteria that are present in a healthy oral microbiome, commensal bacteria, are accustomed to the oral cavity’s environment so when a harmful invader enters the cavity, the accustomed bacteria fight it off. However, it is proposed that when a major environmental shift occurs, the commensal bacteria are not equipped to survive and may lose the fight to pathogenic bacteria. These pathogenic bacteria will disrupt the normal bacteria in the oral microbiome and may eventually cause dental disease</w:t>
      </w:r>
      <w:r>
        <w:rPr>
          <w:rFonts w:cs="Times New Roman"/>
          <w:szCs w:val="24"/>
          <w:lang w:val="en-US"/>
        </w:rPr>
        <w:fldChar w:fldCharType="begin" w:fldLock="1"/>
      </w:r>
      <w:r w:rsidR="004871C8">
        <w:rPr>
          <w:rFonts w:cs="Times New Roman"/>
          <w:szCs w:val="24"/>
          <w:lang w:val="en-US"/>
        </w:rPr>
        <w:instrText>ADDIN CSL_CITATION {"citationItems":[{"id":"ITEM-1","itemData":{"DOI":"10.1186/1472-6831-6-S1-S14","ISSN":"1472-6831","abstract":"Dental plaque is a structurally- and functionally-organized biofilm. Plaque forms in an ordered way and has a diverse microbial composition that, in health, remains relatively stable over time (microbial homeostasis). The predominant species from diseased sites are different from those found in healthy sites, although the putative pathogens can often be detected in low numbers at normal sites. In dental caries, there is a shift toward community dominance by acidogenic and acid-tolerating species such as mutans streptococci and lactobacilli, although other species with relevant traits may be involved. Strategies to control caries could include inhibition of biofilm development (e.g. prevention of attachment of cariogenic bacteria, manipulation of cell signaling mechanisms, delivery of effective antimicrobials, etc.), or enhancement of the host defenses. Additionally, these more conventional approaches could be augmented by interference with the factors that enable the cariogenic bacteria to escape from the normal homeostatic mechanisms that restrict their growth in plaque and out compete the organisms associated with health. Evidence suggests that regular conditions of low pH in plaque select for mutans streptococci and lactobacilli. Therefore, the suppression of sugar catabolism and acid production by the use of metabolic inhibitors and non-fermentable artificial sweeteners in snacks, or the stimulation of saliva flow, could assist in the maintenance of homeostasis in plaque. Arguments will be presented that an appreciation of ecological principles will enable a more holistic approach to be taken in caries control.","author":[{"dropping-particle":"","family":"Marsh","given":"Philip D","non-dropping-particle":"","parse-names":false,"suffix":""}],"container-title":"BMC oral health","id":"ITEM-1","issue":"Suppl 1","issued":{"date-parts":[["2006","6","15"]]},"language":"eng","page":"S14-S14","publisher":"BioMed Central","title":"Dental plaque as a biofilm and a microbial community - implications for health and disease","type":"article-journal","volume":"6 Suppl 1"},"uris":["http://www.mendeley.com/documents/?uuid=e8d3e37f-4036-4aed-bb63-28fa8a3d5e73"]}],"mendeley":{"formattedCitation":"&lt;sup&gt;7&lt;/sup&gt;","plainTextFormattedCitation":"7","previouslyFormattedCitation":"&lt;sup&gt;7&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w:t>
      </w:r>
      <w:r>
        <w:rPr>
          <w:rFonts w:cs="Times New Roman"/>
          <w:szCs w:val="24"/>
          <w:lang w:val="en-US"/>
        </w:rPr>
        <w:fldChar w:fldCharType="end"/>
      </w:r>
      <w:r w:rsidRPr="007314F6">
        <w:rPr>
          <w:rFonts w:cs="Times New Roman"/>
          <w:szCs w:val="24"/>
          <w:lang w:val="en-US"/>
        </w:rPr>
        <w:t>. One of the most common bacterial infections in humans</w:t>
      </w:r>
      <w:r w:rsidR="003D3D2C">
        <w:rPr>
          <w:rFonts w:cs="Times New Roman"/>
          <w:szCs w:val="24"/>
          <w:lang w:val="en-US"/>
        </w:rPr>
        <w:t xml:space="preserve"> is</w:t>
      </w:r>
      <w:r w:rsidRPr="007314F6">
        <w:rPr>
          <w:rFonts w:cs="Times New Roman"/>
          <w:szCs w:val="24"/>
          <w:lang w:val="en-US"/>
        </w:rPr>
        <w:t xml:space="preserve"> dental caries</w:t>
      </w:r>
      <w:r>
        <w:rPr>
          <w:rFonts w:cs="Times New Roman"/>
          <w:szCs w:val="24"/>
          <w:lang w:val="en-US"/>
        </w:rPr>
        <w:fldChar w:fldCharType="begin" w:fldLock="1"/>
      </w:r>
      <w:r w:rsidR="004871C8">
        <w:rPr>
          <w:rFonts w:cs="Times New Roman"/>
          <w:szCs w:val="24"/>
          <w:lang w:val="en-US"/>
        </w:rPr>
        <w:instrText>ADDIN CSL_CITATION {"citationItems":[{"id":"ITEM-1","itemData":{"DOI":"10.1128/JCM.43.11.5721-5732.2005","ISSN":"0095-1137","abstract":"More than 700 bacterial species or phylotypes, of which over 50% have not been cultivated, have been detected in the oral cavity. Our purposes were (i) to utilize culture-independent molecular techniques to extend our knowledge on the breadth of bacterial diversity in the healthy human oral cavity, including not-yet-cultivated bacteria species, and (ii) to determine the site and subject specificity of bacterial colonization. Nine sites from five clinically healthy subjects were analyzed. Sites included tongue dorsum, lateral sides of tongue, buccal epithelium, hard palate, soft palate, supragingival plaque of tooth surfaces, subgingival plaque, maxillary anterior vestibule, and tonsils. 16S rRNA genes from sample DNA were amplified, cloned, and transformed into Escherichia coli. Sequences of 16S rRNA genes were used to determine species identity or closest relatives. In 2,589 clones, 141 predominant species were detected, of which over 60% have not been cultivated. Thirteen new phylotypes were identified. Species common to all sites belonged to the genera Gemella, Granulicatella, Streptococcus, and Veillonella. While some species were subject specific and detected in most sites, other species were site specific. Most sites possessed 20 to 30 different predominant species, and the number of predominant species from all nine sites per individual ranged from 34 to 72. Species typically associated with periodontitis and caries were not detected. There is a distinctive predominant bacterial flora of the healthy oral cavity that is highly diverse and site and subject specific. It is important to fully define the human microflora of the healthy oral cavity before we can understand the role of bacteria in oral disease.","author":[{"dropping-particle":"","family":"Aas","given":"Jørn A","non-dropping-particle":"","parse-names":false,"suffix":""},{"dropping-particle":"","family":"Paster","given":"Bruce J","non-dropping-particle":"","parse-names":false,"suffix":""},{"dropping-particle":"","family":"Stokes","given":"Lauren N","non-dropping-particle":"","parse-names":false,"suffix":""},{"dropping-particle":"","family":"Olsen","given":"Ingar","non-dropping-particle":"","parse-names":false,"suffix":""},{"dropping-particle":"","family":"Dewhirst","given":"Floyd E","non-dropping-particle":"","parse-names":false,"suffix":""}],"container-title":"Journal of clinical microbiology","id":"ITEM-1","issue":"11","issued":{"date-parts":[["2005","11"]]},"language":"eng","page":"5721-5732","publisher":"American Society for Microbiology","title":"Defining the normal bacterial flora of the oral cavity","type":"article-journal","volume":"43"},"uris":["http://www.mendeley.com/documents/?uuid=9212ede8-dead-491f-8dc1-2574d47e98f9"]}],"mendeley":{"formattedCitation":"&lt;sup&gt;77&lt;/sup&gt;","plainTextFormattedCitation":"77","previouslyFormattedCitation":"&lt;sup&gt;77&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77</w:t>
      </w:r>
      <w:r>
        <w:rPr>
          <w:rFonts w:cs="Times New Roman"/>
          <w:szCs w:val="24"/>
          <w:lang w:val="en-US"/>
        </w:rPr>
        <w:fldChar w:fldCharType="end"/>
      </w:r>
      <w:r w:rsidRPr="007314F6">
        <w:rPr>
          <w:rFonts w:cs="Times New Roman"/>
          <w:szCs w:val="24"/>
          <w:lang w:val="en-US"/>
        </w:rPr>
        <w:t xml:space="preserve">.   </w:t>
      </w:r>
    </w:p>
    <w:p w14:paraId="5380A98E" w14:textId="25C530E2" w:rsidR="001104C6" w:rsidRPr="00241A81" w:rsidRDefault="001104C6" w:rsidP="00273D80">
      <w:pPr>
        <w:spacing w:after="0" w:line="480" w:lineRule="auto"/>
        <w:ind w:firstLine="708"/>
        <w:jc w:val="both"/>
        <w:rPr>
          <w:rFonts w:cs="Times New Roman"/>
          <w:szCs w:val="24"/>
          <w:lang w:val="en-US"/>
        </w:rPr>
      </w:pPr>
      <w:r w:rsidRPr="005E0301">
        <w:rPr>
          <w:rFonts w:cs="Times New Roman"/>
          <w:i/>
          <w:iCs/>
          <w:szCs w:val="24"/>
          <w:lang w:val="en-US"/>
        </w:rPr>
        <w:t>Streptococcus mutans</w:t>
      </w:r>
      <w:r w:rsidRPr="00317496">
        <w:rPr>
          <w:rFonts w:cs="Times New Roman"/>
          <w:szCs w:val="24"/>
          <w:lang w:val="en-US"/>
        </w:rPr>
        <w:t xml:space="preserve"> are primarily found in the mouth, pharynx, and intestine; thus, </w:t>
      </w:r>
      <w:r w:rsidRPr="00903D53">
        <w:rPr>
          <w:rFonts w:cs="Times New Roman"/>
          <w:i/>
          <w:iCs/>
          <w:szCs w:val="24"/>
          <w:lang w:val="en-US"/>
        </w:rPr>
        <w:t>Streptococcus mutans</w:t>
      </w:r>
      <w:r w:rsidRPr="00317496">
        <w:rPr>
          <w:rFonts w:cs="Times New Roman"/>
          <w:szCs w:val="24"/>
          <w:lang w:val="en-US"/>
        </w:rPr>
        <w:t xml:space="preserve"> (</w:t>
      </w:r>
      <w:r w:rsidRPr="00903D53">
        <w:rPr>
          <w:rFonts w:cs="Times New Roman"/>
          <w:i/>
          <w:iCs/>
          <w:szCs w:val="24"/>
          <w:lang w:val="en-US"/>
        </w:rPr>
        <w:t>S. mutans</w:t>
      </w:r>
      <w:r w:rsidRPr="00317496">
        <w:rPr>
          <w:rFonts w:cs="Times New Roman"/>
          <w:szCs w:val="24"/>
          <w:lang w:val="en-US"/>
        </w:rPr>
        <w:t xml:space="preserve">) are one of the </w:t>
      </w:r>
      <w:r w:rsidR="008B186A" w:rsidRPr="00317496">
        <w:rPr>
          <w:rFonts w:cs="Times New Roman"/>
          <w:szCs w:val="24"/>
          <w:lang w:val="en-US"/>
        </w:rPr>
        <w:t>best-known</w:t>
      </w:r>
      <w:r w:rsidRPr="00317496">
        <w:rPr>
          <w:rFonts w:cs="Times New Roman"/>
          <w:szCs w:val="24"/>
          <w:lang w:val="en-US"/>
        </w:rPr>
        <w:t xml:space="preserve"> bacteria for cause of dental caries. </w:t>
      </w:r>
      <w:r>
        <w:rPr>
          <w:rFonts w:cs="Times New Roman"/>
          <w:szCs w:val="24"/>
          <w:lang w:val="en-US"/>
        </w:rPr>
        <w:t xml:space="preserve">The formation of plaque can lead to an ideal breeding ground for </w:t>
      </w:r>
      <w:r w:rsidR="00150058" w:rsidRPr="00903D53">
        <w:rPr>
          <w:rFonts w:cs="Times New Roman"/>
          <w:i/>
          <w:iCs/>
          <w:szCs w:val="24"/>
          <w:lang w:val="en-US"/>
        </w:rPr>
        <w:t>S</w:t>
      </w:r>
      <w:r w:rsidRPr="00903D53">
        <w:rPr>
          <w:rFonts w:cs="Times New Roman"/>
          <w:i/>
          <w:iCs/>
          <w:szCs w:val="24"/>
          <w:lang w:val="en-US"/>
        </w:rPr>
        <w:t>treptococcus mutans</w:t>
      </w:r>
      <w:r>
        <w:rPr>
          <w:rFonts w:cs="Times New Roman"/>
          <w:szCs w:val="24"/>
          <w:lang w:val="en-US"/>
        </w:rPr>
        <w:t xml:space="preserve">. </w:t>
      </w:r>
      <w:r w:rsidRPr="00317496">
        <w:rPr>
          <w:rFonts w:cs="Times New Roman"/>
          <w:szCs w:val="24"/>
          <w:lang w:val="en-US"/>
        </w:rPr>
        <w:t xml:space="preserve">There are </w:t>
      </w:r>
      <w:r>
        <w:rPr>
          <w:rFonts w:cs="Times New Roman"/>
          <w:szCs w:val="24"/>
          <w:lang w:val="en-US"/>
        </w:rPr>
        <w:t>multiple</w:t>
      </w:r>
      <w:r w:rsidRPr="00317496">
        <w:rPr>
          <w:rFonts w:cs="Times New Roman"/>
          <w:szCs w:val="24"/>
          <w:lang w:val="en-US"/>
        </w:rPr>
        <w:t xml:space="preserve"> stages involved with dental plaque </w:t>
      </w:r>
      <w:r w:rsidR="008B186A" w:rsidRPr="00317496">
        <w:rPr>
          <w:rFonts w:cs="Times New Roman"/>
          <w:szCs w:val="24"/>
          <w:lang w:val="en-US"/>
        </w:rPr>
        <w:t>formation</w:t>
      </w:r>
      <w:r w:rsidR="008B186A">
        <w:rPr>
          <w:rFonts w:cs="Times New Roman"/>
          <w:szCs w:val="24"/>
          <w:lang w:val="en-US"/>
        </w:rPr>
        <w:t xml:space="preserve"> </w:t>
      </w:r>
      <w:r w:rsidR="007C39B4">
        <w:rPr>
          <w:rFonts w:cs="Times New Roman"/>
          <w:szCs w:val="24"/>
          <w:lang w:val="en-US"/>
        </w:rPr>
        <w:t>(</w:t>
      </w:r>
      <w:r w:rsidR="007C39B4">
        <w:rPr>
          <w:rFonts w:cs="Times New Roman"/>
          <w:szCs w:val="24"/>
          <w:lang w:val="en-US"/>
        </w:rPr>
        <w:fldChar w:fldCharType="begin"/>
      </w:r>
      <w:r w:rsidR="007C39B4">
        <w:rPr>
          <w:rFonts w:cs="Times New Roman"/>
          <w:szCs w:val="24"/>
          <w:lang w:val="en-US"/>
        </w:rPr>
        <w:instrText xml:space="preserve"> REF _Ref44942598 \h </w:instrText>
      </w:r>
      <w:r w:rsidR="00273D80">
        <w:rPr>
          <w:rFonts w:cs="Times New Roman"/>
          <w:szCs w:val="24"/>
          <w:lang w:val="en-US"/>
        </w:rPr>
        <w:instrText xml:space="preserve"> \* MERGEFORMAT </w:instrText>
      </w:r>
      <w:r w:rsidR="007C39B4">
        <w:rPr>
          <w:rFonts w:cs="Times New Roman"/>
          <w:szCs w:val="24"/>
          <w:lang w:val="en-US"/>
        </w:rPr>
      </w:r>
      <w:r w:rsidR="007C39B4">
        <w:rPr>
          <w:rFonts w:cs="Times New Roman"/>
          <w:szCs w:val="24"/>
          <w:lang w:val="en-US"/>
        </w:rPr>
        <w:fldChar w:fldCharType="separate"/>
      </w:r>
      <w:r w:rsidR="0008188F" w:rsidRPr="002D5271">
        <w:rPr>
          <w:lang w:val="en-US"/>
        </w:rPr>
        <w:t xml:space="preserve">Figure </w:t>
      </w:r>
      <w:r w:rsidR="0008188F">
        <w:rPr>
          <w:noProof/>
          <w:lang w:val="en-US"/>
        </w:rPr>
        <w:t>12</w:t>
      </w:r>
      <w:r w:rsidR="007C39B4">
        <w:rPr>
          <w:rFonts w:cs="Times New Roman"/>
          <w:szCs w:val="24"/>
          <w:lang w:val="en-US"/>
        </w:rPr>
        <w:fldChar w:fldCharType="end"/>
      </w:r>
      <w:r w:rsidR="00215EBE">
        <w:rPr>
          <w:rFonts w:cs="Times New Roman"/>
          <w:szCs w:val="24"/>
          <w:lang w:val="en-US"/>
        </w:rPr>
        <w:t>)</w:t>
      </w:r>
      <w:r w:rsidRPr="00317496">
        <w:rPr>
          <w:rFonts w:cs="Times New Roman"/>
          <w:szCs w:val="24"/>
          <w:lang w:val="en-US"/>
        </w:rPr>
        <w:t>. First, salivary molecules are adsorbed to the enamel as soon as the tooth has been cleaned</w:t>
      </w:r>
      <w:r>
        <w:rPr>
          <w:rFonts w:cs="Times New Roman"/>
          <w:szCs w:val="24"/>
          <w:lang w:val="en-US"/>
        </w:rPr>
        <w:fldChar w:fldCharType="begin" w:fldLock="1"/>
      </w:r>
      <w:r w:rsidR="004871C8">
        <w:rPr>
          <w:rFonts w:cs="Times New Roman"/>
          <w:szCs w:val="24"/>
          <w:lang w:val="en-US"/>
        </w:rPr>
        <w:instrText>ADDIN CSL_CITATION {"citationItems":[{"id":"ITEM-1","itemData":{"DOI":"10.3390/nu2030290","ISSN":"2072-6643","abstract":"Dental caries and dental plaque are among the most common diseases worldwide, and are caused by a mixture of microorganisms and food debris. Specific types of acid-producing bacteria, especially Streptococcus mutans, colonize the dental surface and cause damage to the hard tooth structure in the presence of fermentable carbohydrates e.g., sucrose and fructose. This paper reviews the link between S. mutans and caries, as well as different simulation models that are available for studying caries. These models offer a valuable approach to study cariogenicity of different substrates as well as colonization of S. mutans.","author":[{"dropping-particle":"","family":"Forssten","given":"Sofia D","non-dropping-particle":"","parse-names":false,"suffix":""},{"dropping-particle":"","family":"Björklund","given":"Marika","non-dropping-particle":"","parse-names":false,"suffix":""},{"dropping-particle":"","family":"Ouwehand","given":"Arthur C","non-dropping-particle":"","parse-names":false,"suffix":""}],"container-title":"Nutrients","edition":"2010/03/02","id":"ITEM-1","issue":"3","issued":{"date-parts":[["2010","3"]]},"language":"eng","page":"290-298","publisher":"Molecular Diversity Preservation International","title":"Streptococcus mutans, caries and simulation models","type":"article-journal","volume":"2"},"uris":["http://www.mendeley.com/documents/?uuid=7fcf909b-ce5a-4568-a79a-96afcf4223a4"]}],"mendeley":{"formattedCitation":"&lt;sup&gt;78&lt;/sup&gt;","plainTextFormattedCitation":"78","previouslyFormattedCitation":"&lt;sup&gt;78&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78</w:t>
      </w:r>
      <w:r>
        <w:rPr>
          <w:rFonts w:cs="Times New Roman"/>
          <w:szCs w:val="24"/>
          <w:lang w:val="en-US"/>
        </w:rPr>
        <w:fldChar w:fldCharType="end"/>
      </w:r>
      <w:r w:rsidRPr="00317496">
        <w:rPr>
          <w:rFonts w:cs="Times New Roman"/>
          <w:szCs w:val="24"/>
          <w:lang w:val="en-US"/>
        </w:rPr>
        <w:t xml:space="preserve">. This forms the acquired pellicle layer on the tooth surface. This layer serves as a protection from acids after carbohydrate consumption and is normally present on the tooth. Next, bacterial interaction with the acquired pellicle happens through cell to surface interactions. These bacteria are known as primary or early colonizers. The primary colonizers grow and multiply throughout the mouth. Last, other bacterial species such as </w:t>
      </w:r>
      <w:r w:rsidRPr="00903D53">
        <w:rPr>
          <w:rFonts w:cs="Times New Roman"/>
          <w:i/>
          <w:iCs/>
          <w:szCs w:val="24"/>
          <w:lang w:val="en-US"/>
        </w:rPr>
        <w:t>Streptococcus mutans</w:t>
      </w:r>
      <w:r w:rsidRPr="00317496">
        <w:rPr>
          <w:rFonts w:cs="Times New Roman"/>
          <w:szCs w:val="24"/>
          <w:lang w:val="en-US"/>
        </w:rPr>
        <w:t xml:space="preserve"> adhere to the primary colonizers by cell-to-cell interactions. Bacterial growth on the tooth surface is what causes the formation of the biofilm on the teeth, also called dental plaque</w:t>
      </w:r>
      <w:r>
        <w:rPr>
          <w:rFonts w:cs="Times New Roman"/>
          <w:szCs w:val="24"/>
          <w:lang w:val="en-US"/>
        </w:rPr>
        <w:fldChar w:fldCharType="begin" w:fldLock="1"/>
      </w:r>
      <w:r w:rsidR="004871C8">
        <w:rPr>
          <w:rFonts w:cs="Times New Roman"/>
          <w:szCs w:val="24"/>
          <w:lang w:val="en-US"/>
        </w:rPr>
        <w:instrText>ADDIN CSL_CITATION {"citationItems":[{"id":"ITEM-1","itemData":{"DOI":"10.3390/nu2030290","ISSN":"2072-6643","abstract":"Dental caries and dental plaque are among the most common diseases worldwide, and are caused by a mixture of microorganisms and food debris. Specific types of acid-producing bacteria, especially Streptococcus mutans, colonize the dental surface and cause damage to the hard tooth structure in the presence of fermentable carbohydrates e.g., sucrose and fructose. This paper reviews the link between S. mutans and caries, as well as different simulation models that are available for studying caries. These models offer a valuable approach to study cariogenicity of different substrates as well as colonization of S. mutans.","author":[{"dropping-particle":"","family":"Forssten","given":"Sofia D","non-dropping-particle":"","parse-names":false,"suffix":""},{"dropping-particle":"","family":"Björklund","given":"Marika","non-dropping-particle":"","parse-names":false,"suffix":""},{"dropping-particle":"","family":"Ouwehand","given":"Arthur C","non-dropping-particle":"","parse-names":false,"suffix":""}],"container-title":"Nutrients","edition":"2010/03/02","id":"ITEM-1","issue":"3","issued":{"date-parts":[["2010","3"]]},"language":"eng","page":"290-298","publisher":"Molecular Diversity Preservation International","title":"Streptococcus mutans, caries and simulation models","type":"article-journal","volume":"2"},"uris":["http://www.mendeley.com/documents/?uuid=7fcf909b-ce5a-4568-a79a-96afcf4223a4"]}],"mendeley":{"formattedCitation":"&lt;sup&gt;78&lt;/sup&gt;","plainTextFormattedCitation":"78","previouslyFormattedCitation":"&lt;sup&gt;78&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78</w:t>
      </w:r>
      <w:r>
        <w:rPr>
          <w:rFonts w:cs="Times New Roman"/>
          <w:szCs w:val="24"/>
          <w:lang w:val="en-US"/>
        </w:rPr>
        <w:fldChar w:fldCharType="end"/>
      </w:r>
      <w:r w:rsidRPr="00317496">
        <w:rPr>
          <w:rFonts w:cs="Times New Roman"/>
          <w:szCs w:val="24"/>
          <w:lang w:val="en-US"/>
        </w:rPr>
        <w:t xml:space="preserve">. Once these bacteria are on the tooth surface, consuming carbohydrates can add to the growth and proliferation of the bacteria in the biofilm. </w:t>
      </w:r>
      <w:r>
        <w:rPr>
          <w:rFonts w:cs="Times New Roman"/>
          <w:szCs w:val="24"/>
          <w:lang w:val="en-US"/>
        </w:rPr>
        <w:t xml:space="preserve">Carious </w:t>
      </w:r>
      <w:r w:rsidRPr="00317496">
        <w:rPr>
          <w:rFonts w:cs="Times New Roman"/>
          <w:szCs w:val="24"/>
          <w:lang w:val="en-US"/>
        </w:rPr>
        <w:t>lesions develop where oral biofilms are allowed to mature and remain on the teeth for long periods</w:t>
      </w:r>
      <w:r>
        <w:rPr>
          <w:rFonts w:cs="Times New Roman"/>
          <w:szCs w:val="24"/>
          <w:lang w:val="en-US"/>
        </w:rPr>
        <w:fldChar w:fldCharType="begin" w:fldLock="1"/>
      </w:r>
      <w:r w:rsidR="004871C8">
        <w:rPr>
          <w:rFonts w:cs="Times New Roman"/>
          <w:szCs w:val="24"/>
          <w:lang w:val="en-US"/>
        </w:rPr>
        <w:instrText>ADDIN CSL_CITATION {"citationItems":[{"id":"ITEM-1","itemData":{"DOI":"10.1007/978-1-349-16547-6_3","ISBN":"978-1-349-16547-6","abstract":"As was mentioned in chapter 1, there have been a number of theories concerning the aetiology of dental caries, of which the acidogenic theory has been the most generally accepted. According to this theory, caries is initiated by organic acids produced by oral bacteria as a result of their fermentative activity on carbohydrates. The credit for the ‘Chemicoparasitic’ or acidogenic theory is usually ascribed to W. D.Miller1, but it is fair to say that his conclusions were based on the accumulated efforts of a number of other investigators, as well as his own, during the nineteenth century. In 1897, N. B. Williams reported his observation that the enamel of human teeth was covered with adhesive ‘gelatine-like’ material, consisting largely of microorganisms, and suggested that this material might be responsible for the localisation of acid attack to certain areas of the tooth surface. Writing a year later, G. V. Black coined the phrase ‘gelatinous microbial plaques’ for the bacteria on the tooth surface, and supported the idea that acid-producing bacteria were the main aetiological agents in caries.","author":[{"dropping-particle":"","family":"Silverstone","given":"L M","non-dropping-particle":"","parse-names":false,"suffix":""},{"dropping-particle":"","family":"Johnson","given":"N W","non-dropping-particle":"","parse-names":false,"suffix":""},{"dropping-particle":"","family":"Hardie","given":"J M","non-dropping-particle":"","parse-names":false,"suffix":""},{"dropping-particle":"","family":"Williams","given":"R A D","non-dropping-particle":"","parse-names":false,"suffix":""}],"editor":[{"dropping-particle":"","family":"Silverstone","given":"L M","non-dropping-particle":"","parse-names":false,"suffix":""},{"dropping-particle":"","family":"Johnson","given":"N W","non-dropping-particle":"","parse-names":false,"suffix":""},{"dropping-particle":"","family":"Hardie","given":"J M","non-dropping-particle":"","parse-names":false,"suffix":""},{"dropping-particle":"","family":"Williams","given":"R A D","non-dropping-particle":"","parse-names":false,"suffix":""}],"id":"ITEM-1","issued":{"date-parts":[["1981"]]},"page":"48-69","publisher":"Macmillan Education UK","publisher-place":"London","title":"The Microbiology of Dental Caries BT  - Dental Caries: Aetiology, Pathology and Prevention","type":"chapter"},"uris":["http://www.mendeley.com/documents/?uuid=69d6b8b4-a9f6-46fa-b6a4-e68e66de9dfd"]}],"mendeley":{"formattedCitation":"&lt;sup&gt;79&lt;/sup&gt;","plainTextFormattedCitation":"79","previouslyFormattedCitation":"&lt;sup&gt;79&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79</w:t>
      </w:r>
      <w:r>
        <w:rPr>
          <w:rFonts w:cs="Times New Roman"/>
          <w:szCs w:val="24"/>
          <w:lang w:val="en-US"/>
        </w:rPr>
        <w:fldChar w:fldCharType="end"/>
      </w:r>
      <w:r w:rsidR="007C39B4">
        <w:rPr>
          <w:rFonts w:cs="Times New Roman"/>
          <w:szCs w:val="24"/>
          <w:lang w:val="en-US"/>
        </w:rPr>
        <w:t>.</w:t>
      </w:r>
      <w:r w:rsidRPr="00317496">
        <w:rPr>
          <w:rFonts w:cs="Times New Roman"/>
          <w:szCs w:val="24"/>
          <w:lang w:val="en-US"/>
        </w:rPr>
        <w:t xml:space="preserve">     </w:t>
      </w:r>
    </w:p>
    <w:p w14:paraId="6F8863BF" w14:textId="77777777" w:rsidR="003A0405" w:rsidRDefault="003A0405" w:rsidP="003A0405">
      <w:pPr>
        <w:spacing w:line="480" w:lineRule="auto"/>
        <w:rPr>
          <w:rFonts w:cs="Times New Roman"/>
          <w:szCs w:val="24"/>
          <w:lang w:val="en-US"/>
        </w:rPr>
      </w:pPr>
      <w:r w:rsidRPr="003A0405">
        <w:rPr>
          <w:rFonts w:cs="Times New Roman"/>
          <w:noProof/>
          <w:szCs w:val="24"/>
          <w:lang w:val="en-US"/>
        </w:rPr>
        <w:drawing>
          <wp:inline distT="0" distB="0" distL="0" distR="0" wp14:anchorId="4642999A" wp14:editId="040B79B9">
            <wp:extent cx="5181600" cy="1949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585" b="14054"/>
                    <a:stretch/>
                  </pic:blipFill>
                  <pic:spPr bwMode="auto">
                    <a:xfrm>
                      <a:off x="0" y="0"/>
                      <a:ext cx="5181600" cy="1949450"/>
                    </a:xfrm>
                    <a:prstGeom prst="rect">
                      <a:avLst/>
                    </a:prstGeom>
                    <a:ln>
                      <a:noFill/>
                    </a:ln>
                    <a:extLst>
                      <a:ext uri="{53640926-AAD7-44D8-BBD7-CCE9431645EC}">
                        <a14:shadowObscured xmlns:a14="http://schemas.microsoft.com/office/drawing/2010/main"/>
                      </a:ext>
                    </a:extLst>
                  </pic:spPr>
                </pic:pic>
              </a:graphicData>
            </a:graphic>
          </wp:inline>
        </w:drawing>
      </w:r>
    </w:p>
    <w:p w14:paraId="36EE596C" w14:textId="1B1A9447" w:rsidR="00240B6A" w:rsidRDefault="00240B6A" w:rsidP="007C39B4">
      <w:pPr>
        <w:pStyle w:val="Caption"/>
        <w:rPr>
          <w:rFonts w:cs="Times New Roman"/>
          <w:szCs w:val="24"/>
          <w:lang w:val="en-US"/>
        </w:rPr>
      </w:pPr>
      <w:bookmarkStart w:id="56" w:name="_Ref44942598"/>
      <w:bookmarkStart w:id="57" w:name="_Toc45837583"/>
      <w:r w:rsidRPr="002D5271">
        <w:rPr>
          <w:lang w:val="en-US"/>
        </w:rPr>
        <w:t xml:space="preserve">Figure </w:t>
      </w:r>
      <w:r>
        <w:fldChar w:fldCharType="begin"/>
      </w:r>
      <w:r w:rsidRPr="002D5271">
        <w:rPr>
          <w:lang w:val="en-US"/>
        </w:rPr>
        <w:instrText xml:space="preserve"> SEQ Figure \* ARABIC </w:instrText>
      </w:r>
      <w:r>
        <w:fldChar w:fldCharType="separate"/>
      </w:r>
      <w:r w:rsidR="0008188F">
        <w:rPr>
          <w:noProof/>
          <w:lang w:val="en-US"/>
        </w:rPr>
        <w:t>12</w:t>
      </w:r>
      <w:r>
        <w:fldChar w:fldCharType="end"/>
      </w:r>
      <w:bookmarkEnd w:id="56"/>
      <w:r w:rsidR="007C39B4" w:rsidRPr="007C39B4">
        <w:rPr>
          <w:lang w:val="en-US"/>
        </w:rPr>
        <w:t xml:space="preserve"> </w:t>
      </w:r>
      <w:r w:rsidR="007C39B4">
        <w:rPr>
          <w:lang w:val="en-US"/>
        </w:rPr>
        <w:t>–</w:t>
      </w:r>
      <w:r w:rsidR="007C39B4" w:rsidRPr="007C39B4">
        <w:rPr>
          <w:rFonts w:cs="Times New Roman"/>
          <w:szCs w:val="24"/>
          <w:lang w:val="en-US"/>
        </w:rPr>
        <w:t xml:space="preserve"> </w:t>
      </w:r>
      <w:r w:rsidR="007C39B4">
        <w:rPr>
          <w:rFonts w:cs="Times New Roman"/>
          <w:szCs w:val="24"/>
          <w:lang w:val="en-US"/>
        </w:rPr>
        <w:t>Formation of biofilm on tooth surface</w:t>
      </w:r>
      <w:bookmarkEnd w:id="57"/>
    </w:p>
    <w:p w14:paraId="5E67916B" w14:textId="121F0827" w:rsidR="003A0405" w:rsidRDefault="00240B6A" w:rsidP="00240B6A">
      <w:pPr>
        <w:spacing w:line="240" w:lineRule="auto"/>
        <w:rPr>
          <w:rFonts w:cs="Times New Roman"/>
          <w:szCs w:val="24"/>
          <w:lang w:val="en-US"/>
        </w:rPr>
      </w:pPr>
      <w:r>
        <w:rPr>
          <w:rFonts w:cs="Times New Roman"/>
          <w:szCs w:val="24"/>
          <w:lang w:val="en-US"/>
        </w:rPr>
        <w:t>Carious lesions develop when the biofilm growth in uninterrupted and allowed to proliferate.</w:t>
      </w:r>
      <w:r w:rsidR="003A0405">
        <w:rPr>
          <w:rFonts w:cs="Times New Roman"/>
          <w:szCs w:val="24"/>
          <w:lang w:val="en-US"/>
        </w:rPr>
        <w:t xml:space="preserve"> 1) The tooth surface has a natural</w:t>
      </w:r>
      <w:r>
        <w:rPr>
          <w:rFonts w:cs="Times New Roman"/>
          <w:szCs w:val="24"/>
          <w:lang w:val="en-US"/>
        </w:rPr>
        <w:t>ly acquired pellicle layer that protects the tooth from acids in foods. 2) The acquired pellicle layer experiences bacterial adhesion known as primary colonizers. 3) the bacterium matures and proliferates. 4) The tooth has likely experienced decay due to the bacteria and starts to disperse to other teeth.</w:t>
      </w:r>
    </w:p>
    <w:p w14:paraId="4EF48FCE" w14:textId="76DEC8E6" w:rsidR="001104C6" w:rsidRPr="001104C6" w:rsidRDefault="001104C6" w:rsidP="00273D80">
      <w:pPr>
        <w:spacing w:line="480" w:lineRule="auto"/>
        <w:ind w:firstLine="708"/>
        <w:jc w:val="both"/>
        <w:rPr>
          <w:rFonts w:cs="Times New Roman"/>
          <w:szCs w:val="24"/>
          <w:lang w:val="en-US"/>
        </w:rPr>
      </w:pPr>
      <w:r w:rsidRPr="00903D53">
        <w:rPr>
          <w:rFonts w:cs="Times New Roman"/>
          <w:i/>
          <w:iCs/>
          <w:szCs w:val="24"/>
          <w:lang w:val="en-US"/>
        </w:rPr>
        <w:t>Streptococcus mutans</w:t>
      </w:r>
      <w:r w:rsidRPr="00317496">
        <w:rPr>
          <w:rFonts w:cs="Times New Roman"/>
          <w:szCs w:val="24"/>
          <w:lang w:val="en-US"/>
        </w:rPr>
        <w:t xml:space="preserve"> survive by metabolizing carbohydrates especially sugars</w:t>
      </w:r>
      <w:r>
        <w:rPr>
          <w:rFonts w:cs="Times New Roman"/>
          <w:szCs w:val="24"/>
          <w:lang w:val="en-US"/>
        </w:rPr>
        <w:fldChar w:fldCharType="begin" w:fldLock="1"/>
      </w:r>
      <w:r w:rsidR="00A356D0">
        <w:rPr>
          <w:rFonts w:cs="Times New Roman"/>
          <w:szCs w:val="24"/>
          <w:lang w:val="en-US"/>
        </w:rPr>
        <w:instrText>ADDIN CSL_CITATION {"citationItems":[{"id":"ITEM-1","itemData":{"DOI":"10.1073/pnas.172501299","author":[{"dropping-particle":"","family":"Ajdic","given":"Dragana","non-dropping-particle":"","parse-names":false,"suffix":""},{"dropping-particle":"","family":"Mcshan","given":"Michael","non-dropping-particle":"","parse-names":false,"suffix":""},{"dropping-particle":"","family":"Mclaughlin","given":"Robert","non-dropping-particle":"","parse-names":false,"suffix":""},{"dropping-particle":"","family":"Savić","given":"Gorana","non-dropping-particle":"","parse-names":false,"suffix":""},{"dropping-particle":"","family":"Chang","given":"Jin","non-dropping-particle":"","parse-names":false,"suffix":""},{"dropping-particle":"","family":"Carson","given":"Matthew","non-dropping-particle":"","parse-names":false,"suffix":""},{"dropping-particle":"","family":"Primeaux","given":"Charles","non-dropping-particle":"","parse-names":false,"suffix":""},{"dropping-particle":"","family":"Tian","given":"Runying","non-dropping-particle":"","parse-names":false,"suffix":""},{"dropping-particle":"","family":"Kenton","given":"Steve","non-dropping-particle":"","parse-names":false,"suffix":""},{"dropping-particle":"","family":"Jia","given":"Honggui","non-dropping-particle":"","parse-names":false,"suffix":""},{"dropping-particle":"","family":"Lin","given":"Shaoping","non-dropping-particle":"","parse-names":false,"suffix":""},{"dropping-particle":"","family":"Qian","given":"Yudong","non-dropping-particle":"","parse-names":false,"suffix":""},{"dropping-particle":"","family":"Li","given":"Shuling","non-dropping-particle":"","parse-names":false,"suffix":""},{"dropping-particle":"","family":"Zhu","given":"Hua","non-dropping-particle":"","parse-names":false,"suffix":""},{"dropping-particle":"","family":"Najar","given":"Fares","non-dropping-particle":"","parse-names":false,"suffix":""},{"dropping-particle":"","family":"Lai","given":"Hongshing","non-dropping-particle":"","parse-names":false,"suffix":""},{"dropping-particle":"","family":"White","given":"Jim","non-dropping-particle":"","parse-names":false,"suffix":""},{"dropping-particle":"","family":"Roe","given":"Bruce","non-dropping-particle":"","parse-names":false,"suffix":""},{"dropping-particle":"","family":"Ferretti","given":"Joseph","non-dropping-particle":"","parse-names":false,"suffix":""}],"container-title":"Proceedings of the National Academy of Sciences of the United States of America","id":"ITEM-1","issued":{"date-parts":[["2002","11","1"]]},"page":"14434-14439","title":"Genome sequence of Streptococcus mutans UA159, a cariogenic dental pathogen","type":"article-journal","volume":"99"},"uris":["http://www.mendeley.com/documents/?uuid=80791d21-5a68-411b-87e0-2088b419b2b5"]}],"mendeley":{"formattedCitation":"&lt;sup&gt;80&lt;/sup&gt;","plainTextFormattedCitation":"80","previouslyFormattedCitation":"&lt;sup&gt;80&lt;/sup&gt;"},"properties":{"noteIndex":0},"schema":"https://github.com/citation-style-language/schema/raw/master/csl-citation.json"}</w:instrText>
      </w:r>
      <w:r>
        <w:rPr>
          <w:rFonts w:cs="Times New Roman"/>
          <w:szCs w:val="24"/>
          <w:lang w:val="en-US"/>
        </w:rPr>
        <w:fldChar w:fldCharType="separate"/>
      </w:r>
      <w:r w:rsidR="00BF4802" w:rsidRPr="00BF4802">
        <w:rPr>
          <w:rFonts w:cs="Times New Roman"/>
          <w:noProof/>
          <w:szCs w:val="24"/>
          <w:vertAlign w:val="superscript"/>
          <w:lang w:val="en-US"/>
        </w:rPr>
        <w:t>80</w:t>
      </w:r>
      <w:r>
        <w:rPr>
          <w:rFonts w:cs="Times New Roman"/>
          <w:szCs w:val="24"/>
          <w:lang w:val="en-US"/>
        </w:rPr>
        <w:fldChar w:fldCharType="end"/>
      </w:r>
      <w:r w:rsidRPr="00317496">
        <w:rPr>
          <w:rFonts w:cs="Times New Roman"/>
          <w:szCs w:val="24"/>
          <w:lang w:val="en-US"/>
        </w:rPr>
        <w:t xml:space="preserve">. Fermentation of carbohydrates by </w:t>
      </w:r>
      <w:r w:rsidRPr="00903D53">
        <w:rPr>
          <w:rFonts w:cs="Times New Roman"/>
          <w:i/>
          <w:iCs/>
          <w:szCs w:val="24"/>
          <w:lang w:val="en-US"/>
        </w:rPr>
        <w:t>Streptococcus mutans</w:t>
      </w:r>
      <w:r w:rsidRPr="00317496">
        <w:rPr>
          <w:rFonts w:cs="Times New Roman"/>
          <w:szCs w:val="24"/>
          <w:lang w:val="en-US"/>
        </w:rPr>
        <w:t xml:space="preserve"> is the principal source of energy production for the organism. </w:t>
      </w:r>
      <w:r w:rsidRPr="00903D53">
        <w:rPr>
          <w:rFonts w:cs="Times New Roman"/>
          <w:i/>
          <w:iCs/>
          <w:szCs w:val="24"/>
          <w:lang w:val="en-US"/>
        </w:rPr>
        <w:t>Streptococcus mutans</w:t>
      </w:r>
      <w:r w:rsidRPr="00317496">
        <w:rPr>
          <w:rFonts w:cs="Times New Roman"/>
          <w:szCs w:val="24"/>
          <w:lang w:val="en-US"/>
        </w:rPr>
        <w:t xml:space="preserve"> are able to metabolize a wider variety of carbohydrates than any other gram positive organism</w:t>
      </w:r>
      <w:r>
        <w:rPr>
          <w:rFonts w:cs="Times New Roman"/>
          <w:szCs w:val="24"/>
          <w:lang w:val="en-US"/>
        </w:rPr>
        <w:fldChar w:fldCharType="begin" w:fldLock="1"/>
      </w:r>
      <w:r w:rsidR="00A356D0">
        <w:rPr>
          <w:rFonts w:cs="Times New Roman"/>
          <w:szCs w:val="24"/>
          <w:lang w:val="en-US"/>
        </w:rPr>
        <w:instrText>ADDIN CSL_CITATION {"citationItems":[{"id":"ITEM-1","itemData":{"DOI":"10.1073/pnas.172501299","author":[{"dropping-particle":"","family":"Ajdic","given":"Dragana","non-dropping-particle":"","parse-names":false,"suffix":""},{"dropping-particle":"","family":"Mcshan","given":"Michael","non-dropping-particle":"","parse-names":false,"suffix":""},{"dropping-particle":"","family":"Mclaughlin","given":"Robert","non-dropping-particle":"","parse-names":false,"suffix":""},{"dropping-particle":"","family":"Savić","given":"Gorana","non-dropping-particle":"","parse-names":false,"suffix":""},{"dropping-particle":"","family":"Chang","given":"Jin","non-dropping-particle":"","parse-names":false,"suffix":""},{"dropping-particle":"","family":"Carson","given":"Matthew","non-dropping-particle":"","parse-names":false,"suffix":""},{"dropping-particle":"","family":"Primeaux","given":"Charles","non-dropping-particle":"","parse-names":false,"suffix":""},{"dropping-particle":"","family":"Tian","given":"Runying","non-dropping-particle":"","parse-names":false,"suffix":""},{"dropping-particle":"","family":"Kenton","given":"Steve","non-dropping-particle":"","parse-names":false,"suffix":""},{"dropping-particle":"","family":"Jia","given":"Honggui","non-dropping-particle":"","parse-names":false,"suffix":""},{"dropping-particle":"","family":"Lin","given":"Shaoping","non-dropping-particle":"","parse-names":false,"suffix":""},{"dropping-particle":"","family":"Qian","given":"Yudong","non-dropping-particle":"","parse-names":false,"suffix":""},{"dropping-particle":"","family":"Li","given":"Shuling","non-dropping-particle":"","parse-names":false,"suffix":""},{"dropping-particle":"","family":"Zhu","given":"Hua","non-dropping-particle":"","parse-names":false,"suffix":""},{"dropping-particle":"","family":"Najar","given":"Fares","non-dropping-particle":"","parse-names":false,"suffix":""},{"dropping-particle":"","family":"Lai","given":"Hongshing","non-dropping-particle":"","parse-names":false,"suffix":""},{"dropping-particle":"","family":"White","given":"Jim","non-dropping-particle":"","parse-names":false,"suffix":""},{"dropping-particle":"","family":"Roe","given":"Bruce","non-dropping-particle":"","parse-names":false,"suffix":""},{"dropping-particle":"","family":"Ferretti","given":"Joseph","non-dropping-particle":"","parse-names":false,"suffix":""}],"container-title":"Proceedings of the National Academy of Sciences of the United States of America","id":"ITEM-1","issued":{"date-parts":[["2002","11","1"]]},"page":"14434-14439","title":"Genome sequence of Streptococcus mutans UA159, a cariogenic dental pathogen","type":"article-journal","volume":"99"},"uris":["http://www.mendeley.com/documents/?uuid=80791d21-5a68-411b-87e0-2088b419b2b5"]}],"mendeley":{"formattedCitation":"&lt;sup&gt;80&lt;/sup&gt;","plainTextFormattedCitation":"80","previouslyFormattedCitation":"&lt;sup&gt;80&lt;/sup&gt;"},"properties":{"noteIndex":0},"schema":"https://github.com/citation-style-language/schema/raw/master/csl-citation.json"}</w:instrText>
      </w:r>
      <w:r>
        <w:rPr>
          <w:rFonts w:cs="Times New Roman"/>
          <w:szCs w:val="24"/>
          <w:lang w:val="en-US"/>
        </w:rPr>
        <w:fldChar w:fldCharType="separate"/>
      </w:r>
      <w:r w:rsidR="00BF4802" w:rsidRPr="00BF4802">
        <w:rPr>
          <w:rFonts w:cs="Times New Roman"/>
          <w:noProof/>
          <w:szCs w:val="24"/>
          <w:vertAlign w:val="superscript"/>
          <w:lang w:val="en-US"/>
        </w:rPr>
        <w:t>80</w:t>
      </w:r>
      <w:r>
        <w:rPr>
          <w:rFonts w:cs="Times New Roman"/>
          <w:szCs w:val="24"/>
          <w:lang w:val="en-US"/>
        </w:rPr>
        <w:fldChar w:fldCharType="end"/>
      </w:r>
      <w:r w:rsidRPr="00317496">
        <w:rPr>
          <w:rFonts w:cs="Times New Roman"/>
          <w:szCs w:val="24"/>
          <w:lang w:val="en-US"/>
        </w:rPr>
        <w:t xml:space="preserve">. </w:t>
      </w:r>
      <w:r w:rsidRPr="00903D53">
        <w:rPr>
          <w:rFonts w:cs="Times New Roman"/>
          <w:i/>
          <w:iCs/>
          <w:szCs w:val="24"/>
          <w:lang w:val="en-US"/>
        </w:rPr>
        <w:t>Streptococcus mutans</w:t>
      </w:r>
      <w:r w:rsidRPr="00317496">
        <w:rPr>
          <w:rFonts w:cs="Times New Roman"/>
          <w:szCs w:val="24"/>
          <w:lang w:val="en-US"/>
        </w:rPr>
        <w:t xml:space="preserve"> </w:t>
      </w:r>
      <w:r w:rsidR="008B56AB" w:rsidRPr="00317496">
        <w:rPr>
          <w:rFonts w:cs="Times New Roman"/>
          <w:szCs w:val="24"/>
          <w:lang w:val="en-US"/>
        </w:rPr>
        <w:t>can</w:t>
      </w:r>
      <w:r w:rsidRPr="00317496">
        <w:rPr>
          <w:rFonts w:cs="Times New Roman"/>
          <w:szCs w:val="24"/>
          <w:lang w:val="en-US"/>
        </w:rPr>
        <w:t xml:space="preserve"> survive at low pH which is when the </w:t>
      </w:r>
      <w:r w:rsidR="003D3D2C">
        <w:rPr>
          <w:rFonts w:cs="Times New Roman"/>
          <w:szCs w:val="24"/>
          <w:lang w:val="en-US"/>
        </w:rPr>
        <w:t>beneficial</w:t>
      </w:r>
      <w:r w:rsidR="003D3D2C" w:rsidRPr="00317496">
        <w:rPr>
          <w:rFonts w:cs="Times New Roman"/>
          <w:szCs w:val="24"/>
          <w:lang w:val="en-US"/>
        </w:rPr>
        <w:t xml:space="preserve"> </w:t>
      </w:r>
      <w:r w:rsidRPr="00317496">
        <w:rPr>
          <w:rFonts w:cs="Times New Roman"/>
          <w:szCs w:val="24"/>
          <w:lang w:val="en-US"/>
        </w:rPr>
        <w:t xml:space="preserve">bacteria start to die. This means </w:t>
      </w:r>
      <w:r w:rsidRPr="00903D53">
        <w:rPr>
          <w:rFonts w:cs="Times New Roman"/>
          <w:i/>
          <w:iCs/>
          <w:szCs w:val="24"/>
          <w:lang w:val="en-US"/>
        </w:rPr>
        <w:t>Streptococcus mutans</w:t>
      </w:r>
      <w:r w:rsidRPr="00317496">
        <w:rPr>
          <w:rFonts w:cs="Times New Roman"/>
          <w:szCs w:val="24"/>
          <w:lang w:val="en-US"/>
        </w:rPr>
        <w:t xml:space="preserve"> survive</w:t>
      </w:r>
      <w:r>
        <w:rPr>
          <w:rFonts w:cs="Times New Roman"/>
          <w:szCs w:val="24"/>
          <w:lang w:val="en-US"/>
        </w:rPr>
        <w:t xml:space="preserve">, </w:t>
      </w:r>
      <w:r w:rsidRPr="00317496">
        <w:rPr>
          <w:rFonts w:cs="Times New Roman"/>
          <w:szCs w:val="24"/>
          <w:lang w:val="en-US"/>
        </w:rPr>
        <w:t>thrive</w:t>
      </w:r>
      <w:r>
        <w:rPr>
          <w:rFonts w:cs="Times New Roman"/>
          <w:szCs w:val="24"/>
          <w:lang w:val="en-US"/>
        </w:rPr>
        <w:t>,</w:t>
      </w:r>
      <w:r w:rsidRPr="00317496">
        <w:rPr>
          <w:rFonts w:cs="Times New Roman"/>
          <w:szCs w:val="24"/>
          <w:lang w:val="en-US"/>
        </w:rPr>
        <w:t xml:space="preserve"> and eventually take over the places the commensal bacteria had once lived. </w:t>
      </w:r>
      <w:r w:rsidR="009A01F5">
        <w:rPr>
          <w:rFonts w:cs="Times New Roman"/>
          <w:szCs w:val="24"/>
          <w:lang w:val="en-US"/>
        </w:rPr>
        <w:t xml:space="preserve">In particular, </w:t>
      </w:r>
      <w:r w:rsidRPr="00903D53">
        <w:rPr>
          <w:rFonts w:cs="Times New Roman"/>
          <w:i/>
          <w:iCs/>
          <w:szCs w:val="24"/>
          <w:lang w:val="en-US"/>
        </w:rPr>
        <w:t>S. mutans</w:t>
      </w:r>
      <w:r w:rsidRPr="00317496">
        <w:rPr>
          <w:rFonts w:cs="Times New Roman"/>
          <w:szCs w:val="24"/>
          <w:lang w:val="en-US"/>
        </w:rPr>
        <w:t xml:space="preserve"> are known </w:t>
      </w:r>
      <w:r>
        <w:rPr>
          <w:rFonts w:cs="Times New Roman"/>
          <w:szCs w:val="24"/>
          <w:lang w:val="en-US"/>
        </w:rPr>
        <w:t>to live</w:t>
      </w:r>
      <w:r w:rsidRPr="00317496">
        <w:rPr>
          <w:rFonts w:cs="Times New Roman"/>
          <w:szCs w:val="24"/>
          <w:lang w:val="en-US"/>
        </w:rPr>
        <w:t xml:space="preserve"> </w:t>
      </w:r>
      <w:r w:rsidR="009A01F5">
        <w:rPr>
          <w:rFonts w:cs="Times New Roman"/>
          <w:szCs w:val="24"/>
          <w:lang w:val="en-US"/>
        </w:rPr>
        <w:t>with</w:t>
      </w:r>
      <w:r w:rsidRPr="00317496">
        <w:rPr>
          <w:rFonts w:cs="Times New Roman"/>
          <w:szCs w:val="24"/>
          <w:lang w:val="en-US"/>
        </w:rPr>
        <w:t>in</w:t>
      </w:r>
      <w:r w:rsidR="009A01F5">
        <w:rPr>
          <w:rFonts w:cs="Times New Roman"/>
          <w:szCs w:val="24"/>
          <w:lang w:val="en-US"/>
        </w:rPr>
        <w:t xml:space="preserve"> the</w:t>
      </w:r>
      <w:r w:rsidRPr="00317496">
        <w:rPr>
          <w:rFonts w:cs="Times New Roman"/>
          <w:szCs w:val="24"/>
          <w:lang w:val="en-US"/>
        </w:rPr>
        <w:t xml:space="preserve"> biofilm of the oral cavity. They are able to adhere and bind to receptors in the pellicle which allows them to be some of the primary colonizers; however, </w:t>
      </w:r>
      <w:r w:rsidRPr="00903D53">
        <w:rPr>
          <w:rFonts w:cs="Times New Roman"/>
          <w:i/>
          <w:iCs/>
          <w:szCs w:val="24"/>
          <w:lang w:val="en-US"/>
        </w:rPr>
        <w:t>S. mutans</w:t>
      </w:r>
      <w:r w:rsidRPr="00317496">
        <w:rPr>
          <w:rFonts w:cs="Times New Roman"/>
          <w:szCs w:val="24"/>
          <w:lang w:val="en-US"/>
        </w:rPr>
        <w:t xml:space="preserve"> are usually become part of the biofilm by adhering to the primary colonizers such as </w:t>
      </w:r>
      <w:r w:rsidRPr="00903D53">
        <w:rPr>
          <w:rFonts w:cs="Times New Roman"/>
          <w:i/>
          <w:iCs/>
          <w:szCs w:val="24"/>
          <w:lang w:val="en-US"/>
        </w:rPr>
        <w:t>Streptococcus sanguis</w:t>
      </w:r>
      <w:r w:rsidRPr="00317496">
        <w:rPr>
          <w:rFonts w:cs="Times New Roman"/>
          <w:szCs w:val="24"/>
          <w:lang w:val="en-US"/>
        </w:rPr>
        <w:t xml:space="preserve"> and </w:t>
      </w:r>
      <w:r w:rsidRPr="00903D53">
        <w:rPr>
          <w:rFonts w:cs="Times New Roman"/>
          <w:i/>
          <w:iCs/>
          <w:szCs w:val="24"/>
          <w:lang w:val="en-US"/>
        </w:rPr>
        <w:t>Actinomyces</w:t>
      </w:r>
      <w:r w:rsidRPr="00317496">
        <w:rPr>
          <w:rFonts w:cs="Times New Roman"/>
          <w:szCs w:val="24"/>
          <w:lang w:val="en-US"/>
        </w:rPr>
        <w:t xml:space="preserve"> viscous by cell-to-cell interactions</w:t>
      </w:r>
      <w:r>
        <w:rPr>
          <w:rFonts w:cs="Times New Roman"/>
          <w:szCs w:val="24"/>
          <w:lang w:val="en-US"/>
        </w:rPr>
        <w:fldChar w:fldCharType="begin" w:fldLock="1"/>
      </w:r>
      <w:r w:rsidR="004871C8">
        <w:rPr>
          <w:rFonts w:cs="Times New Roman"/>
          <w:szCs w:val="24"/>
          <w:lang w:val="en-US"/>
        </w:rPr>
        <w:instrText>ADDIN CSL_CITATION {"citationItems":[{"id":"ITEM-1","itemData":{"DOI":"10.3390/nu2030290","ISSN":"2072-6643","abstract":"Dental caries and dental plaque are among the most common diseases worldwide, and are caused by a mixture of microorganisms and food debris. Specific types of acid-producing bacteria, especially Streptococcus mutans, colonize the dental surface and cause damage to the hard tooth structure in the presence of fermentable carbohydrates e.g., sucrose and fructose. This paper reviews the link between S. mutans and caries, as well as different simulation models that are available for studying caries. These models offer a valuable approach to study cariogenicity of different substrates as well as colonization of S. mutans.","author":[{"dropping-particle":"","family":"Forssten","given":"Sofia D","non-dropping-particle":"","parse-names":false,"suffix":""},{"dropping-particle":"","family":"Björklund","given":"Marika","non-dropping-particle":"","parse-names":false,"suffix":""},{"dropping-particle":"","family":"Ouwehand","given":"Arthur C","non-dropping-particle":"","parse-names":false,"suffix":""}],"container-title":"Nutrients","edition":"2010/03/02","id":"ITEM-1","issue":"3","issued":{"date-parts":[["2010","3"]]},"language":"eng","page":"290-298","publisher":"Molecular Diversity Preservation International","title":"Streptococcus mutans, caries and simulation models","type":"article-journal","volume":"2"},"uris":["http://www.mendeley.com/documents/?uuid=7fcf909b-ce5a-4568-a79a-96afcf4223a4"]}],"mendeley":{"formattedCitation":"&lt;sup&gt;78&lt;/sup&gt;","plainTextFormattedCitation":"78","previouslyFormattedCitation":"&lt;sup&gt;78&lt;/sup&gt;"},"properties":{"noteIndex":0},"schema":"https://github.com/citation-style-language/schema/raw/master/csl-citation.json"}</w:instrText>
      </w:r>
      <w:r>
        <w:rPr>
          <w:rFonts w:cs="Times New Roman"/>
          <w:szCs w:val="24"/>
          <w:lang w:val="en-US"/>
        </w:rPr>
        <w:fldChar w:fldCharType="separate"/>
      </w:r>
      <w:r w:rsidR="00B01517" w:rsidRPr="00B01517">
        <w:rPr>
          <w:rFonts w:cs="Times New Roman"/>
          <w:noProof/>
          <w:szCs w:val="24"/>
          <w:vertAlign w:val="superscript"/>
          <w:lang w:val="en-US"/>
        </w:rPr>
        <w:t>78</w:t>
      </w:r>
      <w:r>
        <w:rPr>
          <w:rFonts w:cs="Times New Roman"/>
          <w:szCs w:val="24"/>
          <w:lang w:val="en-US"/>
        </w:rPr>
        <w:fldChar w:fldCharType="end"/>
      </w:r>
      <w:r w:rsidRPr="00317496">
        <w:rPr>
          <w:rFonts w:cs="Times New Roman"/>
          <w:szCs w:val="24"/>
          <w:lang w:val="en-US"/>
        </w:rPr>
        <w:t>.</w:t>
      </w:r>
      <w:r>
        <w:rPr>
          <w:rFonts w:cs="Times New Roman"/>
          <w:szCs w:val="24"/>
          <w:lang w:val="en-US"/>
        </w:rPr>
        <w:t xml:space="preserve"> Even with the </w:t>
      </w:r>
      <w:r w:rsidRPr="00317496">
        <w:rPr>
          <w:rFonts w:cs="Times New Roman"/>
          <w:szCs w:val="24"/>
          <w:lang w:val="en-US"/>
        </w:rPr>
        <w:t>ability to adhere to the enamel</w:t>
      </w:r>
      <w:r>
        <w:rPr>
          <w:rFonts w:cs="Times New Roman"/>
          <w:szCs w:val="24"/>
          <w:lang w:val="en-US"/>
        </w:rPr>
        <w:t xml:space="preserve"> and </w:t>
      </w:r>
      <w:r w:rsidRPr="00317496">
        <w:rPr>
          <w:rFonts w:cs="Times New Roman"/>
          <w:szCs w:val="24"/>
          <w:lang w:val="en-US"/>
        </w:rPr>
        <w:t xml:space="preserve">primary colonizers, </w:t>
      </w:r>
      <w:r w:rsidRPr="00903D53">
        <w:rPr>
          <w:rFonts w:cs="Times New Roman"/>
          <w:i/>
          <w:iCs/>
          <w:szCs w:val="24"/>
          <w:lang w:val="en-US"/>
        </w:rPr>
        <w:t>S. mutans</w:t>
      </w:r>
      <w:r w:rsidRPr="00317496">
        <w:rPr>
          <w:rFonts w:cs="Times New Roman"/>
          <w:szCs w:val="24"/>
          <w:lang w:val="en-US"/>
        </w:rPr>
        <w:t xml:space="preserve"> are not especially prominent in the oral cavity. However, when dietary sugars, particularly sucrose, become available, </w:t>
      </w:r>
      <w:r w:rsidRPr="00903D53">
        <w:rPr>
          <w:rFonts w:cs="Times New Roman"/>
          <w:i/>
          <w:iCs/>
          <w:szCs w:val="24"/>
          <w:lang w:val="en-US"/>
        </w:rPr>
        <w:t>S. mutans</w:t>
      </w:r>
      <w:r w:rsidRPr="00317496">
        <w:rPr>
          <w:rFonts w:cs="Times New Roman"/>
          <w:szCs w:val="24"/>
          <w:lang w:val="en-US"/>
        </w:rPr>
        <w:t xml:space="preserve"> are able to thrive and become dominant in the oral cavity allowing formation of cariogenic biofilms</w:t>
      </w:r>
      <w:r>
        <w:rPr>
          <w:rFonts w:cs="Times New Roman"/>
          <w:szCs w:val="24"/>
          <w:lang w:val="en-US"/>
        </w:rPr>
        <w:fldChar w:fldCharType="begin" w:fldLock="1"/>
      </w:r>
      <w:r w:rsidR="00A356D0">
        <w:rPr>
          <w:rFonts w:cs="Times New Roman"/>
          <w:szCs w:val="24"/>
          <w:lang w:val="en-US"/>
        </w:rPr>
        <w:instrText>ADDIN CSL_CITATION {"citationItems":[{"id":"ITEM-1","itemData":{"DOI":"10.1099/mic.0.066134-0","ISSN":"1465-2080","abstract":"Despite the enormous contributions of the bacterial paradigms Escherichia coli and Bacillus subtilis to basic and applied research, it is well known that no single organism can be a perfect representative of all other species. However, given that some bacteria are difficult, or virtually impossible, to cultivate in the laboratory, that some are recalcitrant to genetic and molecular manipulation, and that others can be extremely dangerous to manipulate, the use of model organisms will continue to play an important role in the development of basic research. In particular, model organisms are very useful for providing a better understanding of the biology of closely related species. Here, we discuss how the lifestyle, the availability of suitable in vitro and in vivo systems, and a thorough understanding of the genetics, biochemistry and physiology of the dental pathogen Streptococcus mutans have greatly advanced our understanding of important areas in the field of bacteriology such as interspecies biofilms, competence development and stress responses. In this article, we provide an argument that places S. mutans, an organism that evolved in close association with the human host, as a novel Gram-positive model organism.","author":[{"dropping-particle":"","family":"Lemos","given":"José A","non-dropping-particle":"","parse-names":false,"suffix":""},{"dropping-particle":"","family":"Quivey","given":"Robert G","non-dropping-particle":"","parse-names":false,"suffix":""},{"dropping-particle":"","family":"Koo","given":"Hyun","non-dropping-particle":"","parse-names":false,"suffix":""},{"dropping-particle":"","family":"Abranches","given":"Jacqueline","non-dropping-particle":"","parse-names":false,"suffix":""}],"container-title":"Microbiology (Reading, England)","edition":"2013/02/07","id":"ITEM-1","issue":"Pt 3","issued":{"date-parts":[["2013","3"]]},"language":"eng","page":"436-445","publisher":"Society for General Microbiology","title":"Streptococcus mutans: a new Gram-positive paradigm?","type":"article-journal","volume":"159"},"uris":["http://www.mendeley.com/documents/?uuid=1ca4a3e2-8f0a-480f-a218-ac5a89652324"]}],"mendeley":{"formattedCitation":"&lt;sup&gt;81&lt;/sup&gt;","plainTextFormattedCitation":"81","previouslyFormattedCitation":"&lt;sup&gt;81&lt;/sup&gt;"},"properties":{"noteIndex":0},"schema":"https://github.com/citation-style-language/schema/raw/master/csl-citation.json"}</w:instrText>
      </w:r>
      <w:r>
        <w:rPr>
          <w:rFonts w:cs="Times New Roman"/>
          <w:szCs w:val="24"/>
          <w:lang w:val="en-US"/>
        </w:rPr>
        <w:fldChar w:fldCharType="separate"/>
      </w:r>
      <w:r w:rsidR="00BF4802" w:rsidRPr="00BF4802">
        <w:rPr>
          <w:rFonts w:cs="Times New Roman"/>
          <w:noProof/>
          <w:szCs w:val="24"/>
          <w:vertAlign w:val="superscript"/>
          <w:lang w:val="en-US"/>
        </w:rPr>
        <w:t>81</w:t>
      </w:r>
      <w:r>
        <w:rPr>
          <w:rFonts w:cs="Times New Roman"/>
          <w:szCs w:val="24"/>
          <w:lang w:val="en-US"/>
        </w:rPr>
        <w:fldChar w:fldCharType="end"/>
      </w:r>
      <w:r w:rsidRPr="00317496">
        <w:rPr>
          <w:rFonts w:cs="Times New Roman"/>
          <w:szCs w:val="24"/>
          <w:lang w:val="en-US"/>
        </w:rPr>
        <w:t xml:space="preserve">. </w:t>
      </w:r>
    </w:p>
    <w:p w14:paraId="375C9613" w14:textId="21BAC864" w:rsidR="001104C6" w:rsidRDefault="001104C6" w:rsidP="00273D80">
      <w:pPr>
        <w:pStyle w:val="Heading3"/>
        <w:jc w:val="both"/>
      </w:pPr>
      <w:bookmarkStart w:id="58" w:name="_Toc45837550"/>
      <w:r>
        <w:t>Secondary Caries</w:t>
      </w:r>
      <w:bookmarkEnd w:id="58"/>
    </w:p>
    <w:p w14:paraId="742B48C4" w14:textId="4DF6F843" w:rsidR="00D234FA" w:rsidRDefault="00532470" w:rsidP="00273D80">
      <w:pPr>
        <w:spacing w:line="480" w:lineRule="auto"/>
        <w:ind w:firstLine="708"/>
        <w:jc w:val="both"/>
        <w:rPr>
          <w:rFonts w:cs="Times New Roman"/>
          <w:lang w:val="en-US"/>
        </w:rPr>
      </w:pPr>
      <w:r>
        <w:rPr>
          <w:rFonts w:cs="Times New Roman"/>
          <w:lang w:val="en-US"/>
        </w:rPr>
        <w:t xml:space="preserve">Secondary caries </w:t>
      </w:r>
      <w:r w:rsidR="00D234FA">
        <w:rPr>
          <w:rFonts w:cs="Times New Roman"/>
          <w:lang w:val="en-US"/>
        </w:rPr>
        <w:t xml:space="preserve">are mainly the result of micro cracks between the filling and the tooth tissue of a previous dental restoration. These micro cracks allow infiltration of bacteria and provide a nice environment for bacteria to grow. </w:t>
      </w:r>
      <w:r w:rsidR="008B2FFE" w:rsidRPr="29941BFC">
        <w:rPr>
          <w:rFonts w:cs="Times New Roman"/>
          <w:lang w:val="en-US"/>
        </w:rPr>
        <w:t xml:space="preserve">If secondary caries were preventable, a lot of time and money would be saved. </w:t>
      </w:r>
      <w:r w:rsidR="00357375">
        <w:rPr>
          <w:rFonts w:cs="Times New Roman"/>
          <w:lang w:val="en-US"/>
        </w:rPr>
        <w:t>T</w:t>
      </w:r>
      <w:r w:rsidR="008B2FFE" w:rsidRPr="29941BFC">
        <w:rPr>
          <w:rFonts w:cs="Times New Roman"/>
          <w:lang w:val="en-US"/>
        </w:rPr>
        <w:t xml:space="preserve">o </w:t>
      </w:r>
      <w:r w:rsidR="00D234FA">
        <w:rPr>
          <w:rFonts w:cs="Times New Roman"/>
          <w:lang w:val="en-US"/>
        </w:rPr>
        <w:t>decrease the prevalence of</w:t>
      </w:r>
      <w:r w:rsidR="008B2FFE" w:rsidRPr="29941BFC">
        <w:rPr>
          <w:rFonts w:cs="Times New Roman"/>
          <w:lang w:val="en-US"/>
        </w:rPr>
        <w:t xml:space="preserve"> secondary </w:t>
      </w:r>
      <w:r w:rsidR="00D234FA">
        <w:rPr>
          <w:rFonts w:cs="Times New Roman"/>
          <w:lang w:val="en-US"/>
        </w:rPr>
        <w:t>caries</w:t>
      </w:r>
      <w:r w:rsidR="008B2FFE" w:rsidRPr="29941BFC">
        <w:rPr>
          <w:rFonts w:cs="Times New Roman"/>
          <w:lang w:val="en-US"/>
        </w:rPr>
        <w:t xml:space="preserve">, the adhesive </w:t>
      </w:r>
      <w:r w:rsidR="00D234FA">
        <w:rPr>
          <w:rFonts w:cs="Times New Roman"/>
          <w:lang w:val="en-US"/>
        </w:rPr>
        <w:t>needs to</w:t>
      </w:r>
      <w:r w:rsidR="008B2FFE" w:rsidRPr="29941BFC">
        <w:rPr>
          <w:rFonts w:cs="Times New Roman"/>
          <w:lang w:val="en-US"/>
        </w:rPr>
        <w:t xml:space="preserve"> be modified in a way that will allow it to </w:t>
      </w:r>
      <w:r w:rsidR="00D234FA">
        <w:rPr>
          <w:rFonts w:cs="Times New Roman"/>
          <w:lang w:val="en-US"/>
        </w:rPr>
        <w:t xml:space="preserve">inhibit the bacteria from entering the gaps between the </w:t>
      </w:r>
      <w:r w:rsidR="008B2FFE" w:rsidRPr="29941BFC">
        <w:rPr>
          <w:rFonts w:cs="Times New Roman"/>
          <w:lang w:val="en-US"/>
        </w:rPr>
        <w:t>tooth</w:t>
      </w:r>
      <w:r w:rsidR="00D234FA">
        <w:rPr>
          <w:rFonts w:cs="Times New Roman"/>
          <w:lang w:val="en-US"/>
        </w:rPr>
        <w:t xml:space="preserve"> tissue</w:t>
      </w:r>
      <w:r w:rsidR="008B2FFE" w:rsidRPr="29941BFC">
        <w:rPr>
          <w:rFonts w:cs="Times New Roman"/>
          <w:lang w:val="en-US"/>
        </w:rPr>
        <w:t xml:space="preserve"> and adhesive. </w:t>
      </w:r>
    </w:p>
    <w:p w14:paraId="34E8E4E7" w14:textId="164620B8" w:rsidR="008B2FFE" w:rsidRPr="008B2FFE" w:rsidRDefault="008B2FFE" w:rsidP="00273D80">
      <w:pPr>
        <w:spacing w:line="480" w:lineRule="auto"/>
        <w:ind w:firstLine="708"/>
        <w:jc w:val="both"/>
        <w:rPr>
          <w:rFonts w:cs="Times New Roman"/>
          <w:lang w:val="en-US"/>
        </w:rPr>
      </w:pPr>
      <w:r w:rsidRPr="29941BFC">
        <w:rPr>
          <w:rFonts w:cs="Times New Roman"/>
          <w:lang w:val="en-US"/>
        </w:rPr>
        <w:t>The incorpora</w:t>
      </w:r>
      <w:r w:rsidR="007F58AE">
        <w:rPr>
          <w:rFonts w:cs="Times New Roman"/>
          <w:lang w:val="en-US"/>
        </w:rPr>
        <w:t>tion</w:t>
      </w:r>
      <w:r w:rsidRPr="29941BFC">
        <w:rPr>
          <w:rFonts w:cs="Times New Roman"/>
          <w:lang w:val="en-US"/>
        </w:rPr>
        <w:t xml:space="preserve"> of </w:t>
      </w:r>
      <w:r w:rsidR="007F58AE">
        <w:rPr>
          <w:rFonts w:cs="Times New Roman"/>
          <w:lang w:val="en-US"/>
        </w:rPr>
        <w:t xml:space="preserve">an </w:t>
      </w:r>
      <w:r w:rsidRPr="29941BFC">
        <w:rPr>
          <w:rFonts w:cs="Times New Roman"/>
          <w:lang w:val="en-US"/>
        </w:rPr>
        <w:t>amine</w:t>
      </w:r>
      <w:r w:rsidR="007F58AE">
        <w:rPr>
          <w:rFonts w:cs="Times New Roman"/>
          <w:lang w:val="en-US"/>
        </w:rPr>
        <w:t xml:space="preserve"> oxide surfactant</w:t>
      </w:r>
      <w:r w:rsidRPr="29941BFC">
        <w:rPr>
          <w:rFonts w:cs="Times New Roman"/>
          <w:lang w:val="en-US"/>
        </w:rPr>
        <w:t xml:space="preserve"> and metal oxide into dental adhesives are of interest particularly because of their potential antibacterial properties.</w:t>
      </w:r>
      <w:r w:rsidR="00357375">
        <w:rPr>
          <w:rFonts w:cs="Times New Roman"/>
          <w:lang w:val="en-US"/>
        </w:rPr>
        <w:t xml:space="preserve"> The metal oxide nanoparticles observed in this study are zinc oxide nanoparticles.</w:t>
      </w:r>
      <w:r w:rsidRPr="29941BFC">
        <w:rPr>
          <w:rFonts w:cs="Times New Roman"/>
          <w:lang w:val="en-US"/>
        </w:rPr>
        <w:t xml:space="preserve"> </w:t>
      </w:r>
      <w:r w:rsidR="00D234FA">
        <w:rPr>
          <w:rFonts w:cs="Times New Roman"/>
          <w:lang w:val="en-US"/>
        </w:rPr>
        <w:t xml:space="preserve">Nanoparticles are of </w:t>
      </w:r>
      <w:r w:rsidR="00930441">
        <w:rPr>
          <w:rFonts w:cs="Times New Roman"/>
          <w:lang w:val="en-US"/>
        </w:rPr>
        <w:t xml:space="preserve">interest because it has been found that decreasing the particle size of the material results in greater </w:t>
      </w:r>
      <w:r w:rsidR="00930441">
        <w:rPr>
          <w:lang w:val="en-US"/>
        </w:rPr>
        <w:t>bactericidal efficacy</w:t>
      </w:r>
      <w:r w:rsidR="00930441">
        <w:rPr>
          <w:lang w:val="en-US"/>
        </w:rPr>
        <w:fldChar w:fldCharType="begin" w:fldLock="1"/>
      </w:r>
      <w:r w:rsidR="004871C8">
        <w:rPr>
          <w:lang w:val="en-US"/>
        </w:rPr>
        <w:instrText>ADDIN CSL_CITATION {"citationItems":[{"id":"ITEM-1","itemData":{"DOI":"https://doi.org/10.1016/j.nano.2008.04.005","ISSN":"1549-9634","abstract":"Dental caries is a worldwide public health problem for which Streptococcus mutans has been identified as the possible infectious etiology. In recent years nanotechnology has permitted the development of new properties of materials. The objective of this study was to compare the bactericidal and bacteriostatic effects of nanoparticles of silver, zinc oxide, and gold on S. mutans. We used the liquid dilution method to find the minimum inhibitory concentrations (MICs) and with subcultures obtained the minimum bactericidal concentrations (MBCs). For silver the results showed an average MIC of 4.86 ± 2.71 μg/mL and MBC of 6.25 μg/mL; for zinc the MIC was 500 ± 306.18 μg/mL and MBC of 500 μg/mL; the gold nanoparticles demonstrated an effect only at an initial concentration of 197 μg/mL. We established a higher antimicrobial effect against S. mutans of silver nanoparticles at lower concentrations than gold or zinc, which would allow achieving important clinical effects with a reduced toxicity.","author":[{"dropping-particle":"","family":"Hernández-Sierra","given":"Juan Francisco","non-dropping-particle":"","parse-names":false,"suffix":""},{"dropping-particle":"","family":"Ruiz","given":"Facundo","non-dropping-particle":"","parse-names":false,"suffix":""},{"dropping-particle":"","family":"Cruz Pena","given":"Diana Corina","non-dropping-particle":"","parse-names":false,"suffix":""},{"dropping-particle":"","family":"Martínez-Gutiérrez","given":"Fidel","non-dropping-particle":"","parse-names":false,"suffix":""},{"dropping-particle":"","family":"Martínez","given":"Alberto Emilio","non-dropping-particle":"","parse-names":false,"suffix":""},{"dropping-particle":"","family":"Jesús Pozos Guillén","given":"Amaury","non-dropping-particle":"de","parse-names":false,"suffix":""},{"dropping-particle":"","family":"Tapia-Pérez","given":"Humberto","non-dropping-particle":"","parse-names":false,"suffix":""},{"dropping-particle":"","family":"Martínez Castañón","given":"Gabriel","non-dropping-particle":"","parse-names":false,"suffix":""}],"container-title":"Nanomedicine: Nanotechnology, Biology and Medicine","id":"ITEM-1","issue":"3","issued":{"date-parts":[["2008"]]},"page":"237-240","title":"The antimicrobial sensitivity of Streptococcus mutans to nanoparticles of silver, zinc oxide, and gold","type":"article-journal","volume":"4"},"uris":["http://www.mendeley.com/documents/?uuid=4ec3d748-192a-4621-8008-cd6b9432f363"]},{"id":"ITEM-2","itemData":{"DOI":"10.2147/IJN.S35347","ISSN":"1178-2013","abstract":"BACKGROUND: Nanomaterials have unique properties compared to their bulk counterparts. For this reason, nanotechnology has attracted a great deal of attention from the scientific community. Metal oxide nanomaterials like ZnO and CuO have been used industrially for several purposes, including cosmetics, paints, plastics, and textiles. A common feature that these nanoparticles exhibit is their antimicrobial behavior against pathogenic bacteria. In this report, we demonstrate the antimicrobial activity of ZnO, CuO, and Fe(2)O(3) nanoparticles against Gram-positive and Gram-negative bacteria. METHODS AND RESULTS: Nanosized particles of three metal oxides (ZnO, CuO, and Fe(2)O(3)) were synthesized by a sol-gel combustion route and characterized by X-ray diffraction, Fourier-transform infrared spectroscopy, and transmission electron microscopy techniques. X-ray diffraction results confirmed the single-phase formation of all three nanomaterials. The particle sizes were observed to be 18, 22, and 28 nm for ZnO, CuO, and Fe(2)O(3), respectively. We used these nanomaterials to evaluate their antibacterial activity against both Gram-negative (Escherichia coli and Pseudomonas aeruginosa) and Gram-positive (Staphylococcus aureus and Bacillus subtilis) bacteria. CONCLUSION: Among the three metal oxide nanomaterials, ZnO showed greatest antimicrobial activity against both Gram-positive and Gram-negative bacteria used in this study. It was observed that ZnO nanoparticles have excellent bactericidal potential, while Fe(2)O(3) nanoparticles exhibited the least bactericidal activity. The order of antibacterial activity was demonstrated to be the following: ZnO &gt; CuO &gt; Fe(2)O(3).","author":[{"dropping-particle":"","family":"Azam","given":"Ameer","non-dropping-particle":"","parse-names":false,"suffix":""},{"dropping-particle":"","family":"Ahmed","given":"Arham S","non-dropping-particle":"","parse-names":false,"suffix":""},{"dropping-particle":"","family":"Oves","given":"Mohammad","non-dropping-particle":"","parse-names":false,"suffix":""},{"dropping-particle":"","family":"Khan","given":"Mohammad S","non-dropping-particle":"","parse-names":false,"suffix":""},{"dropping-particle":"","family":"Habib","given":"Sami S","non-dropping-particle":"","parse-names":false,"suffix":""},{"dropping-particle":"","family":"Memic","given":"Adnan","non-dropping-particle":"","parse-names":false,"suffix":""}],"container-title":"International journal of nanomedicine","edition":"2012/12/05","id":"ITEM-2","issued":{"date-parts":[["2012"]]},"language":"eng","page":"6003-6009","publisher":"Dove Medical Press","title":"Antimicrobial activity of metal oxide nanoparticles against Gram-positive and Gram-negative bacteria: a comparative study","type":"article-journal","volume":"7"},"uris":["http://www.mendeley.com/documents/?uuid=77f254be-1131-4c68-9dfe-6d0bff96e1c1"]}],"mendeley":{"formattedCitation":"&lt;sup&gt;13,16&lt;/sup&gt;","plainTextFormattedCitation":"13,16","previouslyFormattedCitation":"&lt;sup&gt;13,16&lt;/sup&gt;"},"properties":{"noteIndex":0},"schema":"https://github.com/citation-style-language/schema/raw/master/csl-citation.json"}</w:instrText>
      </w:r>
      <w:r w:rsidR="00930441">
        <w:rPr>
          <w:lang w:val="en-US"/>
        </w:rPr>
        <w:fldChar w:fldCharType="separate"/>
      </w:r>
      <w:r w:rsidR="00B01517" w:rsidRPr="00B01517">
        <w:rPr>
          <w:noProof/>
          <w:vertAlign w:val="superscript"/>
          <w:lang w:val="en-US"/>
        </w:rPr>
        <w:t>13,16</w:t>
      </w:r>
      <w:r w:rsidR="00930441">
        <w:rPr>
          <w:lang w:val="en-US"/>
        </w:rPr>
        <w:fldChar w:fldCharType="end"/>
      </w:r>
      <w:r w:rsidR="00930441">
        <w:rPr>
          <w:lang w:val="en-US"/>
        </w:rPr>
        <w:t xml:space="preserve">. </w:t>
      </w:r>
      <w:r w:rsidRPr="29941BFC">
        <w:rPr>
          <w:rFonts w:cs="Times New Roman"/>
          <w:lang w:val="en-US"/>
        </w:rPr>
        <w:t>The intention</w:t>
      </w:r>
      <w:r w:rsidR="00BF5CB6">
        <w:rPr>
          <w:rFonts w:cs="Times New Roman"/>
          <w:lang w:val="en-US"/>
        </w:rPr>
        <w:t xml:space="preserve"> ultimately</w:t>
      </w:r>
      <w:r w:rsidRPr="29941BFC">
        <w:rPr>
          <w:rFonts w:cs="Times New Roman"/>
          <w:lang w:val="en-US"/>
        </w:rPr>
        <w:t xml:space="preserve"> is to reduce the </w:t>
      </w:r>
      <w:r w:rsidR="00D234FA">
        <w:rPr>
          <w:rFonts w:cs="Times New Roman"/>
          <w:lang w:val="en-US"/>
        </w:rPr>
        <w:t xml:space="preserve">harmful </w:t>
      </w:r>
      <w:r w:rsidRPr="29941BFC">
        <w:rPr>
          <w:rFonts w:cs="Times New Roman"/>
          <w:lang w:val="en-US"/>
        </w:rPr>
        <w:t>effect</w:t>
      </w:r>
      <w:r w:rsidR="00D234FA">
        <w:rPr>
          <w:rFonts w:cs="Times New Roman"/>
          <w:lang w:val="en-US"/>
        </w:rPr>
        <w:t>s</w:t>
      </w:r>
      <w:r w:rsidRPr="29941BFC">
        <w:rPr>
          <w:rFonts w:cs="Times New Roman"/>
          <w:lang w:val="en-US"/>
        </w:rPr>
        <w:t xml:space="preserve"> of bacteria</w:t>
      </w:r>
      <w:r w:rsidR="00D234FA">
        <w:rPr>
          <w:rFonts w:cs="Times New Roman"/>
          <w:lang w:val="en-US"/>
        </w:rPr>
        <w:t xml:space="preserve">. </w:t>
      </w:r>
      <w:r w:rsidR="00A56EBD">
        <w:rPr>
          <w:rFonts w:cs="Times New Roman"/>
          <w:szCs w:val="24"/>
          <w:lang w:val="en-US"/>
        </w:rPr>
        <w:t>S</w:t>
      </w:r>
      <w:r w:rsidR="00A56EBD" w:rsidRPr="009B4DC4">
        <w:rPr>
          <w:rFonts w:cs="Times New Roman"/>
          <w:szCs w:val="24"/>
          <w:lang w:val="en-US"/>
        </w:rPr>
        <w:t xml:space="preserve">urfactants have </w:t>
      </w:r>
      <w:r w:rsidR="00A56EBD">
        <w:rPr>
          <w:rFonts w:cs="Times New Roman"/>
          <w:szCs w:val="24"/>
          <w:lang w:val="en-US"/>
        </w:rPr>
        <w:t>shown also</w:t>
      </w:r>
      <w:r w:rsidR="00A56EBD" w:rsidRPr="00241A81">
        <w:rPr>
          <w:rFonts w:cs="Times New Roman"/>
          <w:szCs w:val="24"/>
          <w:lang w:val="en-US"/>
        </w:rPr>
        <w:t xml:space="preserve"> </w:t>
      </w:r>
      <w:r w:rsidR="00A56EBD">
        <w:rPr>
          <w:rFonts w:cs="Times New Roman"/>
          <w:szCs w:val="24"/>
          <w:lang w:val="en-US"/>
        </w:rPr>
        <w:t>antimicrobial properties against a broad spectrum of microorganisms</w:t>
      </w:r>
      <w:r w:rsidR="00A56EBD">
        <w:rPr>
          <w:rFonts w:cs="Times New Roman"/>
          <w:szCs w:val="24"/>
          <w:lang w:val="en-US"/>
        </w:rPr>
        <w:fldChar w:fldCharType="begin" w:fldLock="1"/>
      </w:r>
      <w:r w:rsidR="004871C8">
        <w:rPr>
          <w:rFonts w:cs="Times New Roman"/>
          <w:szCs w:val="24"/>
          <w:lang w:val="en-US"/>
        </w:rPr>
        <w:instrText>ADDIN CSL_CITATION {"citationItems":[{"id":"ITEM-1","itemData":{"DOI":"10.1111/j.2042-7158.1990.tb07022.x","ISSN":"0022-3573","abstract":"Abstract? The antimicrobial activity of the homologous series of N,N-dimethylalkylamine oxides (DMAO) was found to be quasi parabolically dependent on alkyl chain length with a maximum at n ? 15 and n ? 12 for Staphylococcus aureus and Escherichia coli, respectively. The physicochemical properties of DMAOs as characterized by critical micelle concentrations, retention times of 1-alkenes generated from DMAOs by gas-liquid chromatography, Rm values in reversed phase chromatography, and bacterial lipid/aqueous phase partition coefficients were found to correlate with the alkyl chain length. The effect of DMAOs on the structure of the model membrane prepared from isolated lipids from Escherichia coli as detected by a spin probe method was maximal for the alkyl chain length n ? 10?12 coinciding with the maximum in the antimicrobial activity observed with Escherichia coli. It is suggested that the cut-off in the DMAO antimicrobial activity is caused by the cut-off in the DMAO perturbing effect on the membrane structure.","author":[{"dropping-particle":"","family":"Devínsky","given":"Ferdinand","non-dropping-particle":"","parse-names":false,"suffix":""},{"dropping-particle":"","family":"Kopecka-Leitmanová","given":"Anna","non-dropping-particle":"","parse-names":false,"suffix":""},{"dropping-particle":"","family":"Šeršeň","given":"František","non-dropping-particle":"","parse-names":false,"suffix":""},{"dropping-particle":"","family":"Balgavý","given":"Pavol","non-dropping-particle":"","parse-names":false,"suffix":""}],"container-title":"Journal of Pharmacy and Pharmacology","id":"ITEM-1","issue":"11","issued":{"date-parts":[["1990","11","1"]]},"note":"doi: 10.1111/j.2042-7158.1990.tb07022.x","page":"790-794","publisher":"John Wiley &amp; Sons, Ltd","title":"Cut-off Effect in Antimicrobial Activity and in Membrane Perturbation Efficiency of the Homologous Series of N,N-Dimethylalkylamine Oxides†","type":"article-journal","volume":"42"},"uris":["http://www.mendeley.com/documents/?uuid=49c24dbf-ce06-488e-a5c7-dbb3c1b60e47"]}],"mendeley":{"formattedCitation":"&lt;sup&gt;11&lt;/sup&gt;","plainTextFormattedCitation":"11","previouslyFormattedCitation":"&lt;sup&gt;11&lt;/sup&gt;"},"properties":{"noteIndex":0},"schema":"https://github.com/citation-style-language/schema/raw/master/csl-citation.json"}</w:instrText>
      </w:r>
      <w:r w:rsidR="00A56EBD">
        <w:rPr>
          <w:rFonts w:cs="Times New Roman"/>
          <w:szCs w:val="24"/>
          <w:lang w:val="en-US"/>
        </w:rPr>
        <w:fldChar w:fldCharType="separate"/>
      </w:r>
      <w:r w:rsidR="00B01517" w:rsidRPr="00B01517">
        <w:rPr>
          <w:rFonts w:cs="Times New Roman"/>
          <w:noProof/>
          <w:szCs w:val="24"/>
          <w:vertAlign w:val="superscript"/>
          <w:lang w:val="en-US"/>
        </w:rPr>
        <w:t>11</w:t>
      </w:r>
      <w:r w:rsidR="00A56EBD">
        <w:rPr>
          <w:rFonts w:cs="Times New Roman"/>
          <w:szCs w:val="24"/>
          <w:lang w:val="en-US"/>
        </w:rPr>
        <w:fldChar w:fldCharType="end"/>
      </w:r>
      <w:r w:rsidR="00A56EBD">
        <w:rPr>
          <w:rFonts w:cs="Times New Roman"/>
          <w:szCs w:val="24"/>
          <w:lang w:val="en-US"/>
        </w:rPr>
        <w:t xml:space="preserve"> which is one of the reasons they are key components in many disinfectant agents such as detergents and cleaning products.</w:t>
      </w:r>
      <w:r w:rsidR="00A56EBD">
        <w:rPr>
          <w:rFonts w:cs="Times New Roman"/>
          <w:lang w:val="en-US"/>
        </w:rPr>
        <w:t xml:space="preserve"> </w:t>
      </w:r>
      <w:r w:rsidR="00D234FA">
        <w:rPr>
          <w:rFonts w:cs="Times New Roman"/>
          <w:lang w:val="en-US"/>
        </w:rPr>
        <w:t>By</w:t>
      </w:r>
      <w:r w:rsidRPr="29941BFC">
        <w:rPr>
          <w:rFonts w:cs="Times New Roman"/>
          <w:lang w:val="en-US"/>
        </w:rPr>
        <w:t xml:space="preserve"> working with </w:t>
      </w:r>
      <w:r w:rsidRPr="00903D53">
        <w:rPr>
          <w:rFonts w:cs="Times New Roman"/>
          <w:i/>
          <w:iCs/>
          <w:lang w:val="en-US"/>
        </w:rPr>
        <w:t>Streptococcus mutans</w:t>
      </w:r>
      <w:r w:rsidR="00F46BD4">
        <w:rPr>
          <w:rFonts w:cs="Times New Roman"/>
          <w:lang w:val="en-US"/>
        </w:rPr>
        <w:t xml:space="preserve">, </w:t>
      </w:r>
      <w:r w:rsidR="00D234FA">
        <w:rPr>
          <w:rFonts w:cs="Times New Roman"/>
          <w:lang w:val="en-US"/>
        </w:rPr>
        <w:t>a prevalent bacteria present when examining tooth decay</w:t>
      </w:r>
      <w:r w:rsidR="00D234FA" w:rsidRPr="29941BFC">
        <w:rPr>
          <w:rFonts w:cs="Times New Roman"/>
          <w:lang w:val="en-US"/>
        </w:rPr>
        <w:fldChar w:fldCharType="begin" w:fldLock="1"/>
      </w:r>
      <w:r w:rsidR="00A356D0">
        <w:rPr>
          <w:rFonts w:cs="Times New Roman"/>
          <w:lang w:val="en-US"/>
        </w:rPr>
        <w:instrText>ADDIN CSL_CITATION {"citationItems":[{"id":"ITEM-1","itemData":{"ISBN":"0146-0749 (Print)\r0146-0749","PMID":"3540569","author":[{"dropping-particle":"","family":"Loesche","given":"W J","non-dropping-particle":"","parse-names":false,"suffix":""}],"container-title":"Microbiol Rev","edition":"1986/12/01","id":"ITEM-1","issue":"4","issued":{"date-parts":[["1986"]]},"language":"eng","note":"Loesche, W J\nDE02731/DE/NIDCR NIH HHS/United States\nJournal Article\nResearch Support, U.S. Gov't, P.H.S.\nReview\nUnited States\nMicrobiol Rev. 1986 Dec;50(4):353-80.","page":"353-380","title":"Role of Streptococcus mutans in human dental decay","type":"article-journal","volume":"50"},"uris":["http://www.mendeley.com/documents/?uuid=656b179b-9f92-4cf0-bb5c-aea052c730bf"]}],"mendeley":{"formattedCitation":"&lt;sup&gt;82&lt;/sup&gt;","plainTextFormattedCitation":"82","previouslyFormattedCitation":"&lt;sup&gt;82&lt;/sup&gt;"},"properties":{"noteIndex":0},"schema":"https://github.com/citation-style-language/schema/raw/master/csl-citation.json"}</w:instrText>
      </w:r>
      <w:r w:rsidR="00D234FA" w:rsidRPr="29941BFC">
        <w:rPr>
          <w:rFonts w:cs="Times New Roman"/>
          <w:lang w:val="en-US"/>
        </w:rPr>
        <w:fldChar w:fldCharType="separate"/>
      </w:r>
      <w:r w:rsidR="00BF4802" w:rsidRPr="00BF4802">
        <w:rPr>
          <w:rFonts w:cs="Times New Roman"/>
          <w:noProof/>
          <w:vertAlign w:val="superscript"/>
          <w:lang w:val="en-US"/>
        </w:rPr>
        <w:t>82</w:t>
      </w:r>
      <w:r w:rsidR="00D234FA" w:rsidRPr="29941BFC">
        <w:rPr>
          <w:rFonts w:cs="Times New Roman"/>
          <w:lang w:val="en-US"/>
        </w:rPr>
        <w:fldChar w:fldCharType="end"/>
      </w:r>
      <w:r w:rsidR="00D234FA">
        <w:rPr>
          <w:rFonts w:cs="Times New Roman"/>
          <w:lang w:val="en-US"/>
        </w:rPr>
        <w:t>,</w:t>
      </w:r>
      <w:r w:rsidR="006C6CC3">
        <w:rPr>
          <w:rFonts w:cs="Times New Roman"/>
          <w:lang w:val="en-US"/>
        </w:rPr>
        <w:t xml:space="preserve"> </w:t>
      </w:r>
      <w:r w:rsidRPr="29941BFC">
        <w:rPr>
          <w:rFonts w:cs="Times New Roman"/>
          <w:lang w:val="en-US"/>
        </w:rPr>
        <w:t>secondary caries</w:t>
      </w:r>
      <w:r w:rsidR="00D234FA">
        <w:rPr>
          <w:rFonts w:cs="Times New Roman"/>
          <w:lang w:val="en-US"/>
        </w:rPr>
        <w:t xml:space="preserve"> can be reduced</w:t>
      </w:r>
      <w:r w:rsidR="006C6CC3">
        <w:rPr>
          <w:rFonts w:cs="Times New Roman"/>
          <w:lang w:val="en-US"/>
        </w:rPr>
        <w:t xml:space="preserve"> by using antibacterial </w:t>
      </w:r>
      <w:r w:rsidR="00D234FA">
        <w:rPr>
          <w:rFonts w:cs="Times New Roman"/>
          <w:lang w:val="en-US"/>
        </w:rPr>
        <w:t>adhesive resins in the initial dental restoration</w:t>
      </w:r>
      <w:r w:rsidRPr="29941BFC">
        <w:rPr>
          <w:rFonts w:cs="Times New Roman"/>
          <w:lang w:val="en-US"/>
        </w:rPr>
        <w:t xml:space="preserve">. </w:t>
      </w:r>
      <w:r w:rsidR="007C23DA">
        <w:rPr>
          <w:rFonts w:cs="Times New Roman"/>
          <w:lang w:val="en-US"/>
        </w:rPr>
        <w:t xml:space="preserve">By combining the metallic nanoparticles and amine oxide surfactant there is a possibility of synergism. </w:t>
      </w:r>
      <w:r w:rsidR="00357375">
        <w:rPr>
          <w:rFonts w:cs="Times New Roman"/>
          <w:lang w:val="en-US"/>
        </w:rPr>
        <w:t xml:space="preserve">Because </w:t>
      </w:r>
      <w:r w:rsidR="00357375" w:rsidRPr="00903D53">
        <w:rPr>
          <w:i/>
          <w:iCs/>
          <w:lang w:val="en-US"/>
        </w:rPr>
        <w:t>Streptococcus mutans</w:t>
      </w:r>
      <w:r w:rsidR="00357375">
        <w:rPr>
          <w:lang w:val="en-US"/>
        </w:rPr>
        <w:t xml:space="preserve"> are one of the main bacteria present in dental caries, it is believed that this bacterium may heavily contribute to the formation of dental caries. </w:t>
      </w:r>
      <w:r w:rsidRPr="29941BFC">
        <w:rPr>
          <w:rFonts w:cs="Times New Roman"/>
          <w:lang w:val="en-US"/>
        </w:rPr>
        <w:t xml:space="preserve">For this reason, the bacteria being used to test the effectiveness of </w:t>
      </w:r>
      <w:r w:rsidR="00D234FA">
        <w:rPr>
          <w:rFonts w:cs="Times New Roman"/>
          <w:lang w:val="en-US"/>
        </w:rPr>
        <w:t>zinc</w:t>
      </w:r>
      <w:r w:rsidRPr="29941BFC">
        <w:rPr>
          <w:rFonts w:cs="Times New Roman"/>
          <w:lang w:val="en-US"/>
        </w:rPr>
        <w:t xml:space="preserve"> oxides </w:t>
      </w:r>
      <w:r w:rsidR="00D234FA">
        <w:rPr>
          <w:rFonts w:cs="Times New Roman"/>
          <w:lang w:val="en-US"/>
        </w:rPr>
        <w:t xml:space="preserve">nanoparticles and </w:t>
      </w:r>
      <w:r w:rsidR="000838A4">
        <w:rPr>
          <w:rFonts w:cs="Times New Roman"/>
          <w:lang w:val="en-US"/>
        </w:rPr>
        <w:t xml:space="preserve">amine oxide </w:t>
      </w:r>
      <w:r w:rsidR="007F58AE">
        <w:rPr>
          <w:rFonts w:cs="Times New Roman"/>
          <w:lang w:val="en-US"/>
        </w:rPr>
        <w:t xml:space="preserve">surfactant </w:t>
      </w:r>
      <w:r w:rsidRPr="29941BFC">
        <w:rPr>
          <w:rFonts w:cs="Times New Roman"/>
          <w:lang w:val="en-US"/>
        </w:rPr>
        <w:t xml:space="preserve">will include </w:t>
      </w:r>
      <w:r w:rsidRPr="00903D53">
        <w:rPr>
          <w:rFonts w:cs="Times New Roman"/>
          <w:i/>
          <w:iCs/>
          <w:lang w:val="en-US"/>
        </w:rPr>
        <w:t xml:space="preserve">S. </w:t>
      </w:r>
      <w:r w:rsidR="00420E43" w:rsidRPr="00903D53">
        <w:rPr>
          <w:rFonts w:cs="Times New Roman"/>
          <w:i/>
          <w:iCs/>
          <w:lang w:val="en-US"/>
        </w:rPr>
        <w:t>m</w:t>
      </w:r>
      <w:r w:rsidRPr="00903D53">
        <w:rPr>
          <w:rFonts w:cs="Times New Roman"/>
          <w:i/>
          <w:iCs/>
          <w:lang w:val="en-US"/>
        </w:rPr>
        <w:t>utans</w:t>
      </w:r>
      <w:r w:rsidRPr="29941BFC">
        <w:rPr>
          <w:rFonts w:cs="Times New Roman"/>
          <w:lang w:val="en-US"/>
        </w:rPr>
        <w:t xml:space="preserve">. </w:t>
      </w:r>
    </w:p>
    <w:p w14:paraId="5303EBE5" w14:textId="5ACB9115" w:rsidR="00E529FF" w:rsidRDefault="00E529FF" w:rsidP="00273D80">
      <w:pPr>
        <w:pStyle w:val="Heading2"/>
        <w:jc w:val="both"/>
      </w:pPr>
      <w:bookmarkStart w:id="59" w:name="_Toc45837551"/>
      <w:r>
        <w:t>Materials</w:t>
      </w:r>
      <w:bookmarkEnd w:id="59"/>
    </w:p>
    <w:p w14:paraId="484BC385" w14:textId="5EDC7929" w:rsidR="00654E30" w:rsidRPr="00241A81" w:rsidRDefault="00705B2C" w:rsidP="00273D80">
      <w:pPr>
        <w:pStyle w:val="Heading3"/>
        <w:jc w:val="both"/>
      </w:pPr>
      <w:bookmarkStart w:id="60" w:name="_Toc45837552"/>
      <w:r w:rsidRPr="00241A81">
        <w:t>Antibacterial Blend (Composite)</w:t>
      </w:r>
      <w:bookmarkEnd w:id="60"/>
    </w:p>
    <w:p w14:paraId="1D98969E" w14:textId="553613BF" w:rsidR="00A5475B" w:rsidRDefault="00705B2C" w:rsidP="00273D80">
      <w:pPr>
        <w:spacing w:line="480" w:lineRule="auto"/>
        <w:ind w:firstLine="708"/>
        <w:jc w:val="both"/>
        <w:rPr>
          <w:rFonts w:cs="Times New Roman"/>
          <w:szCs w:val="24"/>
          <w:lang w:val="en-US"/>
        </w:rPr>
      </w:pPr>
      <w:r w:rsidRPr="00241A81">
        <w:rPr>
          <w:rFonts w:cs="Times New Roman"/>
          <w:szCs w:val="24"/>
          <w:lang w:val="en-US"/>
        </w:rPr>
        <w:t>Two types of commercially available zinc oxide nanoparticles were used: Nanogard</w:t>
      </w:r>
      <w:r w:rsidRPr="00241A81">
        <w:rPr>
          <w:rFonts w:cs="Times New Roman"/>
          <w:szCs w:val="24"/>
          <w:vertAlign w:val="superscript"/>
          <w:lang w:val="en-US"/>
        </w:rPr>
        <w:t xml:space="preserve">TM </w:t>
      </w:r>
      <w:r w:rsidRPr="00241A81">
        <w:rPr>
          <w:rFonts w:cs="Times New Roman"/>
          <w:szCs w:val="24"/>
          <w:lang w:val="en-US"/>
        </w:rPr>
        <w:t>(Lot #</w:t>
      </w:r>
      <w:r w:rsidR="002D33B7" w:rsidRPr="00241A81">
        <w:rPr>
          <w:rFonts w:cs="Times New Roman"/>
          <w:szCs w:val="24"/>
          <w:lang w:val="en-US"/>
        </w:rPr>
        <w:t xml:space="preserve"> </w:t>
      </w:r>
      <w:r w:rsidRPr="00241A81">
        <w:rPr>
          <w:rFonts w:cs="Times New Roman"/>
          <w:szCs w:val="24"/>
          <w:lang w:val="en-US"/>
        </w:rPr>
        <w:t>B13Y045</w:t>
      </w:r>
      <w:r w:rsidR="002D33B7" w:rsidRPr="00241A81">
        <w:rPr>
          <w:rFonts w:cs="Times New Roman"/>
          <w:szCs w:val="24"/>
          <w:lang w:val="en-US"/>
        </w:rPr>
        <w:t>, Alfa Aesar</w:t>
      </w:r>
      <w:r w:rsidRPr="00241A81">
        <w:rPr>
          <w:rFonts w:cs="Times New Roman"/>
          <w:szCs w:val="24"/>
          <w:lang w:val="en-US"/>
        </w:rPr>
        <w:t>) and NanoTek</w:t>
      </w:r>
      <w:r w:rsidRPr="00241A81">
        <w:rPr>
          <w:rFonts w:cs="Times New Roman"/>
          <w:szCs w:val="24"/>
          <w:vertAlign w:val="superscript"/>
          <w:lang w:val="en-US"/>
        </w:rPr>
        <w:t xml:space="preserve">TM </w:t>
      </w:r>
      <w:r w:rsidRPr="00241A81">
        <w:rPr>
          <w:rFonts w:cs="Times New Roman"/>
          <w:szCs w:val="24"/>
          <w:lang w:val="en-US"/>
        </w:rPr>
        <w:t>(coated with organosilane, Lot #</w:t>
      </w:r>
      <w:r w:rsidR="002D33B7" w:rsidRPr="00241A81">
        <w:rPr>
          <w:rFonts w:cs="Times New Roman"/>
          <w:szCs w:val="24"/>
          <w:lang w:val="en-US"/>
        </w:rPr>
        <w:t xml:space="preserve"> </w:t>
      </w:r>
      <w:r w:rsidRPr="00241A81">
        <w:rPr>
          <w:rFonts w:cs="Times New Roman"/>
          <w:szCs w:val="24"/>
          <w:lang w:val="en-US"/>
        </w:rPr>
        <w:t>D22W010</w:t>
      </w:r>
      <w:r w:rsidR="002D33B7" w:rsidRPr="00241A81">
        <w:rPr>
          <w:rFonts w:cs="Times New Roman"/>
          <w:szCs w:val="24"/>
          <w:lang w:val="en-US"/>
        </w:rPr>
        <w:t>, Alfa Aesar</w:t>
      </w:r>
      <w:r w:rsidRPr="00241A81">
        <w:rPr>
          <w:rFonts w:cs="Times New Roman"/>
          <w:szCs w:val="24"/>
          <w:lang w:val="en-US"/>
        </w:rPr>
        <w:t>).</w:t>
      </w:r>
      <w:r w:rsidR="00604ECD">
        <w:rPr>
          <w:rFonts w:cs="Times New Roman"/>
          <w:szCs w:val="24"/>
          <w:lang w:val="en-US"/>
        </w:rPr>
        <w:t xml:space="preserve"> </w:t>
      </w:r>
      <w:r w:rsidR="00604ECD" w:rsidRPr="00241A81">
        <w:rPr>
          <w:rFonts w:cs="Times New Roman"/>
          <w:szCs w:val="24"/>
          <w:lang w:val="en-US"/>
        </w:rPr>
        <w:t>The Nanogard</w:t>
      </w:r>
      <w:r w:rsidR="00604ECD" w:rsidRPr="00241A81">
        <w:rPr>
          <w:rFonts w:cs="Times New Roman"/>
          <w:szCs w:val="24"/>
          <w:vertAlign w:val="superscript"/>
          <w:lang w:val="en-US"/>
        </w:rPr>
        <w:t xml:space="preserve">TM </w:t>
      </w:r>
      <w:r w:rsidR="00604ECD" w:rsidRPr="00241A81">
        <w:rPr>
          <w:rFonts w:cs="Times New Roman"/>
          <w:szCs w:val="24"/>
          <w:lang w:val="en-US"/>
        </w:rPr>
        <w:t>nanoparticles are 40-100nm in size and &gt;99% purity. The NanoTek</w:t>
      </w:r>
      <w:r w:rsidR="00604ECD" w:rsidRPr="00241A81">
        <w:rPr>
          <w:rFonts w:cs="Times New Roman"/>
          <w:szCs w:val="24"/>
          <w:vertAlign w:val="superscript"/>
          <w:lang w:val="en-US"/>
        </w:rPr>
        <w:t>TM</w:t>
      </w:r>
      <w:r w:rsidR="00604ECD" w:rsidRPr="00241A81">
        <w:rPr>
          <w:rFonts w:cs="Times New Roman"/>
          <w:szCs w:val="24"/>
          <w:lang w:val="en-US"/>
        </w:rPr>
        <w:t xml:space="preserve"> nanoparticles are 40-100nm in size and 99% purity. They are also hydrophobic and nonpolar.</w:t>
      </w:r>
      <w:r w:rsidR="00604ECD">
        <w:rPr>
          <w:rFonts w:cs="Times New Roman"/>
          <w:szCs w:val="24"/>
          <w:lang w:val="en-US"/>
        </w:rPr>
        <w:t xml:space="preserve"> </w:t>
      </w:r>
      <w:r w:rsidRPr="00241A81">
        <w:rPr>
          <w:rFonts w:cs="Times New Roman"/>
          <w:szCs w:val="24"/>
          <w:lang w:val="en-US"/>
        </w:rPr>
        <w:t>Surfactant</w:t>
      </w:r>
      <w:r w:rsidR="003D3D2C">
        <w:rPr>
          <w:rFonts w:cs="Times New Roman"/>
          <w:szCs w:val="24"/>
          <w:lang w:val="en-US"/>
        </w:rPr>
        <w:t xml:space="preserve"> solution</w:t>
      </w:r>
      <w:r w:rsidRPr="00241A81">
        <w:rPr>
          <w:rFonts w:cs="Times New Roman"/>
          <w:szCs w:val="24"/>
          <w:lang w:val="en-US"/>
        </w:rPr>
        <w:t xml:space="preserve"> was used to coat the nanoparticles: N,N-D</w:t>
      </w:r>
      <w:r w:rsidR="002D33B7" w:rsidRPr="00241A81">
        <w:rPr>
          <w:rFonts w:cs="Times New Roman"/>
          <w:szCs w:val="24"/>
          <w:lang w:val="en-US"/>
        </w:rPr>
        <w:t>imethyl</w:t>
      </w:r>
      <w:r w:rsidRPr="00241A81">
        <w:rPr>
          <w:rFonts w:cs="Times New Roman"/>
          <w:szCs w:val="24"/>
          <w:lang w:val="en-US"/>
        </w:rPr>
        <w:t>dodecylamine N-oxide (DDAO</w:t>
      </w:r>
      <w:r w:rsidR="00DA3048">
        <w:rPr>
          <w:rFonts w:cs="Times New Roman"/>
          <w:szCs w:val="24"/>
          <w:lang w:val="en-US"/>
        </w:rPr>
        <w:t xml:space="preserve"> (~30% in water</w:t>
      </w:r>
      <w:r w:rsidR="002D33B7" w:rsidRPr="00241A81">
        <w:rPr>
          <w:rFonts w:cs="Times New Roman"/>
          <w:szCs w:val="24"/>
          <w:lang w:val="en-US"/>
        </w:rPr>
        <w:t>,</w:t>
      </w:r>
      <w:r w:rsidRPr="00241A81">
        <w:rPr>
          <w:rFonts w:cs="Times New Roman"/>
          <w:szCs w:val="24"/>
          <w:lang w:val="en-US"/>
        </w:rPr>
        <w:t xml:space="preserve"> </w:t>
      </w:r>
      <w:r w:rsidR="002D33B7" w:rsidRPr="00241A81">
        <w:rPr>
          <w:rFonts w:cs="Times New Roman"/>
          <w:szCs w:val="24"/>
          <w:lang w:val="en-US"/>
        </w:rPr>
        <w:t>Lot# BCBQ8457V, Sigma Aldrich</w:t>
      </w:r>
      <w:r w:rsidRPr="00241A81">
        <w:rPr>
          <w:rFonts w:cs="Times New Roman"/>
          <w:szCs w:val="24"/>
          <w:lang w:val="en-US"/>
        </w:rPr>
        <w:t>).</w:t>
      </w:r>
      <w:r w:rsidR="00DC45B5">
        <w:rPr>
          <w:rFonts w:cs="Times New Roman"/>
          <w:szCs w:val="24"/>
          <w:lang w:val="en-US"/>
        </w:rPr>
        <w:t xml:space="preserve"> </w:t>
      </w:r>
      <w:r w:rsidR="00F25C96">
        <w:rPr>
          <w:rFonts w:cs="Times New Roman"/>
          <w:szCs w:val="24"/>
          <w:lang w:val="en-US"/>
        </w:rPr>
        <w:t xml:space="preserve">The nanoparticles and surfactant are incorporated into dental adhesive resin </w:t>
      </w:r>
      <w:r w:rsidR="006533B3">
        <w:rPr>
          <w:rFonts w:cs="Times New Roman"/>
          <w:szCs w:val="24"/>
          <w:lang w:val="en-US"/>
        </w:rPr>
        <w:t xml:space="preserve">as described in the methods </w:t>
      </w:r>
      <w:r w:rsidR="00F25C96">
        <w:rPr>
          <w:rFonts w:cs="Times New Roman"/>
          <w:szCs w:val="24"/>
          <w:lang w:val="en-US"/>
        </w:rPr>
        <w:t>(</w:t>
      </w:r>
      <w:r w:rsidR="00F25C96" w:rsidRPr="00241A81">
        <w:rPr>
          <w:rFonts w:cs="Times New Roman"/>
          <w:szCs w:val="24"/>
          <w:lang w:val="en-US"/>
        </w:rPr>
        <w:t>Optibond Solo Plus, Kerr Corporation, Orange, CA; Lot: 5112933)</w:t>
      </w:r>
      <w:r w:rsidR="00F25C96">
        <w:rPr>
          <w:rFonts w:cs="Times New Roman"/>
          <w:szCs w:val="24"/>
          <w:lang w:val="en-US"/>
        </w:rPr>
        <w:t>.</w:t>
      </w:r>
    </w:p>
    <w:p w14:paraId="09EB5A8A" w14:textId="2538BB4A" w:rsidR="00162B4F" w:rsidRDefault="001C10D5" w:rsidP="00273D80">
      <w:pPr>
        <w:pStyle w:val="Heading2"/>
        <w:jc w:val="both"/>
      </w:pPr>
      <w:bookmarkStart w:id="61" w:name="_Toc45837553"/>
      <w:r>
        <w:t>Methods</w:t>
      </w:r>
      <w:r w:rsidR="000B76BE">
        <w:t xml:space="preserve"> – </w:t>
      </w:r>
      <w:r w:rsidR="00704AA3">
        <w:t>Nanoparticle Fabrication</w:t>
      </w:r>
      <w:bookmarkEnd w:id="61"/>
    </w:p>
    <w:p w14:paraId="78E2343D" w14:textId="72EF0ABB" w:rsidR="007319DE" w:rsidRDefault="0057304E" w:rsidP="00273D80">
      <w:pPr>
        <w:spacing w:after="0" w:line="480" w:lineRule="auto"/>
        <w:jc w:val="both"/>
        <w:rPr>
          <w:lang w:val="en-US"/>
        </w:rPr>
      </w:pPr>
      <w:r>
        <w:rPr>
          <w:lang w:val="en-US"/>
        </w:rPr>
        <w:t xml:space="preserve">Six nanoparticle </w:t>
      </w:r>
      <w:r w:rsidR="002A4A34">
        <w:rPr>
          <w:lang w:val="en-US"/>
        </w:rPr>
        <w:t>groups</w:t>
      </w:r>
      <w:r>
        <w:rPr>
          <w:lang w:val="en-US"/>
        </w:rPr>
        <w:t xml:space="preserve"> were created as follows:</w:t>
      </w:r>
    </w:p>
    <w:p w14:paraId="577BA1D7" w14:textId="3CFCA353" w:rsidR="00273D80" w:rsidRDefault="00273D80" w:rsidP="00273D80">
      <w:pPr>
        <w:spacing w:after="0" w:line="480" w:lineRule="auto"/>
        <w:jc w:val="both"/>
        <w:rPr>
          <w:lang w:val="en-US"/>
        </w:rPr>
      </w:pPr>
    </w:p>
    <w:p w14:paraId="43128869" w14:textId="77777777" w:rsidR="00273D80" w:rsidRDefault="00273D80" w:rsidP="00273D80">
      <w:pPr>
        <w:spacing w:after="0" w:line="480" w:lineRule="auto"/>
        <w:jc w:val="both"/>
        <w:rPr>
          <w:lang w:val="en-US"/>
        </w:rPr>
      </w:pPr>
    </w:p>
    <w:p w14:paraId="638BE4D3" w14:textId="4D5B82D2" w:rsidR="0038734D" w:rsidRDefault="00D17A1B" w:rsidP="00D17A1B">
      <w:pPr>
        <w:pStyle w:val="Caption"/>
        <w:rPr>
          <w:lang w:val="en-US"/>
        </w:rPr>
      </w:pPr>
      <w:r>
        <w:t xml:space="preserve">Table </w:t>
      </w:r>
      <w:r>
        <w:fldChar w:fldCharType="begin"/>
      </w:r>
      <w:r>
        <w:instrText>SEQ Table \* ARABIC</w:instrText>
      </w:r>
      <w:r>
        <w:fldChar w:fldCharType="separate"/>
      </w:r>
      <w:r w:rsidR="0008188F">
        <w:rPr>
          <w:noProof/>
        </w:rPr>
        <w:t>5</w:t>
      </w:r>
      <w:r>
        <w:fldChar w:fldCharType="end"/>
      </w:r>
    </w:p>
    <w:tbl>
      <w:tblPr>
        <w:tblStyle w:val="TableGrid"/>
        <w:tblW w:w="0" w:type="auto"/>
        <w:jc w:val="center"/>
        <w:tblLook w:val="04A0" w:firstRow="1" w:lastRow="0" w:firstColumn="1" w:lastColumn="0" w:noHBand="0" w:noVBand="1"/>
      </w:tblPr>
      <w:tblGrid>
        <w:gridCol w:w="1165"/>
        <w:gridCol w:w="4950"/>
      </w:tblGrid>
      <w:tr w:rsidR="0082662B" w14:paraId="357CC343" w14:textId="77777777" w:rsidTr="00017EF6">
        <w:trPr>
          <w:jc w:val="center"/>
        </w:trPr>
        <w:tc>
          <w:tcPr>
            <w:tcW w:w="1165" w:type="dxa"/>
          </w:tcPr>
          <w:p w14:paraId="6832FFA2" w14:textId="6DD4D7DF" w:rsidR="0082662B" w:rsidRDefault="0082662B" w:rsidP="00F91C11">
            <w:pPr>
              <w:spacing w:line="480" w:lineRule="auto"/>
              <w:jc w:val="center"/>
            </w:pPr>
            <w:r>
              <w:rPr>
                <w:rFonts w:cs="Times New Roman"/>
                <w:szCs w:val="24"/>
              </w:rPr>
              <w:t>Sample</w:t>
            </w:r>
          </w:p>
        </w:tc>
        <w:tc>
          <w:tcPr>
            <w:tcW w:w="4950" w:type="dxa"/>
          </w:tcPr>
          <w:p w14:paraId="0785DD05" w14:textId="196A6C71" w:rsidR="0082662B" w:rsidRDefault="0082662B" w:rsidP="0082662B">
            <w:pPr>
              <w:spacing w:line="480" w:lineRule="auto"/>
            </w:pPr>
            <w:r>
              <w:rPr>
                <w:rFonts w:cs="Times New Roman"/>
                <w:szCs w:val="24"/>
              </w:rPr>
              <w:t>Composition</w:t>
            </w:r>
          </w:p>
        </w:tc>
      </w:tr>
      <w:tr w:rsidR="0082662B" w14:paraId="3D41A3EC" w14:textId="77777777" w:rsidTr="00017EF6">
        <w:trPr>
          <w:jc w:val="center"/>
        </w:trPr>
        <w:tc>
          <w:tcPr>
            <w:tcW w:w="1165" w:type="dxa"/>
          </w:tcPr>
          <w:p w14:paraId="0E5BAEE5" w14:textId="0156FEF6" w:rsidR="0082662B" w:rsidRDefault="0082662B" w:rsidP="00F91C11">
            <w:pPr>
              <w:spacing w:line="480" w:lineRule="auto"/>
              <w:jc w:val="center"/>
            </w:pPr>
            <w:r>
              <w:t>1</w:t>
            </w:r>
          </w:p>
        </w:tc>
        <w:tc>
          <w:tcPr>
            <w:tcW w:w="4950" w:type="dxa"/>
          </w:tcPr>
          <w:p w14:paraId="6E513A97" w14:textId="1084EAD7" w:rsidR="0082662B" w:rsidRDefault="0082662B" w:rsidP="0082662B">
            <w:pPr>
              <w:spacing w:line="360" w:lineRule="auto"/>
            </w:pPr>
            <w:r w:rsidRPr="0082662B">
              <w:rPr>
                <w:rFonts w:cs="Times New Roman"/>
                <w:szCs w:val="24"/>
              </w:rPr>
              <w:t>Uncoated NanoGard</w:t>
            </w:r>
            <w:r w:rsidRPr="0082662B">
              <w:rPr>
                <w:rFonts w:cs="Times New Roman"/>
                <w:szCs w:val="24"/>
                <w:vertAlign w:val="superscript"/>
              </w:rPr>
              <w:t xml:space="preserve">TM </w:t>
            </w:r>
            <w:r w:rsidRPr="0082662B">
              <w:rPr>
                <w:rFonts w:cs="Times New Roman"/>
                <w:szCs w:val="24"/>
              </w:rPr>
              <w:t>in water</w:t>
            </w:r>
          </w:p>
        </w:tc>
      </w:tr>
      <w:tr w:rsidR="0082662B" w14:paraId="79C593D2" w14:textId="77777777" w:rsidTr="00017EF6">
        <w:trPr>
          <w:jc w:val="center"/>
        </w:trPr>
        <w:tc>
          <w:tcPr>
            <w:tcW w:w="1165" w:type="dxa"/>
          </w:tcPr>
          <w:p w14:paraId="1A3A7253" w14:textId="017FD7BF" w:rsidR="0082662B" w:rsidRDefault="0082662B" w:rsidP="00F91C11">
            <w:pPr>
              <w:spacing w:line="480" w:lineRule="auto"/>
              <w:jc w:val="center"/>
            </w:pPr>
            <w:r>
              <w:t>2</w:t>
            </w:r>
          </w:p>
        </w:tc>
        <w:tc>
          <w:tcPr>
            <w:tcW w:w="4950" w:type="dxa"/>
          </w:tcPr>
          <w:p w14:paraId="4F40889B" w14:textId="5E3AC22E" w:rsidR="0082662B" w:rsidRPr="0017136F" w:rsidRDefault="0082662B" w:rsidP="0017136F">
            <w:pPr>
              <w:spacing w:line="360" w:lineRule="auto"/>
              <w:rPr>
                <w:rFonts w:cs="Times New Roman"/>
                <w:szCs w:val="24"/>
              </w:rPr>
            </w:pPr>
            <w:r w:rsidRPr="0082662B">
              <w:rPr>
                <w:rFonts w:cs="Times New Roman"/>
                <w:szCs w:val="24"/>
              </w:rPr>
              <w:t>Uncoated NanoTek</w:t>
            </w:r>
            <w:r w:rsidRPr="0082662B">
              <w:rPr>
                <w:rFonts w:cs="Times New Roman"/>
                <w:szCs w:val="24"/>
                <w:vertAlign w:val="superscript"/>
              </w:rPr>
              <w:t xml:space="preserve">TM </w:t>
            </w:r>
            <w:r w:rsidRPr="0082662B">
              <w:rPr>
                <w:rFonts w:cs="Times New Roman"/>
                <w:szCs w:val="24"/>
              </w:rPr>
              <w:t>in 70% Ethanol</w:t>
            </w:r>
          </w:p>
        </w:tc>
      </w:tr>
      <w:tr w:rsidR="0082662B" w:rsidRPr="0044385A" w14:paraId="2D911829" w14:textId="77777777" w:rsidTr="00017EF6">
        <w:trPr>
          <w:jc w:val="center"/>
        </w:trPr>
        <w:tc>
          <w:tcPr>
            <w:tcW w:w="1165" w:type="dxa"/>
          </w:tcPr>
          <w:p w14:paraId="2BC4E69C" w14:textId="20846C98" w:rsidR="0082662B" w:rsidRDefault="0082662B" w:rsidP="00F91C11">
            <w:pPr>
              <w:spacing w:line="480" w:lineRule="auto"/>
              <w:jc w:val="center"/>
            </w:pPr>
            <w:r>
              <w:t>3</w:t>
            </w:r>
          </w:p>
        </w:tc>
        <w:tc>
          <w:tcPr>
            <w:tcW w:w="4950" w:type="dxa"/>
          </w:tcPr>
          <w:p w14:paraId="3BCFCA4F" w14:textId="2E769CD4" w:rsidR="0082662B" w:rsidRPr="0017136F" w:rsidRDefault="0017136F" w:rsidP="0017136F">
            <w:pPr>
              <w:spacing w:line="360" w:lineRule="auto"/>
              <w:rPr>
                <w:rFonts w:cs="Times New Roman"/>
                <w:szCs w:val="24"/>
              </w:rPr>
            </w:pPr>
            <w:r w:rsidRPr="0082662B">
              <w:rPr>
                <w:rFonts w:cs="Times New Roman"/>
                <w:szCs w:val="24"/>
              </w:rPr>
              <w:t>DDAO Coated NanoGard</w:t>
            </w:r>
            <w:r w:rsidRPr="0082662B">
              <w:rPr>
                <w:rFonts w:cs="Times New Roman"/>
                <w:szCs w:val="24"/>
                <w:vertAlign w:val="superscript"/>
              </w:rPr>
              <w:t>TM</w:t>
            </w:r>
            <w:r w:rsidRPr="0082662B">
              <w:rPr>
                <w:rFonts w:cs="Times New Roman"/>
                <w:szCs w:val="24"/>
              </w:rPr>
              <w:t xml:space="preserve"> in 70% Ethanol</w:t>
            </w:r>
          </w:p>
        </w:tc>
      </w:tr>
      <w:tr w:rsidR="0082662B" w:rsidRPr="0044385A" w14:paraId="4797E781" w14:textId="77777777" w:rsidTr="00017EF6">
        <w:trPr>
          <w:jc w:val="center"/>
        </w:trPr>
        <w:tc>
          <w:tcPr>
            <w:tcW w:w="1165" w:type="dxa"/>
          </w:tcPr>
          <w:p w14:paraId="3258A01B" w14:textId="1346B6A8" w:rsidR="0082662B" w:rsidRDefault="0082662B" w:rsidP="00F91C11">
            <w:pPr>
              <w:spacing w:line="480" w:lineRule="auto"/>
              <w:jc w:val="center"/>
            </w:pPr>
            <w:r>
              <w:t>4</w:t>
            </w:r>
          </w:p>
        </w:tc>
        <w:tc>
          <w:tcPr>
            <w:tcW w:w="4950" w:type="dxa"/>
          </w:tcPr>
          <w:p w14:paraId="0D030307" w14:textId="2DABF908" w:rsidR="0082662B" w:rsidRPr="0017136F" w:rsidRDefault="0017136F" w:rsidP="0017136F">
            <w:pPr>
              <w:spacing w:line="360" w:lineRule="auto"/>
              <w:rPr>
                <w:rFonts w:cs="Times New Roman"/>
                <w:szCs w:val="24"/>
              </w:rPr>
            </w:pPr>
            <w:r w:rsidRPr="0082662B">
              <w:rPr>
                <w:rFonts w:cs="Times New Roman"/>
                <w:szCs w:val="24"/>
              </w:rPr>
              <w:t>DDAO Coated NanoTek</w:t>
            </w:r>
            <w:r w:rsidRPr="0082662B">
              <w:rPr>
                <w:rFonts w:cs="Times New Roman"/>
                <w:szCs w:val="24"/>
                <w:vertAlign w:val="superscript"/>
              </w:rPr>
              <w:t>TM</w:t>
            </w:r>
            <w:r w:rsidRPr="0082662B">
              <w:rPr>
                <w:rFonts w:cs="Times New Roman"/>
                <w:szCs w:val="24"/>
              </w:rPr>
              <w:t xml:space="preserve"> in 70% Ethanol</w:t>
            </w:r>
          </w:p>
        </w:tc>
      </w:tr>
      <w:tr w:rsidR="0082662B" w:rsidRPr="0044385A" w14:paraId="26D4434F" w14:textId="77777777" w:rsidTr="00017EF6">
        <w:trPr>
          <w:jc w:val="center"/>
        </w:trPr>
        <w:tc>
          <w:tcPr>
            <w:tcW w:w="1165" w:type="dxa"/>
          </w:tcPr>
          <w:p w14:paraId="2999100A" w14:textId="1ADA1566" w:rsidR="0082662B" w:rsidRDefault="0082662B" w:rsidP="00F91C11">
            <w:pPr>
              <w:spacing w:line="480" w:lineRule="auto"/>
              <w:jc w:val="center"/>
            </w:pPr>
            <w:r>
              <w:t>5</w:t>
            </w:r>
          </w:p>
        </w:tc>
        <w:tc>
          <w:tcPr>
            <w:tcW w:w="4950" w:type="dxa"/>
          </w:tcPr>
          <w:p w14:paraId="700910BE" w14:textId="58BC2688" w:rsidR="0082662B" w:rsidRPr="0017136F" w:rsidRDefault="0017136F" w:rsidP="0017136F">
            <w:pPr>
              <w:spacing w:line="360" w:lineRule="auto"/>
              <w:rPr>
                <w:rFonts w:cs="Times New Roman"/>
                <w:szCs w:val="24"/>
              </w:rPr>
            </w:pPr>
            <w:r w:rsidRPr="0082662B">
              <w:rPr>
                <w:rFonts w:cs="Times New Roman"/>
                <w:szCs w:val="24"/>
              </w:rPr>
              <w:t>DDAO Coated NanoGard</w:t>
            </w:r>
            <w:r w:rsidRPr="0082662B">
              <w:rPr>
                <w:rFonts w:cs="Times New Roman"/>
                <w:szCs w:val="24"/>
                <w:vertAlign w:val="superscript"/>
              </w:rPr>
              <w:t>TM</w:t>
            </w:r>
            <w:r w:rsidRPr="0082662B">
              <w:rPr>
                <w:rFonts w:cs="Times New Roman"/>
                <w:szCs w:val="24"/>
              </w:rPr>
              <w:t xml:space="preserve"> in water</w:t>
            </w:r>
          </w:p>
        </w:tc>
      </w:tr>
      <w:tr w:rsidR="0082662B" w:rsidRPr="0044385A" w14:paraId="7FC939B6" w14:textId="77777777" w:rsidTr="00017EF6">
        <w:trPr>
          <w:jc w:val="center"/>
        </w:trPr>
        <w:tc>
          <w:tcPr>
            <w:tcW w:w="1165" w:type="dxa"/>
          </w:tcPr>
          <w:p w14:paraId="3826F1F6" w14:textId="3B73BB64" w:rsidR="0082662B" w:rsidRDefault="0082662B" w:rsidP="00F91C11">
            <w:pPr>
              <w:spacing w:line="480" w:lineRule="auto"/>
              <w:jc w:val="center"/>
            </w:pPr>
            <w:r>
              <w:t>6</w:t>
            </w:r>
          </w:p>
        </w:tc>
        <w:tc>
          <w:tcPr>
            <w:tcW w:w="4950" w:type="dxa"/>
          </w:tcPr>
          <w:p w14:paraId="491D300D" w14:textId="7888C9BE" w:rsidR="0082662B" w:rsidRPr="0017136F" w:rsidRDefault="0017136F" w:rsidP="0017136F">
            <w:pPr>
              <w:spacing w:line="360" w:lineRule="auto"/>
              <w:rPr>
                <w:rFonts w:cs="Times New Roman"/>
                <w:szCs w:val="24"/>
              </w:rPr>
            </w:pPr>
            <w:r w:rsidRPr="0082662B">
              <w:rPr>
                <w:rFonts w:cs="Times New Roman"/>
                <w:szCs w:val="24"/>
              </w:rPr>
              <w:t>DDAO Coated NanoTek</w:t>
            </w:r>
            <w:r w:rsidRPr="0082662B">
              <w:rPr>
                <w:rFonts w:cs="Times New Roman"/>
                <w:szCs w:val="24"/>
                <w:vertAlign w:val="superscript"/>
              </w:rPr>
              <w:t>TM</w:t>
            </w:r>
            <w:r w:rsidRPr="0082662B">
              <w:rPr>
                <w:rFonts w:cs="Times New Roman"/>
                <w:szCs w:val="24"/>
              </w:rPr>
              <w:t xml:space="preserve"> in water</w:t>
            </w:r>
          </w:p>
        </w:tc>
      </w:tr>
    </w:tbl>
    <w:p w14:paraId="752E0D90" w14:textId="2204C385" w:rsidR="000120A0" w:rsidRPr="000120A0" w:rsidRDefault="00942B17" w:rsidP="00273D80">
      <w:pPr>
        <w:spacing w:line="480" w:lineRule="auto"/>
        <w:jc w:val="both"/>
        <w:rPr>
          <w:lang w:val="en-US"/>
        </w:rPr>
      </w:pPr>
      <w:r w:rsidRPr="29941BFC">
        <w:rPr>
          <w:lang w:val="en-US"/>
        </w:rPr>
        <w:t>For each group</w:t>
      </w:r>
      <w:r w:rsidR="00AF676A" w:rsidRPr="29941BFC">
        <w:rPr>
          <w:lang w:val="en-US"/>
        </w:rPr>
        <w:t>,</w:t>
      </w:r>
      <w:r w:rsidRPr="29941BFC">
        <w:rPr>
          <w:lang w:val="en-US"/>
        </w:rPr>
        <w:t xml:space="preserve"> </w:t>
      </w:r>
      <w:r w:rsidR="00032759" w:rsidRPr="29941BFC">
        <w:rPr>
          <w:lang w:val="en-US"/>
        </w:rPr>
        <w:t>0.</w:t>
      </w:r>
      <w:r w:rsidR="00862FAD" w:rsidRPr="29941BFC">
        <w:rPr>
          <w:lang w:val="en-US"/>
        </w:rPr>
        <w:t xml:space="preserve">5 grams of </w:t>
      </w:r>
      <w:r w:rsidRPr="29941BFC">
        <w:rPr>
          <w:lang w:val="en-US"/>
        </w:rPr>
        <w:t xml:space="preserve">nanoparticles were </w:t>
      </w:r>
      <w:r w:rsidR="00B13B65" w:rsidRPr="29941BFC">
        <w:rPr>
          <w:lang w:val="en-US"/>
        </w:rPr>
        <w:t>weighed</w:t>
      </w:r>
      <w:r w:rsidRPr="29941BFC">
        <w:rPr>
          <w:lang w:val="en-US"/>
        </w:rPr>
        <w:t xml:space="preserve"> and added to 10 mL of </w:t>
      </w:r>
      <w:r w:rsidR="005B06AC" w:rsidRPr="29941BFC">
        <w:rPr>
          <w:lang w:val="en-US"/>
        </w:rPr>
        <w:t>water or 70% ethanol</w:t>
      </w:r>
      <w:r w:rsidR="00D0708A" w:rsidRPr="29941BFC">
        <w:rPr>
          <w:lang w:val="en-US"/>
        </w:rPr>
        <w:t xml:space="preserve">. </w:t>
      </w:r>
      <w:r w:rsidR="0008327A" w:rsidRPr="29941BFC">
        <w:rPr>
          <w:lang w:val="en-US"/>
        </w:rPr>
        <w:t>Surfactant</w:t>
      </w:r>
      <w:r w:rsidR="009F1D62">
        <w:rPr>
          <w:lang w:val="en-US"/>
        </w:rPr>
        <w:t xml:space="preserve"> solution</w:t>
      </w:r>
      <w:r w:rsidR="0008327A" w:rsidRPr="29941BFC">
        <w:rPr>
          <w:lang w:val="en-US"/>
        </w:rPr>
        <w:t xml:space="preserve"> was added at </w:t>
      </w:r>
      <w:r w:rsidR="00FB149A" w:rsidRPr="29941BFC">
        <w:rPr>
          <w:lang w:val="en-US"/>
        </w:rPr>
        <w:t>6</w:t>
      </w:r>
      <w:r w:rsidR="00CF2CA2" w:rsidRPr="29941BFC">
        <w:rPr>
          <w:lang w:val="en-US"/>
        </w:rPr>
        <w:t>8</w:t>
      </w:r>
      <w:r w:rsidR="002A4A34" w:rsidRPr="29941BFC">
        <w:rPr>
          <w:lang w:val="en-US"/>
        </w:rPr>
        <w:t>.7</w:t>
      </w:r>
      <w:r w:rsidR="00FB149A" w:rsidRPr="29941BFC">
        <w:rPr>
          <w:lang w:val="en-US"/>
        </w:rPr>
        <w:t xml:space="preserve"> </w:t>
      </w:r>
      <w:r w:rsidR="0008327A" w:rsidRPr="29941BFC">
        <w:rPr>
          <w:rFonts w:cs="Times New Roman"/>
          <w:lang w:val="en-US"/>
        </w:rPr>
        <w:t>μ</w:t>
      </w:r>
      <w:r w:rsidR="0008327A" w:rsidRPr="29941BFC">
        <w:rPr>
          <w:lang w:val="en-US"/>
        </w:rPr>
        <w:t xml:space="preserve">L for every </w:t>
      </w:r>
      <w:r w:rsidR="00891B93" w:rsidRPr="29941BFC">
        <w:rPr>
          <w:lang w:val="en-US"/>
        </w:rPr>
        <w:t xml:space="preserve">10mL of </w:t>
      </w:r>
      <w:r w:rsidR="00B13B65" w:rsidRPr="29941BFC">
        <w:rPr>
          <w:lang w:val="en-US"/>
        </w:rPr>
        <w:t>solution</w:t>
      </w:r>
      <w:r w:rsidR="0008327A" w:rsidRPr="29941BFC">
        <w:rPr>
          <w:lang w:val="en-US"/>
        </w:rPr>
        <w:t xml:space="preserve"> in </w:t>
      </w:r>
      <w:r w:rsidR="004D66BB" w:rsidRPr="29941BFC">
        <w:rPr>
          <w:lang w:val="en-US"/>
        </w:rPr>
        <w:t>Groups 3-6</w:t>
      </w:r>
      <w:r w:rsidR="0008327A" w:rsidRPr="29941BFC">
        <w:rPr>
          <w:lang w:val="en-US"/>
        </w:rPr>
        <w:t>.</w:t>
      </w:r>
      <w:r w:rsidR="00210186" w:rsidRPr="29941BFC">
        <w:rPr>
          <w:lang w:val="en-US"/>
        </w:rPr>
        <w:t xml:space="preserve"> The volumes and masses can be scaled proportionally for all groups.</w:t>
      </w:r>
      <w:r w:rsidR="00B13B65" w:rsidRPr="29941BFC">
        <w:rPr>
          <w:lang w:val="en-US"/>
        </w:rPr>
        <w:t xml:space="preserve"> </w:t>
      </w:r>
      <w:r w:rsidR="00291CFD" w:rsidRPr="29941BFC">
        <w:rPr>
          <w:lang w:val="en-US"/>
        </w:rPr>
        <w:t xml:space="preserve">The </w:t>
      </w:r>
      <w:r w:rsidR="0046666A" w:rsidRPr="29941BFC">
        <w:rPr>
          <w:lang w:val="en-US"/>
        </w:rPr>
        <w:t>solution</w:t>
      </w:r>
      <w:r w:rsidR="007933DA" w:rsidRPr="29941BFC">
        <w:rPr>
          <w:lang w:val="en-US"/>
        </w:rPr>
        <w:t>s</w:t>
      </w:r>
      <w:r w:rsidR="00291CFD" w:rsidRPr="29941BFC">
        <w:rPr>
          <w:lang w:val="en-US"/>
        </w:rPr>
        <w:t xml:space="preserve"> </w:t>
      </w:r>
      <w:r w:rsidR="008469DC" w:rsidRPr="29941BFC">
        <w:rPr>
          <w:lang w:val="en-US"/>
        </w:rPr>
        <w:t xml:space="preserve">shook </w:t>
      </w:r>
      <w:r w:rsidR="00291CFD" w:rsidRPr="29941BFC">
        <w:rPr>
          <w:lang w:val="en-US"/>
        </w:rPr>
        <w:t xml:space="preserve">in a shaking </w:t>
      </w:r>
      <w:r w:rsidR="00F44552" w:rsidRPr="29941BFC">
        <w:rPr>
          <w:lang w:val="en-US"/>
        </w:rPr>
        <w:t xml:space="preserve">bath for 48 </w:t>
      </w:r>
      <w:r w:rsidR="00F44552" w:rsidRPr="29941BFC">
        <w:rPr>
          <w:rFonts w:cs="Times New Roman"/>
          <w:lang w:val="en-US"/>
        </w:rPr>
        <w:t>±</w:t>
      </w:r>
      <w:r w:rsidR="00F44552" w:rsidRPr="29941BFC">
        <w:rPr>
          <w:lang w:val="en-US"/>
        </w:rPr>
        <w:t xml:space="preserve"> 4 hours</w:t>
      </w:r>
      <w:r w:rsidR="007C7A65" w:rsidRPr="29941BFC">
        <w:rPr>
          <w:lang w:val="en-US"/>
        </w:rPr>
        <w:t>.</w:t>
      </w:r>
      <w:r w:rsidR="008C5924" w:rsidRPr="29941BFC">
        <w:rPr>
          <w:lang w:val="en-US"/>
        </w:rPr>
        <w:t xml:space="preserve"> </w:t>
      </w:r>
      <w:r w:rsidR="005A2212" w:rsidRPr="29941BFC">
        <w:rPr>
          <w:lang w:val="en-US"/>
        </w:rPr>
        <w:t xml:space="preserve">The solution was mixed </w:t>
      </w:r>
      <w:r w:rsidR="000D0AD7" w:rsidRPr="29941BFC">
        <w:rPr>
          <w:lang w:val="en-US"/>
        </w:rPr>
        <w:t>then sonicated on ice for 2 minutes</w:t>
      </w:r>
      <w:r w:rsidR="00743228" w:rsidRPr="29941BFC">
        <w:rPr>
          <w:lang w:val="en-US"/>
        </w:rPr>
        <w:t xml:space="preserve"> at a 10% power output</w:t>
      </w:r>
      <w:r w:rsidR="000D0AD7" w:rsidRPr="29941BFC">
        <w:rPr>
          <w:lang w:val="en-US"/>
        </w:rPr>
        <w:t>.</w:t>
      </w:r>
      <w:r w:rsidR="008C2C5B" w:rsidRPr="29941BFC">
        <w:rPr>
          <w:lang w:val="en-US"/>
        </w:rPr>
        <w:t xml:space="preserve"> The nanoparticles were </w:t>
      </w:r>
      <w:r w:rsidR="00857909" w:rsidRPr="29941BFC">
        <w:rPr>
          <w:lang w:val="en-US"/>
        </w:rPr>
        <w:t xml:space="preserve">filtered from the supernatant and dried at 72 </w:t>
      </w:r>
      <w:r w:rsidR="00857909" w:rsidRPr="29941BFC">
        <w:rPr>
          <w:rFonts w:cs="Times New Roman"/>
          <w:lang w:val="en-US"/>
        </w:rPr>
        <w:t>±</w:t>
      </w:r>
      <w:r w:rsidR="00857909" w:rsidRPr="29941BFC">
        <w:rPr>
          <w:lang w:val="en-US"/>
        </w:rPr>
        <w:t xml:space="preserve"> 5 </w:t>
      </w:r>
      <w:r w:rsidR="00857909" w:rsidRPr="29941BFC">
        <w:rPr>
          <w:rFonts w:cs="Times New Roman"/>
          <w:lang w:val="en-US"/>
        </w:rPr>
        <w:t>°</w:t>
      </w:r>
      <w:r w:rsidR="00857909" w:rsidRPr="29941BFC">
        <w:rPr>
          <w:lang w:val="en-US"/>
        </w:rPr>
        <w:t>C</w:t>
      </w:r>
      <w:r w:rsidR="0046666A" w:rsidRPr="29941BFC">
        <w:rPr>
          <w:lang w:val="en-US"/>
        </w:rPr>
        <w:t xml:space="preserve"> </w:t>
      </w:r>
      <w:r w:rsidR="00857909" w:rsidRPr="29941BFC">
        <w:rPr>
          <w:lang w:val="en-US"/>
        </w:rPr>
        <w:t xml:space="preserve">for </w:t>
      </w:r>
      <w:r w:rsidR="00404445" w:rsidRPr="29941BFC">
        <w:rPr>
          <w:lang w:val="en-US"/>
        </w:rPr>
        <w:t xml:space="preserve">1 hour. </w:t>
      </w:r>
      <w:bookmarkStart w:id="62" w:name="_Toc45837554"/>
    </w:p>
    <w:p w14:paraId="504AE66B" w14:textId="02CB3EFC" w:rsidR="004C798B" w:rsidRPr="00704AA3" w:rsidRDefault="00174BAE" w:rsidP="00273D80">
      <w:pPr>
        <w:pStyle w:val="Heading2"/>
        <w:jc w:val="both"/>
      </w:pPr>
      <w:r>
        <w:t xml:space="preserve">Methods – </w:t>
      </w:r>
      <w:r w:rsidR="004C798B">
        <w:t>Contact Angle</w:t>
      </w:r>
      <w:bookmarkEnd w:id="62"/>
      <w:r>
        <w:t xml:space="preserve"> </w:t>
      </w:r>
    </w:p>
    <w:p w14:paraId="01D6E1F3" w14:textId="2914808C" w:rsidR="00EE1F57" w:rsidRPr="00241A81" w:rsidRDefault="00B24A84" w:rsidP="00273D80">
      <w:pPr>
        <w:pStyle w:val="Heading3"/>
        <w:jc w:val="both"/>
      </w:pPr>
      <w:bookmarkStart w:id="63" w:name="_Toc45837555"/>
      <w:r>
        <w:t>Glass Cover Slips</w:t>
      </w:r>
      <w:bookmarkEnd w:id="63"/>
    </w:p>
    <w:p w14:paraId="0366208E" w14:textId="2D010200" w:rsidR="000348BF" w:rsidRDefault="00B24A84" w:rsidP="00273D80">
      <w:pPr>
        <w:spacing w:after="0" w:line="480" w:lineRule="auto"/>
        <w:jc w:val="both"/>
        <w:rPr>
          <w:rFonts w:cs="Times New Roman"/>
          <w:szCs w:val="24"/>
          <w:lang w:val="en-US"/>
        </w:rPr>
      </w:pPr>
      <w:r>
        <w:rPr>
          <w:rFonts w:cs="Times New Roman"/>
          <w:szCs w:val="24"/>
          <w:lang w:val="en-US"/>
        </w:rPr>
        <w:t>T</w:t>
      </w:r>
      <w:r w:rsidR="000348BF" w:rsidRPr="00241A81">
        <w:rPr>
          <w:rFonts w:cs="Times New Roman"/>
          <w:szCs w:val="24"/>
          <w:lang w:val="en-US"/>
        </w:rPr>
        <w:t>he groups</w:t>
      </w:r>
      <w:r>
        <w:rPr>
          <w:rFonts w:cs="Times New Roman"/>
          <w:szCs w:val="24"/>
          <w:lang w:val="en-US"/>
        </w:rPr>
        <w:t xml:space="preserve"> of adhesive mixture</w:t>
      </w:r>
      <w:r w:rsidR="00832329">
        <w:rPr>
          <w:rFonts w:cs="Times New Roman"/>
          <w:szCs w:val="24"/>
          <w:lang w:val="en-US"/>
        </w:rPr>
        <w:t>s</w:t>
      </w:r>
      <w:r w:rsidR="000348BF" w:rsidRPr="00241A81">
        <w:rPr>
          <w:rFonts w:cs="Times New Roman"/>
          <w:szCs w:val="24"/>
          <w:lang w:val="en-US"/>
        </w:rPr>
        <w:t xml:space="preserve"> were as follows:</w:t>
      </w:r>
    </w:p>
    <w:p w14:paraId="0B1D2B48" w14:textId="77777777" w:rsidR="000120A0" w:rsidRPr="00903D53" w:rsidRDefault="000120A0" w:rsidP="00273D80">
      <w:pPr>
        <w:pStyle w:val="Caption"/>
        <w:jc w:val="both"/>
        <w:rPr>
          <w:lang w:val="en-US"/>
        </w:rPr>
      </w:pPr>
      <w:bookmarkStart w:id="64" w:name="_Ref38391522"/>
    </w:p>
    <w:p w14:paraId="480C3713" w14:textId="77777777" w:rsidR="000120A0" w:rsidRPr="00903D53" w:rsidRDefault="000120A0" w:rsidP="00D17A1B">
      <w:pPr>
        <w:pStyle w:val="Caption"/>
        <w:rPr>
          <w:lang w:val="en-US"/>
        </w:rPr>
      </w:pPr>
    </w:p>
    <w:p w14:paraId="48673DA8" w14:textId="2BCD7ECA" w:rsidR="000120A0" w:rsidRPr="00903D53" w:rsidRDefault="000120A0" w:rsidP="00D17A1B">
      <w:pPr>
        <w:pStyle w:val="Caption"/>
        <w:rPr>
          <w:lang w:val="en-US"/>
        </w:rPr>
      </w:pPr>
    </w:p>
    <w:p w14:paraId="0585CB13" w14:textId="77777777" w:rsidR="000120A0" w:rsidRPr="00903D53" w:rsidRDefault="000120A0" w:rsidP="000120A0">
      <w:pPr>
        <w:rPr>
          <w:lang w:val="en-US"/>
        </w:rPr>
      </w:pPr>
    </w:p>
    <w:p w14:paraId="316D4A83" w14:textId="77777777" w:rsidR="000120A0" w:rsidRPr="00903D53" w:rsidRDefault="000120A0" w:rsidP="00D17A1B">
      <w:pPr>
        <w:pStyle w:val="Caption"/>
        <w:rPr>
          <w:lang w:val="en-US"/>
        </w:rPr>
      </w:pPr>
    </w:p>
    <w:p w14:paraId="0B23376E" w14:textId="2477CACF" w:rsidR="00D17A1B" w:rsidRDefault="00D17A1B" w:rsidP="00D17A1B">
      <w:pPr>
        <w:pStyle w:val="Caption"/>
        <w:rPr>
          <w:rFonts w:cs="Times New Roman"/>
          <w:szCs w:val="24"/>
          <w:lang w:val="en-US"/>
        </w:rPr>
      </w:pPr>
      <w:bookmarkStart w:id="65" w:name="_Ref46955565"/>
      <w:r>
        <w:t xml:space="preserve">Table </w:t>
      </w:r>
      <w:r>
        <w:fldChar w:fldCharType="begin"/>
      </w:r>
      <w:r>
        <w:instrText>SEQ Table \* ARABIC</w:instrText>
      </w:r>
      <w:r>
        <w:fldChar w:fldCharType="separate"/>
      </w:r>
      <w:r w:rsidR="0008188F">
        <w:rPr>
          <w:noProof/>
        </w:rPr>
        <w:t>6</w:t>
      </w:r>
      <w:r>
        <w:fldChar w:fldCharType="end"/>
      </w:r>
      <w:bookmarkEnd w:id="64"/>
      <w:bookmarkEnd w:id="65"/>
    </w:p>
    <w:tbl>
      <w:tblPr>
        <w:tblStyle w:val="TableGrid"/>
        <w:tblW w:w="0" w:type="auto"/>
        <w:jc w:val="center"/>
        <w:tblLook w:val="04A0" w:firstRow="1" w:lastRow="0" w:firstColumn="1" w:lastColumn="0" w:noHBand="0" w:noVBand="1"/>
      </w:tblPr>
      <w:tblGrid>
        <w:gridCol w:w="1255"/>
        <w:gridCol w:w="6210"/>
      </w:tblGrid>
      <w:tr w:rsidR="00784CB0" w14:paraId="04910D0E" w14:textId="77777777" w:rsidTr="00017EF6">
        <w:trPr>
          <w:jc w:val="center"/>
        </w:trPr>
        <w:tc>
          <w:tcPr>
            <w:tcW w:w="1255" w:type="dxa"/>
          </w:tcPr>
          <w:p w14:paraId="292834F0" w14:textId="4151BC63" w:rsidR="00784CB0" w:rsidRDefault="00784CB0" w:rsidP="00D54C2B">
            <w:pPr>
              <w:spacing w:line="480" w:lineRule="auto"/>
              <w:jc w:val="center"/>
              <w:rPr>
                <w:rFonts w:cs="Times New Roman"/>
                <w:szCs w:val="24"/>
              </w:rPr>
            </w:pPr>
            <w:r>
              <w:rPr>
                <w:rFonts w:cs="Times New Roman"/>
                <w:szCs w:val="24"/>
              </w:rPr>
              <w:t>Sample</w:t>
            </w:r>
          </w:p>
        </w:tc>
        <w:tc>
          <w:tcPr>
            <w:tcW w:w="6210" w:type="dxa"/>
          </w:tcPr>
          <w:p w14:paraId="0683AD03" w14:textId="77B4F6A1" w:rsidR="00784CB0" w:rsidRDefault="00784CB0" w:rsidP="00784CB0">
            <w:pPr>
              <w:spacing w:line="480" w:lineRule="auto"/>
              <w:jc w:val="both"/>
              <w:rPr>
                <w:rFonts w:cs="Times New Roman"/>
                <w:szCs w:val="24"/>
              </w:rPr>
            </w:pPr>
            <w:r>
              <w:rPr>
                <w:rFonts w:cs="Times New Roman"/>
                <w:szCs w:val="24"/>
              </w:rPr>
              <w:t>Composition</w:t>
            </w:r>
          </w:p>
        </w:tc>
      </w:tr>
      <w:tr w:rsidR="00784CB0" w:rsidRPr="0044385A" w14:paraId="76D6E5ED" w14:textId="77777777" w:rsidTr="00017EF6">
        <w:trPr>
          <w:jc w:val="center"/>
        </w:trPr>
        <w:tc>
          <w:tcPr>
            <w:tcW w:w="1255" w:type="dxa"/>
          </w:tcPr>
          <w:p w14:paraId="4BAE9812" w14:textId="0955D23C" w:rsidR="00784CB0" w:rsidRDefault="00D54C2B" w:rsidP="00D54C2B">
            <w:pPr>
              <w:spacing w:line="480" w:lineRule="auto"/>
              <w:jc w:val="center"/>
              <w:rPr>
                <w:rFonts w:cs="Times New Roman"/>
                <w:szCs w:val="24"/>
              </w:rPr>
            </w:pPr>
            <w:r>
              <w:rPr>
                <w:rFonts w:cs="Times New Roman"/>
                <w:szCs w:val="24"/>
              </w:rPr>
              <w:t>1</w:t>
            </w:r>
          </w:p>
        </w:tc>
        <w:tc>
          <w:tcPr>
            <w:tcW w:w="6210" w:type="dxa"/>
          </w:tcPr>
          <w:p w14:paraId="040CB70B" w14:textId="38548CBA" w:rsidR="00784CB0" w:rsidRDefault="00D54C2B" w:rsidP="00D54C2B">
            <w:pPr>
              <w:spacing w:line="360" w:lineRule="auto"/>
              <w:rPr>
                <w:rFonts w:cs="Times New Roman"/>
                <w:szCs w:val="24"/>
              </w:rPr>
            </w:pPr>
            <w:r w:rsidRPr="00D54C2B">
              <w:rPr>
                <w:rFonts w:cs="Times New Roman"/>
                <w:szCs w:val="24"/>
              </w:rPr>
              <w:t>Control group (unaltered adhesive resin)</w:t>
            </w:r>
          </w:p>
        </w:tc>
      </w:tr>
      <w:tr w:rsidR="00784CB0" w:rsidRPr="0044385A" w14:paraId="4A90C914" w14:textId="77777777" w:rsidTr="00017EF6">
        <w:trPr>
          <w:jc w:val="center"/>
        </w:trPr>
        <w:tc>
          <w:tcPr>
            <w:tcW w:w="1255" w:type="dxa"/>
          </w:tcPr>
          <w:p w14:paraId="2D3FB97F" w14:textId="3C6EF069" w:rsidR="00784CB0" w:rsidRDefault="00D54C2B" w:rsidP="00D54C2B">
            <w:pPr>
              <w:spacing w:line="480" w:lineRule="auto"/>
              <w:jc w:val="center"/>
              <w:rPr>
                <w:rFonts w:cs="Times New Roman"/>
                <w:szCs w:val="24"/>
              </w:rPr>
            </w:pPr>
            <w:r>
              <w:rPr>
                <w:rFonts w:cs="Times New Roman"/>
                <w:szCs w:val="24"/>
              </w:rPr>
              <w:t>2</w:t>
            </w:r>
          </w:p>
        </w:tc>
        <w:tc>
          <w:tcPr>
            <w:tcW w:w="6210" w:type="dxa"/>
          </w:tcPr>
          <w:p w14:paraId="00BC157B" w14:textId="55BAA5C0" w:rsidR="00784CB0" w:rsidRDefault="00D54C2B" w:rsidP="00D54C2B">
            <w:pPr>
              <w:spacing w:line="360" w:lineRule="auto"/>
              <w:rPr>
                <w:rFonts w:cs="Times New Roman"/>
                <w:szCs w:val="24"/>
              </w:rPr>
            </w:pPr>
            <w:r w:rsidRPr="00D54C2B">
              <w:rPr>
                <w:rFonts w:cs="Times New Roman"/>
                <w:szCs w:val="24"/>
              </w:rPr>
              <w:t>2.5 wt% Uncoated in water NanoGard</w:t>
            </w:r>
            <w:r w:rsidRPr="00D54C2B">
              <w:rPr>
                <w:rFonts w:cs="Times New Roman"/>
                <w:szCs w:val="24"/>
                <w:vertAlign w:val="superscript"/>
              </w:rPr>
              <w:t>TM</w:t>
            </w:r>
            <w:r w:rsidRPr="00D54C2B">
              <w:rPr>
                <w:rFonts w:cs="Times New Roman"/>
                <w:szCs w:val="24"/>
              </w:rPr>
              <w:t xml:space="preserve"> in adhesive</w:t>
            </w:r>
          </w:p>
        </w:tc>
      </w:tr>
      <w:tr w:rsidR="00784CB0" w:rsidRPr="0044385A" w14:paraId="30889FA2" w14:textId="77777777" w:rsidTr="00017EF6">
        <w:trPr>
          <w:jc w:val="center"/>
        </w:trPr>
        <w:tc>
          <w:tcPr>
            <w:tcW w:w="1255" w:type="dxa"/>
          </w:tcPr>
          <w:p w14:paraId="2F7EE35A" w14:textId="0709B0DC" w:rsidR="00784CB0" w:rsidRDefault="00D54C2B" w:rsidP="00D54C2B">
            <w:pPr>
              <w:spacing w:line="480" w:lineRule="auto"/>
              <w:jc w:val="center"/>
              <w:rPr>
                <w:rFonts w:cs="Times New Roman"/>
                <w:szCs w:val="24"/>
              </w:rPr>
            </w:pPr>
            <w:r>
              <w:rPr>
                <w:rFonts w:cs="Times New Roman"/>
                <w:szCs w:val="24"/>
              </w:rPr>
              <w:t>3</w:t>
            </w:r>
          </w:p>
        </w:tc>
        <w:tc>
          <w:tcPr>
            <w:tcW w:w="6210" w:type="dxa"/>
          </w:tcPr>
          <w:p w14:paraId="31E4C5E5" w14:textId="4AAF526A" w:rsidR="00784CB0" w:rsidRDefault="00D54C2B" w:rsidP="00784CB0">
            <w:pPr>
              <w:spacing w:line="480" w:lineRule="auto"/>
              <w:jc w:val="both"/>
              <w:rPr>
                <w:rFonts w:cs="Times New Roman"/>
                <w:szCs w:val="24"/>
              </w:rPr>
            </w:pPr>
            <w:r w:rsidRPr="00D54C2B">
              <w:rPr>
                <w:rFonts w:cs="Times New Roman"/>
                <w:szCs w:val="24"/>
              </w:rPr>
              <w:t>4.0 wt% Uncoated in ethanol NanoTek</w:t>
            </w:r>
            <w:r w:rsidRPr="00D54C2B">
              <w:rPr>
                <w:rFonts w:cs="Times New Roman"/>
                <w:szCs w:val="24"/>
                <w:vertAlign w:val="superscript"/>
              </w:rPr>
              <w:t>TM</w:t>
            </w:r>
            <w:r w:rsidRPr="00D54C2B">
              <w:rPr>
                <w:rFonts w:cs="Times New Roman"/>
                <w:szCs w:val="24"/>
              </w:rPr>
              <w:t xml:space="preserve"> in adhesive</w:t>
            </w:r>
          </w:p>
        </w:tc>
      </w:tr>
      <w:tr w:rsidR="00784CB0" w:rsidRPr="0044385A" w14:paraId="145C6AE9" w14:textId="77777777" w:rsidTr="00017EF6">
        <w:trPr>
          <w:jc w:val="center"/>
        </w:trPr>
        <w:tc>
          <w:tcPr>
            <w:tcW w:w="1255" w:type="dxa"/>
          </w:tcPr>
          <w:p w14:paraId="0460E199" w14:textId="19D28AB1" w:rsidR="00784CB0" w:rsidRDefault="00D54C2B" w:rsidP="00D54C2B">
            <w:pPr>
              <w:spacing w:line="480" w:lineRule="auto"/>
              <w:jc w:val="center"/>
              <w:rPr>
                <w:rFonts w:cs="Times New Roman"/>
                <w:szCs w:val="24"/>
              </w:rPr>
            </w:pPr>
            <w:r>
              <w:rPr>
                <w:rFonts w:cs="Times New Roman"/>
                <w:szCs w:val="24"/>
              </w:rPr>
              <w:t>4</w:t>
            </w:r>
          </w:p>
        </w:tc>
        <w:tc>
          <w:tcPr>
            <w:tcW w:w="6210" w:type="dxa"/>
          </w:tcPr>
          <w:p w14:paraId="13BB5299" w14:textId="68017BF4" w:rsidR="00784CB0" w:rsidRDefault="00D54C2B" w:rsidP="00D54C2B">
            <w:pPr>
              <w:spacing w:line="360" w:lineRule="auto"/>
              <w:rPr>
                <w:rFonts w:cs="Times New Roman"/>
                <w:szCs w:val="24"/>
              </w:rPr>
            </w:pPr>
            <w:r w:rsidRPr="00D54C2B">
              <w:rPr>
                <w:rFonts w:cs="Times New Roman"/>
                <w:szCs w:val="24"/>
              </w:rPr>
              <w:t>2.5 wt% DDAO Coated in Ethanol NanoGard</w:t>
            </w:r>
            <w:r w:rsidRPr="00D54C2B">
              <w:rPr>
                <w:rFonts w:cs="Times New Roman"/>
                <w:szCs w:val="24"/>
                <w:vertAlign w:val="superscript"/>
              </w:rPr>
              <w:t>TM</w:t>
            </w:r>
            <w:r w:rsidRPr="00D54C2B">
              <w:rPr>
                <w:rFonts w:cs="Times New Roman"/>
                <w:szCs w:val="24"/>
              </w:rPr>
              <w:t xml:space="preserve"> in adhesive</w:t>
            </w:r>
          </w:p>
        </w:tc>
      </w:tr>
      <w:tr w:rsidR="00784CB0" w:rsidRPr="0044385A" w14:paraId="266C4AE1" w14:textId="77777777" w:rsidTr="00017EF6">
        <w:trPr>
          <w:jc w:val="center"/>
        </w:trPr>
        <w:tc>
          <w:tcPr>
            <w:tcW w:w="1255" w:type="dxa"/>
          </w:tcPr>
          <w:p w14:paraId="1AED395A" w14:textId="3D1F6691" w:rsidR="00784CB0" w:rsidRDefault="00D54C2B" w:rsidP="00D54C2B">
            <w:pPr>
              <w:spacing w:line="480" w:lineRule="auto"/>
              <w:jc w:val="center"/>
              <w:rPr>
                <w:rFonts w:cs="Times New Roman"/>
                <w:szCs w:val="24"/>
              </w:rPr>
            </w:pPr>
            <w:r>
              <w:rPr>
                <w:rFonts w:cs="Times New Roman"/>
                <w:szCs w:val="24"/>
              </w:rPr>
              <w:t>5</w:t>
            </w:r>
          </w:p>
        </w:tc>
        <w:tc>
          <w:tcPr>
            <w:tcW w:w="6210" w:type="dxa"/>
          </w:tcPr>
          <w:p w14:paraId="19BDEE51" w14:textId="417C00A9" w:rsidR="00784CB0" w:rsidRDefault="00D54C2B" w:rsidP="00784CB0">
            <w:pPr>
              <w:spacing w:line="480" w:lineRule="auto"/>
              <w:jc w:val="both"/>
              <w:rPr>
                <w:rFonts w:cs="Times New Roman"/>
                <w:szCs w:val="24"/>
              </w:rPr>
            </w:pPr>
            <w:r w:rsidRPr="00D54C2B">
              <w:rPr>
                <w:rFonts w:cs="Times New Roman"/>
                <w:szCs w:val="24"/>
              </w:rPr>
              <w:t>4.0 wt% DDAO Coated in Ethanol NanoTek</w:t>
            </w:r>
            <w:r w:rsidRPr="00D54C2B">
              <w:rPr>
                <w:rFonts w:cs="Times New Roman"/>
                <w:szCs w:val="24"/>
                <w:vertAlign w:val="superscript"/>
              </w:rPr>
              <w:t>TM</w:t>
            </w:r>
            <w:r w:rsidRPr="00D54C2B">
              <w:rPr>
                <w:rFonts w:cs="Times New Roman"/>
                <w:szCs w:val="24"/>
              </w:rPr>
              <w:t xml:space="preserve"> in adhesive</w:t>
            </w:r>
          </w:p>
        </w:tc>
      </w:tr>
      <w:tr w:rsidR="00784CB0" w14:paraId="5A636A7C" w14:textId="77777777" w:rsidTr="00017EF6">
        <w:trPr>
          <w:jc w:val="center"/>
        </w:trPr>
        <w:tc>
          <w:tcPr>
            <w:tcW w:w="1255" w:type="dxa"/>
          </w:tcPr>
          <w:p w14:paraId="387E3061" w14:textId="78AEA057" w:rsidR="00784CB0" w:rsidRDefault="00D54C2B" w:rsidP="00D54C2B">
            <w:pPr>
              <w:spacing w:line="480" w:lineRule="auto"/>
              <w:jc w:val="center"/>
              <w:rPr>
                <w:rFonts w:cs="Times New Roman"/>
                <w:szCs w:val="24"/>
              </w:rPr>
            </w:pPr>
            <w:r>
              <w:rPr>
                <w:rFonts w:cs="Times New Roman"/>
                <w:szCs w:val="24"/>
              </w:rPr>
              <w:t>6</w:t>
            </w:r>
          </w:p>
        </w:tc>
        <w:tc>
          <w:tcPr>
            <w:tcW w:w="6210" w:type="dxa"/>
          </w:tcPr>
          <w:p w14:paraId="5C12DADE" w14:textId="6E966A77" w:rsidR="00784CB0" w:rsidRDefault="00D54C2B" w:rsidP="00784CB0">
            <w:pPr>
              <w:spacing w:line="480" w:lineRule="auto"/>
              <w:jc w:val="both"/>
              <w:rPr>
                <w:rFonts w:cs="Times New Roman"/>
                <w:szCs w:val="24"/>
              </w:rPr>
            </w:pPr>
            <w:r w:rsidRPr="00D54C2B">
              <w:rPr>
                <w:rFonts w:cs="Times New Roman"/>
                <w:szCs w:val="24"/>
              </w:rPr>
              <w:t>0.033 wt% DDAO in adhesive</w:t>
            </w:r>
          </w:p>
        </w:tc>
      </w:tr>
    </w:tbl>
    <w:p w14:paraId="11BFBA98" w14:textId="40393AED" w:rsidR="000348BF" w:rsidRPr="00D54C2B" w:rsidRDefault="000348BF" w:rsidP="00D54C2B">
      <w:pPr>
        <w:spacing w:after="0" w:line="480" w:lineRule="auto"/>
        <w:rPr>
          <w:rFonts w:cs="Times New Roman"/>
          <w:szCs w:val="24"/>
          <w:lang w:val="en-US"/>
        </w:rPr>
      </w:pPr>
      <w:r w:rsidRPr="00D54C2B">
        <w:rPr>
          <w:rFonts w:cs="Times New Roman"/>
          <w:szCs w:val="24"/>
          <w:lang w:val="en-US"/>
        </w:rPr>
        <w:t xml:space="preserve"> </w:t>
      </w:r>
    </w:p>
    <w:p w14:paraId="73A159FF" w14:textId="657300FC" w:rsidR="001101F0" w:rsidRPr="00241A81" w:rsidRDefault="00321FBF" w:rsidP="00577C18">
      <w:pPr>
        <w:spacing w:after="0" w:line="480" w:lineRule="auto"/>
        <w:ind w:firstLine="708"/>
        <w:jc w:val="both"/>
        <w:rPr>
          <w:rFonts w:cs="Times New Roman"/>
          <w:szCs w:val="24"/>
          <w:lang w:val="en-US"/>
        </w:rPr>
      </w:pPr>
      <w:r w:rsidRPr="00241A81">
        <w:rPr>
          <w:rFonts w:cs="Times New Roman"/>
          <w:szCs w:val="24"/>
          <w:lang w:val="en-US"/>
        </w:rPr>
        <w:t xml:space="preserve">Dental adhesive resin was mixed with the </w:t>
      </w:r>
      <w:r w:rsidR="00A15E4C">
        <w:rPr>
          <w:rFonts w:cs="Times New Roman"/>
          <w:szCs w:val="24"/>
          <w:lang w:val="en-US"/>
        </w:rPr>
        <w:t xml:space="preserve">fabricated </w:t>
      </w:r>
      <w:r w:rsidRPr="00241A81">
        <w:rPr>
          <w:rFonts w:cs="Times New Roman"/>
          <w:szCs w:val="24"/>
          <w:lang w:val="en-US"/>
        </w:rPr>
        <w:t>nanoparticles. Each nanoparticle mixture was weighed on an analytical balance then put in a 3mL Eppendorf micro centrifuge tube with cap</w:t>
      </w:r>
      <w:r w:rsidR="00321E99">
        <w:rPr>
          <w:rFonts w:cs="Times New Roman"/>
          <w:szCs w:val="24"/>
          <w:lang w:val="en-US"/>
        </w:rPr>
        <w:t xml:space="preserve"> and </w:t>
      </w:r>
      <w:r w:rsidRPr="00241A81">
        <w:rPr>
          <w:rFonts w:cs="Times New Roman"/>
          <w:szCs w:val="24"/>
          <w:lang w:val="en-US"/>
        </w:rPr>
        <w:t>1mL of adhesive</w:t>
      </w:r>
      <w:r w:rsidR="00F25351">
        <w:rPr>
          <w:rFonts w:cs="Times New Roman"/>
          <w:szCs w:val="24"/>
          <w:lang w:val="en-US"/>
        </w:rPr>
        <w:t xml:space="preserve"> was added to</w:t>
      </w:r>
      <w:r w:rsidRPr="00241A81">
        <w:rPr>
          <w:rFonts w:cs="Times New Roman"/>
          <w:szCs w:val="24"/>
          <w:lang w:val="en-US"/>
        </w:rPr>
        <w:t xml:space="preserve"> each tube containing nanoparticles and/or surfactant. </w:t>
      </w:r>
      <w:r w:rsidR="0041608B" w:rsidRPr="00241A81">
        <w:rPr>
          <w:rFonts w:cs="Times New Roman"/>
          <w:szCs w:val="24"/>
          <w:lang w:val="en-US"/>
        </w:rPr>
        <w:t>The tube</w:t>
      </w:r>
      <w:r w:rsidR="008178EB">
        <w:rPr>
          <w:rFonts w:cs="Times New Roman"/>
          <w:szCs w:val="24"/>
          <w:lang w:val="en-US"/>
        </w:rPr>
        <w:t>s</w:t>
      </w:r>
      <w:r w:rsidR="0041608B" w:rsidRPr="00241A81">
        <w:rPr>
          <w:rFonts w:cs="Times New Roman"/>
          <w:szCs w:val="24"/>
          <w:lang w:val="en-US"/>
        </w:rPr>
        <w:t xml:space="preserve"> w</w:t>
      </w:r>
      <w:r w:rsidR="008178EB">
        <w:rPr>
          <w:rFonts w:cs="Times New Roman"/>
          <w:szCs w:val="24"/>
          <w:lang w:val="en-US"/>
        </w:rPr>
        <w:t>ere</w:t>
      </w:r>
      <w:r w:rsidR="0041608B" w:rsidRPr="00241A81">
        <w:rPr>
          <w:rFonts w:cs="Times New Roman"/>
          <w:szCs w:val="24"/>
          <w:lang w:val="en-US"/>
        </w:rPr>
        <w:t xml:space="preserve"> wrapped in foil to prevent polymerization of the adhesive when exposed to light. The tube was sonicated using a microtip for 2 minutes</w:t>
      </w:r>
      <w:r w:rsidR="00896950" w:rsidRPr="00241A81">
        <w:rPr>
          <w:rFonts w:cs="Times New Roman"/>
          <w:szCs w:val="24"/>
          <w:lang w:val="en-US"/>
        </w:rPr>
        <w:t xml:space="preserve"> total</w:t>
      </w:r>
      <w:r w:rsidR="0041608B" w:rsidRPr="00241A81">
        <w:rPr>
          <w:rFonts w:cs="Times New Roman"/>
          <w:szCs w:val="24"/>
          <w:lang w:val="en-US"/>
        </w:rPr>
        <w:t xml:space="preserve"> </w:t>
      </w:r>
      <w:r w:rsidR="00896950" w:rsidRPr="00241A81">
        <w:rPr>
          <w:rFonts w:cs="Times New Roman"/>
          <w:szCs w:val="24"/>
          <w:lang w:val="en-US"/>
        </w:rPr>
        <w:t xml:space="preserve">on amplitude 100 </w:t>
      </w:r>
      <w:r w:rsidR="0041608B" w:rsidRPr="00241A81">
        <w:rPr>
          <w:rFonts w:cs="Times New Roman"/>
          <w:szCs w:val="24"/>
          <w:lang w:val="en-US"/>
        </w:rPr>
        <w:t xml:space="preserve">for </w:t>
      </w:r>
      <w:r w:rsidR="00896950" w:rsidRPr="00241A81">
        <w:rPr>
          <w:rFonts w:cs="Times New Roman"/>
          <w:szCs w:val="24"/>
          <w:lang w:val="en-US"/>
        </w:rPr>
        <w:t xml:space="preserve">three </w:t>
      </w:r>
      <w:r w:rsidR="0041608B" w:rsidRPr="00241A81">
        <w:rPr>
          <w:rFonts w:cs="Times New Roman"/>
          <w:szCs w:val="24"/>
          <w:lang w:val="en-US"/>
        </w:rPr>
        <w:t xml:space="preserve">40 second intervals with 15 second breaks in between intervals. The tube was submerged in an ice bath to prevent heating for the duration of sonication. </w:t>
      </w:r>
      <w:r w:rsidR="003C4F90" w:rsidRPr="00241A81">
        <w:rPr>
          <w:rFonts w:cs="Times New Roman"/>
          <w:szCs w:val="24"/>
          <w:lang w:val="en-US"/>
        </w:rPr>
        <w:t xml:space="preserve">Once </w:t>
      </w:r>
      <w:r w:rsidR="000B5AB4" w:rsidRPr="00241A81">
        <w:rPr>
          <w:rFonts w:cs="Times New Roman"/>
          <w:szCs w:val="24"/>
          <w:lang w:val="en-US"/>
        </w:rPr>
        <w:t>sonication is complete</w:t>
      </w:r>
      <w:r w:rsidR="00546E7B" w:rsidRPr="00241A81">
        <w:rPr>
          <w:rFonts w:cs="Times New Roman"/>
          <w:szCs w:val="24"/>
          <w:lang w:val="en-US"/>
        </w:rPr>
        <w:t>,</w:t>
      </w:r>
      <w:r w:rsidR="000B5AB4" w:rsidRPr="00241A81">
        <w:rPr>
          <w:rFonts w:cs="Times New Roman"/>
          <w:szCs w:val="24"/>
          <w:lang w:val="en-US"/>
        </w:rPr>
        <w:t xml:space="preserve"> the adhesive </w:t>
      </w:r>
      <w:r w:rsidR="00546E7B" w:rsidRPr="00241A81">
        <w:rPr>
          <w:rFonts w:cs="Times New Roman"/>
          <w:szCs w:val="24"/>
          <w:lang w:val="en-US"/>
        </w:rPr>
        <w:t>is</w:t>
      </w:r>
      <w:r w:rsidR="000B5AB4" w:rsidRPr="00241A81">
        <w:rPr>
          <w:rFonts w:cs="Times New Roman"/>
          <w:szCs w:val="24"/>
          <w:lang w:val="en-US"/>
        </w:rPr>
        <w:t xml:space="preserve"> used to make the samples for m</w:t>
      </w:r>
      <w:r w:rsidR="00546E7B" w:rsidRPr="00241A81">
        <w:rPr>
          <w:rFonts w:cs="Times New Roman"/>
          <w:szCs w:val="24"/>
          <w:lang w:val="en-US"/>
        </w:rPr>
        <w:t xml:space="preserve">easurement on the contact angle goniometer. The adhesive </w:t>
      </w:r>
      <w:r w:rsidR="00AF317A">
        <w:rPr>
          <w:rFonts w:cs="Times New Roman"/>
          <w:szCs w:val="24"/>
          <w:lang w:val="en-US"/>
        </w:rPr>
        <w:t xml:space="preserve">is </w:t>
      </w:r>
      <w:r w:rsidR="00546E7B" w:rsidRPr="00241A81">
        <w:rPr>
          <w:rFonts w:cs="Times New Roman"/>
          <w:szCs w:val="24"/>
          <w:lang w:val="en-US"/>
        </w:rPr>
        <w:t>wrapped in foil and stored in a dark, room temperature drawer</w:t>
      </w:r>
      <w:r w:rsidR="000B7119">
        <w:rPr>
          <w:rFonts w:cs="Times New Roman"/>
          <w:szCs w:val="24"/>
          <w:lang w:val="en-US"/>
        </w:rPr>
        <w:t xml:space="preserve"> and sonicated before each use</w:t>
      </w:r>
      <w:r w:rsidR="00546E7B" w:rsidRPr="00241A81">
        <w:rPr>
          <w:rFonts w:cs="Times New Roman"/>
          <w:szCs w:val="24"/>
          <w:lang w:val="en-US"/>
        </w:rPr>
        <w:t>.</w:t>
      </w:r>
      <w:r w:rsidR="00577C18">
        <w:rPr>
          <w:rFonts w:cs="Times New Roman"/>
          <w:szCs w:val="24"/>
          <w:lang w:val="en-US"/>
        </w:rPr>
        <w:t xml:space="preserve"> </w:t>
      </w:r>
      <w:r w:rsidR="00DF7B88" w:rsidRPr="00241A81">
        <w:rPr>
          <w:rFonts w:cs="Times New Roman"/>
          <w:szCs w:val="24"/>
          <w:lang w:val="en-US"/>
        </w:rPr>
        <w:t xml:space="preserve">10μL of </w:t>
      </w:r>
      <w:r w:rsidR="0081063F">
        <w:rPr>
          <w:rFonts w:cs="Times New Roman"/>
          <w:szCs w:val="24"/>
          <w:lang w:val="en-US"/>
        </w:rPr>
        <w:t xml:space="preserve">adhesive </w:t>
      </w:r>
      <w:r w:rsidR="00DF7B88" w:rsidRPr="00241A81">
        <w:rPr>
          <w:rFonts w:cs="Times New Roman"/>
          <w:szCs w:val="24"/>
          <w:lang w:val="en-US"/>
        </w:rPr>
        <w:t xml:space="preserve">mixture </w:t>
      </w:r>
      <w:r w:rsidR="00F46BD4">
        <w:rPr>
          <w:rFonts w:cs="Times New Roman"/>
          <w:szCs w:val="24"/>
          <w:lang w:val="en-US"/>
        </w:rPr>
        <w:t xml:space="preserve">was pipetted </w:t>
      </w:r>
      <w:r w:rsidR="00DF7B88" w:rsidRPr="00241A81">
        <w:rPr>
          <w:rFonts w:cs="Times New Roman"/>
          <w:szCs w:val="24"/>
          <w:lang w:val="en-US"/>
        </w:rPr>
        <w:t xml:space="preserve">in a small </w:t>
      </w:r>
      <w:r w:rsidR="00F722C4" w:rsidRPr="00241A81">
        <w:rPr>
          <w:rFonts w:cs="Times New Roman"/>
          <w:szCs w:val="24"/>
          <w:lang w:val="en-US"/>
        </w:rPr>
        <w:t xml:space="preserve">tray. A microtip brush is used to </w:t>
      </w:r>
      <w:r w:rsidR="001D07E9" w:rsidRPr="00241A81">
        <w:rPr>
          <w:rFonts w:cs="Times New Roman"/>
          <w:szCs w:val="24"/>
          <w:lang w:val="en-US"/>
        </w:rPr>
        <w:t xml:space="preserve">thinly </w:t>
      </w:r>
      <w:r w:rsidR="00F722C4" w:rsidRPr="00241A81">
        <w:rPr>
          <w:rFonts w:cs="Times New Roman"/>
          <w:szCs w:val="24"/>
          <w:lang w:val="en-US"/>
        </w:rPr>
        <w:t>coat the</w:t>
      </w:r>
      <w:r w:rsidR="00713357" w:rsidRPr="00241A81">
        <w:rPr>
          <w:rFonts w:cs="Times New Roman"/>
          <w:szCs w:val="24"/>
          <w:lang w:val="en-US"/>
        </w:rPr>
        <w:t xml:space="preserve"> 12mm diameter</w:t>
      </w:r>
      <w:r w:rsidR="00F722C4" w:rsidRPr="00241A81">
        <w:rPr>
          <w:rFonts w:cs="Times New Roman"/>
          <w:szCs w:val="24"/>
          <w:lang w:val="en-US"/>
        </w:rPr>
        <w:t xml:space="preserve"> circular glass cover slips with adhesive then is light cured for 40 seconds in UV light. Three glass cover slips are used for each nanoparticle mixture.</w:t>
      </w:r>
    </w:p>
    <w:p w14:paraId="0BD7C73D" w14:textId="6FC7EC60" w:rsidR="004441F9" w:rsidRPr="00241A81" w:rsidRDefault="004441F9" w:rsidP="00830771">
      <w:pPr>
        <w:pStyle w:val="Heading3"/>
      </w:pPr>
      <w:bookmarkStart w:id="66" w:name="_Toc45837556"/>
      <w:r w:rsidRPr="00241A81">
        <w:t>Contact Angle</w:t>
      </w:r>
      <w:r w:rsidR="001C5A8B">
        <w:t xml:space="preserve"> Measurement</w:t>
      </w:r>
      <w:bookmarkEnd w:id="66"/>
    </w:p>
    <w:p w14:paraId="2760D520" w14:textId="389FEBA4" w:rsidR="00577C18" w:rsidRPr="00241A81" w:rsidRDefault="00E229BA" w:rsidP="00577C18">
      <w:pPr>
        <w:spacing w:line="480" w:lineRule="auto"/>
        <w:ind w:firstLine="708"/>
        <w:jc w:val="both"/>
        <w:rPr>
          <w:rFonts w:cs="Times New Roman"/>
          <w:szCs w:val="24"/>
          <w:lang w:val="en-US"/>
        </w:rPr>
      </w:pPr>
      <w:r w:rsidRPr="00E229BA">
        <w:rPr>
          <w:rFonts w:cs="Times New Roman"/>
          <w:szCs w:val="24"/>
          <w:lang w:val="en-US"/>
        </w:rPr>
        <w:t>A contact angle goniometer (OCA 15, Future Digital Scientific Corp.) coupled with a high-definition and high-speed digital camera (up to 50 frames/second) were used to measure the contact angle of a droplet</w:t>
      </w:r>
      <w:r w:rsidR="007C39B4">
        <w:rPr>
          <w:rFonts w:cs="Times New Roman"/>
          <w:szCs w:val="24"/>
          <w:lang w:val="en-US"/>
        </w:rPr>
        <w:t xml:space="preserve"> (</w:t>
      </w:r>
      <w:r w:rsidR="007C39B4">
        <w:rPr>
          <w:rFonts w:cs="Times New Roman"/>
          <w:szCs w:val="24"/>
          <w:lang w:val="en-US"/>
        </w:rPr>
        <w:fldChar w:fldCharType="begin"/>
      </w:r>
      <w:r w:rsidR="007C39B4">
        <w:rPr>
          <w:rFonts w:cs="Times New Roman"/>
          <w:szCs w:val="24"/>
          <w:lang w:val="en-US"/>
        </w:rPr>
        <w:instrText xml:space="preserve"> REF _Ref36305211 \h </w:instrText>
      </w:r>
      <w:r w:rsidR="007C39B4">
        <w:rPr>
          <w:rFonts w:cs="Times New Roman"/>
          <w:szCs w:val="24"/>
          <w:lang w:val="en-US"/>
        </w:rPr>
      </w:r>
      <w:r w:rsidR="007C39B4">
        <w:rPr>
          <w:rFonts w:cs="Times New Roman"/>
          <w:szCs w:val="24"/>
          <w:lang w:val="en-US"/>
        </w:rPr>
        <w:fldChar w:fldCharType="separate"/>
      </w:r>
      <w:r w:rsidR="0008188F" w:rsidRPr="00241A81">
        <w:rPr>
          <w:rFonts w:cs="Times New Roman"/>
          <w:sz w:val="22"/>
          <w:szCs w:val="24"/>
          <w:lang w:val="en-US"/>
        </w:rPr>
        <w:t xml:space="preserve">Figure </w:t>
      </w:r>
      <w:r w:rsidR="0008188F">
        <w:rPr>
          <w:rFonts w:cs="Times New Roman"/>
          <w:noProof/>
          <w:sz w:val="22"/>
          <w:szCs w:val="24"/>
          <w:lang w:val="en-US"/>
        </w:rPr>
        <w:t>13</w:t>
      </w:r>
      <w:r w:rsidR="007C39B4">
        <w:rPr>
          <w:rFonts w:cs="Times New Roman"/>
          <w:szCs w:val="24"/>
          <w:lang w:val="en-US"/>
        </w:rPr>
        <w:fldChar w:fldCharType="end"/>
      </w:r>
      <w:r w:rsidR="007C39B4">
        <w:rPr>
          <w:rFonts w:cs="Times New Roman"/>
          <w:szCs w:val="24"/>
          <w:lang w:val="en-US"/>
        </w:rPr>
        <w:t>)</w:t>
      </w:r>
      <w:r w:rsidRPr="00E229BA">
        <w:rPr>
          <w:rFonts w:cs="Times New Roman"/>
          <w:szCs w:val="24"/>
          <w:lang w:val="en-US"/>
        </w:rPr>
        <w:t>. Samples were stored in a temperature controlled experimental chamber. A computer-controlled solvent-dispensing system was used to dispense individual axisymmetric droplets o</w:t>
      </w:r>
      <w:r w:rsidR="00ED182E">
        <w:rPr>
          <w:rFonts w:cs="Times New Roman"/>
          <w:szCs w:val="24"/>
          <w:lang w:val="en-US"/>
        </w:rPr>
        <w:t>f water</w:t>
      </w:r>
      <w:r w:rsidR="00ED182E" w:rsidRPr="00E229BA">
        <w:rPr>
          <w:rFonts w:cs="Times New Roman"/>
          <w:szCs w:val="24"/>
          <w:lang w:val="en-US"/>
        </w:rPr>
        <w:t xml:space="preserve"> </w:t>
      </w:r>
      <w:r w:rsidRPr="00E229BA">
        <w:rPr>
          <w:rFonts w:cs="Times New Roman"/>
          <w:szCs w:val="24"/>
          <w:lang w:val="en-US"/>
        </w:rPr>
        <w:t xml:space="preserve">onto the </w:t>
      </w:r>
      <w:r w:rsidR="00AD7A86">
        <w:rPr>
          <w:rFonts w:cs="Times New Roman"/>
          <w:szCs w:val="24"/>
          <w:lang w:val="en-US"/>
        </w:rPr>
        <w:t>slips</w:t>
      </w:r>
      <w:r>
        <w:rPr>
          <w:rFonts w:cs="Times New Roman"/>
          <w:szCs w:val="24"/>
          <w:lang w:val="en-US"/>
        </w:rPr>
        <w:t>.</w:t>
      </w:r>
      <w:r w:rsidRPr="00E229BA">
        <w:rPr>
          <w:rFonts w:cs="Times New Roman"/>
          <w:szCs w:val="24"/>
          <w:lang w:val="en-US"/>
        </w:rPr>
        <w:t xml:space="preserve"> </w:t>
      </w:r>
      <w:r w:rsidR="00DB4E6D" w:rsidRPr="00241A81">
        <w:rPr>
          <w:rFonts w:cs="Times New Roman"/>
          <w:szCs w:val="24"/>
          <w:lang w:val="en-US"/>
        </w:rPr>
        <w:t xml:space="preserve">The chamber can be moved </w:t>
      </w:r>
      <w:r w:rsidR="00BF5600">
        <w:rPr>
          <w:rFonts w:cs="Times New Roman"/>
          <w:szCs w:val="24"/>
          <w:lang w:val="en-US"/>
        </w:rPr>
        <w:t>up and down and side to side</w:t>
      </w:r>
      <w:r w:rsidR="00DB4E6D" w:rsidRPr="00241A81">
        <w:rPr>
          <w:rFonts w:cs="Times New Roman"/>
          <w:szCs w:val="24"/>
          <w:lang w:val="en-US"/>
        </w:rPr>
        <w:t xml:space="preserve">. The chamber can be connected to a water bath </w:t>
      </w:r>
      <w:r w:rsidR="00D057FE">
        <w:rPr>
          <w:rFonts w:cs="Times New Roman"/>
          <w:szCs w:val="24"/>
          <w:lang w:val="en-US"/>
        </w:rPr>
        <w:t xml:space="preserve">for a temperature-controlled chamber </w:t>
      </w:r>
      <w:r w:rsidR="00DB4E6D" w:rsidRPr="00241A81">
        <w:rPr>
          <w:rFonts w:cs="Times New Roman"/>
          <w:szCs w:val="24"/>
          <w:lang w:val="en-US"/>
        </w:rPr>
        <w:t xml:space="preserve">(Lauda Ecoline RE104 with a Lauda E100 circulator). </w:t>
      </w:r>
    </w:p>
    <w:p w14:paraId="43C4B3D8" w14:textId="77777777" w:rsidR="00C30C66" w:rsidRPr="00241A81" w:rsidRDefault="00C30C66" w:rsidP="00C30C66">
      <w:pPr>
        <w:pStyle w:val="Caption"/>
        <w:spacing w:line="480" w:lineRule="auto"/>
        <w:rPr>
          <w:rFonts w:cs="Times New Roman"/>
          <w:sz w:val="22"/>
          <w:szCs w:val="24"/>
          <w:lang w:val="en-US"/>
        </w:rPr>
      </w:pPr>
      <w:r w:rsidRPr="00241A81">
        <w:rPr>
          <w:rFonts w:cs="Times New Roman"/>
          <w:noProof/>
          <w:szCs w:val="24"/>
          <w:lang w:val="en-US"/>
        </w:rPr>
        <w:drawing>
          <wp:inline distT="0" distB="0" distL="0" distR="0" wp14:anchorId="06A3F0E4" wp14:editId="38971397">
            <wp:extent cx="3767093" cy="2305685"/>
            <wp:effectExtent l="0" t="0" r="5080" b="0"/>
            <wp:docPr id="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pic:cNvPicPr>
                      <a:picLocks noChangeAspect="1"/>
                    </pic:cNvPicPr>
                  </pic:nvPicPr>
                  <pic:blipFill rotWithShape="1">
                    <a:blip r:embed="rId30" cstate="print">
                      <a:extLst>
                        <a:ext uri="{28A0092B-C50C-407E-A947-70E740481C1C}">
                          <a14:useLocalDpi xmlns:a14="http://schemas.microsoft.com/office/drawing/2010/main" val="0"/>
                        </a:ext>
                      </a:extLst>
                    </a:blip>
                    <a:srcRect r="8097"/>
                    <a:stretch/>
                  </pic:blipFill>
                  <pic:spPr>
                    <a:xfrm>
                      <a:off x="0" y="0"/>
                      <a:ext cx="3773573" cy="2309651"/>
                    </a:xfrm>
                    <a:prstGeom prst="rect">
                      <a:avLst/>
                    </a:prstGeom>
                  </pic:spPr>
                </pic:pic>
              </a:graphicData>
            </a:graphic>
          </wp:inline>
        </w:drawing>
      </w:r>
    </w:p>
    <w:p w14:paraId="6C3437AA" w14:textId="52203F06" w:rsidR="00C30C66" w:rsidRPr="00241A81" w:rsidRDefault="00C30C66" w:rsidP="00C30C66">
      <w:pPr>
        <w:pStyle w:val="Caption"/>
        <w:spacing w:line="480" w:lineRule="auto"/>
        <w:rPr>
          <w:rFonts w:cs="Times New Roman"/>
          <w:sz w:val="22"/>
          <w:szCs w:val="24"/>
          <w:lang w:val="en-US"/>
        </w:rPr>
      </w:pPr>
      <w:bookmarkStart w:id="67" w:name="_Ref36305211"/>
      <w:bookmarkStart w:id="68" w:name="_Toc45837584"/>
      <w:r w:rsidRPr="00241A81">
        <w:rPr>
          <w:rFonts w:cs="Times New Roman"/>
          <w:sz w:val="22"/>
          <w:szCs w:val="24"/>
          <w:lang w:val="en-US"/>
        </w:rPr>
        <w:t xml:space="preserve">Figure </w:t>
      </w:r>
      <w:r w:rsidRPr="00241A81">
        <w:rPr>
          <w:rFonts w:cs="Times New Roman"/>
          <w:sz w:val="22"/>
          <w:szCs w:val="24"/>
        </w:rPr>
        <w:fldChar w:fldCharType="begin"/>
      </w:r>
      <w:r w:rsidRPr="00241A81">
        <w:rPr>
          <w:rFonts w:cs="Times New Roman"/>
          <w:sz w:val="22"/>
          <w:szCs w:val="24"/>
          <w:lang w:val="en-US"/>
        </w:rPr>
        <w:instrText xml:space="preserve"> SEQ Figure \* ARABIC </w:instrText>
      </w:r>
      <w:r w:rsidRPr="00241A81">
        <w:rPr>
          <w:rFonts w:cs="Times New Roman"/>
          <w:sz w:val="22"/>
          <w:szCs w:val="24"/>
        </w:rPr>
        <w:fldChar w:fldCharType="separate"/>
      </w:r>
      <w:r w:rsidR="0008188F">
        <w:rPr>
          <w:rFonts w:cs="Times New Roman"/>
          <w:noProof/>
          <w:sz w:val="22"/>
          <w:szCs w:val="24"/>
          <w:lang w:val="en-US"/>
        </w:rPr>
        <w:t>13</w:t>
      </w:r>
      <w:r w:rsidRPr="00241A81">
        <w:rPr>
          <w:rFonts w:cs="Times New Roman"/>
          <w:sz w:val="22"/>
          <w:szCs w:val="24"/>
        </w:rPr>
        <w:fldChar w:fldCharType="end"/>
      </w:r>
      <w:bookmarkEnd w:id="67"/>
      <w:r w:rsidRPr="00241A81">
        <w:rPr>
          <w:rFonts w:cs="Times New Roman"/>
          <w:sz w:val="22"/>
          <w:szCs w:val="24"/>
          <w:lang w:val="en-US"/>
        </w:rPr>
        <w:t xml:space="preserve"> – Experimental chamber with syringe and camera on the contact angle goniometer</w:t>
      </w:r>
      <w:bookmarkEnd w:id="68"/>
      <w:r w:rsidRPr="00241A81">
        <w:rPr>
          <w:rFonts w:cs="Times New Roman"/>
          <w:sz w:val="22"/>
          <w:szCs w:val="24"/>
          <w:lang w:val="en-US"/>
        </w:rPr>
        <w:t xml:space="preserve"> </w:t>
      </w:r>
    </w:p>
    <w:p w14:paraId="2A485890" w14:textId="765BB865" w:rsidR="005A3858" w:rsidRDefault="00DB4E6D" w:rsidP="00DE44EE">
      <w:pPr>
        <w:spacing w:after="0" w:line="480" w:lineRule="auto"/>
        <w:ind w:firstLine="708"/>
        <w:jc w:val="both"/>
        <w:rPr>
          <w:rFonts w:cs="Times New Roman"/>
          <w:szCs w:val="24"/>
          <w:lang w:val="en-US"/>
        </w:rPr>
      </w:pPr>
      <w:r w:rsidRPr="00241A81">
        <w:rPr>
          <w:rFonts w:cs="Times New Roman"/>
          <w:szCs w:val="24"/>
          <w:lang w:val="en-US"/>
        </w:rPr>
        <w:t>A</w:t>
      </w:r>
      <w:r w:rsidR="008563B2" w:rsidRPr="00241A81">
        <w:rPr>
          <w:rFonts w:cs="Times New Roman"/>
          <w:szCs w:val="24"/>
          <w:lang w:val="en-US"/>
        </w:rPr>
        <w:t xml:space="preserve"> 500μL</w:t>
      </w:r>
      <w:r w:rsidR="00980310" w:rsidRPr="00241A81">
        <w:rPr>
          <w:rFonts w:cs="Times New Roman"/>
          <w:szCs w:val="24"/>
          <w:lang w:val="en-US"/>
        </w:rPr>
        <w:t xml:space="preserve"> </w:t>
      </w:r>
      <w:r w:rsidRPr="00241A81">
        <w:rPr>
          <w:rFonts w:cs="Times New Roman"/>
          <w:szCs w:val="24"/>
          <w:lang w:val="en-US"/>
        </w:rPr>
        <w:t>syringe is</w:t>
      </w:r>
      <w:r w:rsidR="008563B2" w:rsidRPr="00241A81">
        <w:rPr>
          <w:rFonts w:cs="Times New Roman"/>
          <w:szCs w:val="24"/>
          <w:lang w:val="en-US"/>
        </w:rPr>
        <w:t xml:space="preserve"> suspended</w:t>
      </w:r>
      <w:r w:rsidRPr="00241A81">
        <w:rPr>
          <w:rFonts w:cs="Times New Roman"/>
          <w:szCs w:val="24"/>
          <w:lang w:val="en-US"/>
        </w:rPr>
        <w:t xml:space="preserve"> above the </w:t>
      </w:r>
      <w:r w:rsidR="00980310" w:rsidRPr="00241A81">
        <w:rPr>
          <w:rFonts w:cs="Times New Roman"/>
          <w:szCs w:val="24"/>
          <w:lang w:val="en-US"/>
        </w:rPr>
        <w:t>experimental chamber</w:t>
      </w:r>
      <w:r w:rsidR="008563B2" w:rsidRPr="00241A81">
        <w:rPr>
          <w:rFonts w:cs="Times New Roman"/>
          <w:szCs w:val="24"/>
          <w:lang w:val="en-US"/>
        </w:rPr>
        <w:t xml:space="preserve">. It is cleaned and </w:t>
      </w:r>
      <w:r w:rsidR="00980310" w:rsidRPr="00241A81">
        <w:rPr>
          <w:rFonts w:cs="Times New Roman"/>
          <w:szCs w:val="24"/>
          <w:lang w:val="en-US"/>
        </w:rPr>
        <w:t xml:space="preserve">filled before every use. </w:t>
      </w:r>
      <w:r w:rsidR="008563B2" w:rsidRPr="00241A81">
        <w:rPr>
          <w:rFonts w:cs="Times New Roman"/>
          <w:szCs w:val="24"/>
          <w:lang w:val="en-US"/>
        </w:rPr>
        <w:t xml:space="preserve">Once </w:t>
      </w:r>
      <w:r w:rsidR="00C30C66" w:rsidRPr="00241A81">
        <w:rPr>
          <w:rFonts w:cs="Times New Roman"/>
          <w:szCs w:val="24"/>
          <w:lang w:val="en-US"/>
        </w:rPr>
        <w:t>the</w:t>
      </w:r>
      <w:r w:rsidR="008563B2" w:rsidRPr="00241A81">
        <w:rPr>
          <w:rFonts w:cs="Times New Roman"/>
          <w:szCs w:val="24"/>
          <w:lang w:val="en-US"/>
        </w:rPr>
        <w:t xml:space="preserve"> equipment is set up, the sample is placed in the experimental chamber for at least 5 minutes if the water bath is being used. </w:t>
      </w:r>
      <w:r w:rsidR="005A3858" w:rsidRPr="00241A81">
        <w:rPr>
          <w:rFonts w:cs="Times New Roman"/>
          <w:szCs w:val="24"/>
          <w:lang w:val="en-US"/>
        </w:rPr>
        <w:t xml:space="preserve">A drop of </w:t>
      </w:r>
      <w:r w:rsidR="00B96E78">
        <w:rPr>
          <w:rFonts w:cs="Times New Roman"/>
          <w:szCs w:val="24"/>
          <w:lang w:val="en-US"/>
        </w:rPr>
        <w:t>liquid</w:t>
      </w:r>
      <w:r w:rsidR="005A3858" w:rsidRPr="00241A81">
        <w:rPr>
          <w:rFonts w:cs="Times New Roman"/>
          <w:szCs w:val="24"/>
          <w:lang w:val="en-US"/>
        </w:rPr>
        <w:t xml:space="preserve"> is dispensed </w:t>
      </w:r>
      <w:r w:rsidR="00CB5A01" w:rsidRPr="00241A81">
        <w:rPr>
          <w:rFonts w:cs="Times New Roman"/>
          <w:szCs w:val="24"/>
          <w:lang w:val="en-US"/>
        </w:rPr>
        <w:t>automatically,</w:t>
      </w:r>
      <w:r w:rsidR="005A3858" w:rsidRPr="00241A81">
        <w:rPr>
          <w:rFonts w:cs="Times New Roman"/>
          <w:szCs w:val="24"/>
          <w:lang w:val="en-US"/>
        </w:rPr>
        <w:t xml:space="preserve"> and the chamber is lifted manually until it is just below the droplet.</w:t>
      </w:r>
      <w:r w:rsidR="00C30C66" w:rsidRPr="00241A81">
        <w:rPr>
          <w:rFonts w:cs="Times New Roman"/>
          <w:szCs w:val="24"/>
          <w:lang w:val="en-US"/>
        </w:rPr>
        <w:t xml:space="preserve"> </w:t>
      </w:r>
    </w:p>
    <w:p w14:paraId="6EF5199F" w14:textId="39F9C9B2" w:rsidR="00B96E78" w:rsidRPr="00241A81" w:rsidRDefault="00B96E78" w:rsidP="00DE44EE">
      <w:pPr>
        <w:spacing w:after="0" w:line="480" w:lineRule="auto"/>
        <w:ind w:firstLine="708"/>
        <w:jc w:val="both"/>
        <w:rPr>
          <w:rFonts w:cs="Times New Roman"/>
          <w:szCs w:val="24"/>
          <w:lang w:val="en-US"/>
        </w:rPr>
      </w:pPr>
      <w:r>
        <w:rPr>
          <w:rFonts w:cs="Times New Roman"/>
          <w:szCs w:val="24"/>
          <w:lang w:val="en-US"/>
        </w:rPr>
        <w:t>The water bath wa</w:t>
      </w:r>
      <w:r w:rsidRPr="00241A81">
        <w:rPr>
          <w:rFonts w:cs="Times New Roman"/>
          <w:szCs w:val="24"/>
          <w:lang w:val="en-US"/>
        </w:rPr>
        <w:t xml:space="preserve">s set to 37±1°C and allowed to reach equilibrium before the specimens </w:t>
      </w:r>
      <w:r>
        <w:rPr>
          <w:rFonts w:cs="Times New Roman"/>
          <w:szCs w:val="24"/>
          <w:lang w:val="en-US"/>
        </w:rPr>
        <w:t>were</w:t>
      </w:r>
      <w:r w:rsidRPr="00241A81">
        <w:rPr>
          <w:rFonts w:cs="Times New Roman"/>
          <w:szCs w:val="24"/>
          <w:lang w:val="en-US"/>
        </w:rPr>
        <w:t xml:space="preserve"> tested. The water bath is set to 37°C because that is the temperature of the oral cavity and will help replicate the environment the adhesive will be used in. The syringe was filled with ultra-pure deionized water.</w:t>
      </w:r>
      <w:r>
        <w:rPr>
          <w:rFonts w:cs="Times New Roman"/>
          <w:szCs w:val="24"/>
          <w:lang w:val="en-US"/>
        </w:rPr>
        <w:t xml:space="preserve"> The specimen stayed in the chamber for at least five minutes before being tested.</w:t>
      </w:r>
      <w:r w:rsidRPr="00241A81">
        <w:rPr>
          <w:rFonts w:cs="Times New Roman"/>
          <w:szCs w:val="24"/>
          <w:lang w:val="en-US"/>
        </w:rPr>
        <w:t xml:space="preserve"> A drop of 3μL was dispensed at 2μ</w:t>
      </w:r>
      <w:r>
        <w:rPr>
          <w:rFonts w:cs="Times New Roman"/>
          <w:szCs w:val="24"/>
          <w:lang w:val="en-US"/>
        </w:rPr>
        <w:t>L/second from the syringe, the experimental chamber was raised, and the recording was started seconds before the drop came in contact with the specimen. There were three glass cover slips made for each of the groups. Each group had five droplets analyzed on it (n=15). The droplets did not overlap on the specimen even when fully spread out.</w:t>
      </w:r>
      <w:r w:rsidRPr="00241A81">
        <w:rPr>
          <w:rFonts w:cs="Times New Roman"/>
          <w:szCs w:val="24"/>
          <w:lang w:val="en-US"/>
        </w:rPr>
        <w:t xml:space="preserve"> </w:t>
      </w:r>
    </w:p>
    <w:p w14:paraId="3BA269A2" w14:textId="4EA8DA46" w:rsidR="00197649" w:rsidRDefault="0078350E" w:rsidP="00DE44EE">
      <w:pPr>
        <w:spacing w:after="0" w:line="480" w:lineRule="auto"/>
        <w:ind w:firstLine="708"/>
        <w:jc w:val="both"/>
        <w:rPr>
          <w:rFonts w:cs="Times New Roman"/>
          <w:szCs w:val="24"/>
          <w:lang w:val="en-US"/>
        </w:rPr>
      </w:pPr>
      <w:r w:rsidRPr="00241A81">
        <w:rPr>
          <w:rFonts w:cs="Times New Roman"/>
          <w:szCs w:val="24"/>
          <w:lang w:val="en-US"/>
        </w:rPr>
        <w:t>The contact angle goniometer uses the SCA 202 V.4.4.3 software program to capture and analyze the data.</w:t>
      </w:r>
      <w:r>
        <w:rPr>
          <w:rFonts w:cs="Times New Roman"/>
          <w:szCs w:val="24"/>
          <w:lang w:val="en-US"/>
        </w:rPr>
        <w:t xml:space="preserve"> </w:t>
      </w:r>
      <w:r w:rsidRPr="00241A81">
        <w:rPr>
          <w:rFonts w:cs="Times New Roman"/>
          <w:szCs w:val="24"/>
          <w:lang w:val="en-US"/>
        </w:rPr>
        <w:t>The recording software is started seconds before the drop makes contact with the surface. Data is collected at 25 frames per second for 60</w:t>
      </w:r>
      <w:r>
        <w:rPr>
          <w:rFonts w:cs="Times New Roman"/>
          <w:szCs w:val="24"/>
          <w:lang w:val="en-US"/>
        </w:rPr>
        <w:t xml:space="preserve"> ± 10</w:t>
      </w:r>
      <w:r w:rsidRPr="00241A81">
        <w:rPr>
          <w:rFonts w:cs="Times New Roman"/>
          <w:szCs w:val="24"/>
          <w:lang w:val="en-US"/>
        </w:rPr>
        <w:t xml:space="preserve"> seconds for each data collection using the CAG.</w:t>
      </w:r>
      <w:r>
        <w:rPr>
          <w:rFonts w:cs="Times New Roman"/>
          <w:szCs w:val="24"/>
          <w:lang w:val="en-US"/>
        </w:rPr>
        <w:t xml:space="preserve"> </w:t>
      </w:r>
      <w:r w:rsidR="00C30C66" w:rsidRPr="00241A81">
        <w:rPr>
          <w:rFonts w:cs="Times New Roman"/>
          <w:szCs w:val="24"/>
          <w:lang w:val="en-US"/>
        </w:rPr>
        <w:t>Once the data is collected and saved to the computer, the data can be analyzed. The software requires the user to manually set the base line of the</w:t>
      </w:r>
      <w:r w:rsidR="00A93B33" w:rsidRPr="00241A81">
        <w:rPr>
          <w:rFonts w:cs="Times New Roman"/>
          <w:szCs w:val="24"/>
          <w:lang w:val="en-US"/>
        </w:rPr>
        <w:t xml:space="preserve"> sessile</w:t>
      </w:r>
      <w:r w:rsidR="00C30C66" w:rsidRPr="00241A81">
        <w:rPr>
          <w:rFonts w:cs="Times New Roman"/>
          <w:szCs w:val="24"/>
          <w:lang w:val="en-US"/>
        </w:rPr>
        <w:t xml:space="preserve"> drop (</w:t>
      </w:r>
      <w:r w:rsidR="004E6D70">
        <w:rPr>
          <w:rFonts w:cs="Times New Roman"/>
          <w:szCs w:val="24"/>
          <w:lang w:val="en-US"/>
        </w:rPr>
        <w:fldChar w:fldCharType="begin"/>
      </w:r>
      <w:r w:rsidR="004E6D70">
        <w:rPr>
          <w:rFonts w:cs="Times New Roman"/>
          <w:szCs w:val="24"/>
          <w:lang w:val="en-US"/>
        </w:rPr>
        <w:instrText xml:space="preserve"> REF _Ref38803588 \h </w:instrText>
      </w:r>
      <w:r w:rsidR="004E6D70">
        <w:rPr>
          <w:rFonts w:cs="Times New Roman"/>
          <w:szCs w:val="24"/>
          <w:lang w:val="en-US"/>
        </w:rPr>
      </w:r>
      <w:r w:rsidR="004E6D70">
        <w:rPr>
          <w:rFonts w:cs="Times New Roman"/>
          <w:szCs w:val="24"/>
          <w:lang w:val="en-US"/>
        </w:rPr>
        <w:fldChar w:fldCharType="separate"/>
      </w:r>
      <w:r w:rsidR="0008188F" w:rsidRPr="00E15B09">
        <w:rPr>
          <w:lang w:val="en-US"/>
        </w:rPr>
        <w:t xml:space="preserve">Figure </w:t>
      </w:r>
      <w:r w:rsidR="0008188F">
        <w:rPr>
          <w:noProof/>
          <w:lang w:val="en-US"/>
        </w:rPr>
        <w:t>14</w:t>
      </w:r>
      <w:r w:rsidR="004E6D70">
        <w:rPr>
          <w:rFonts w:cs="Times New Roman"/>
          <w:szCs w:val="24"/>
          <w:lang w:val="en-US"/>
        </w:rPr>
        <w:fldChar w:fldCharType="end"/>
      </w:r>
      <w:r w:rsidR="00C30C66" w:rsidRPr="00241A81">
        <w:rPr>
          <w:rFonts w:cs="Times New Roman"/>
          <w:szCs w:val="24"/>
          <w:lang w:val="en-US"/>
        </w:rPr>
        <w:t>).</w:t>
      </w:r>
    </w:p>
    <w:p w14:paraId="766DCB54" w14:textId="033DCFAF" w:rsidR="008579CB" w:rsidRDefault="004E6D70" w:rsidP="00DE44EE">
      <w:pPr>
        <w:spacing w:after="0" w:line="480" w:lineRule="auto"/>
        <w:ind w:firstLine="708"/>
        <w:jc w:val="both"/>
        <w:rPr>
          <w:szCs w:val="24"/>
          <w:lang w:val="en-US"/>
        </w:rPr>
      </w:pPr>
      <w:r>
        <w:rPr>
          <w:noProof/>
          <w:szCs w:val="24"/>
          <w:lang w:val="en-US"/>
        </w:rPr>
        <w:drawing>
          <wp:inline distT="0" distB="0" distL="0" distR="0" wp14:anchorId="1738D008" wp14:editId="0D72E17C">
            <wp:extent cx="4629150" cy="3084389"/>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2564" t="14776" r="1078" b="13023"/>
                    <a:stretch/>
                  </pic:blipFill>
                  <pic:spPr bwMode="auto">
                    <a:xfrm>
                      <a:off x="0" y="0"/>
                      <a:ext cx="4636788" cy="3089478"/>
                    </a:xfrm>
                    <a:prstGeom prst="rect">
                      <a:avLst/>
                    </a:prstGeom>
                    <a:noFill/>
                    <a:ln>
                      <a:noFill/>
                    </a:ln>
                    <a:extLst>
                      <a:ext uri="{53640926-AAD7-44D8-BBD7-CCE9431645EC}">
                        <a14:shadowObscured xmlns:a14="http://schemas.microsoft.com/office/drawing/2010/main"/>
                      </a:ext>
                    </a:extLst>
                  </pic:spPr>
                </pic:pic>
              </a:graphicData>
            </a:graphic>
          </wp:inline>
        </w:drawing>
      </w:r>
    </w:p>
    <w:p w14:paraId="75552F55" w14:textId="65BADD60" w:rsidR="004E6D70" w:rsidRPr="00E15B09" w:rsidRDefault="004E6D70" w:rsidP="004E6D70">
      <w:pPr>
        <w:pStyle w:val="Caption"/>
        <w:rPr>
          <w:lang w:val="en-US"/>
        </w:rPr>
      </w:pPr>
      <w:bookmarkStart w:id="69" w:name="_Ref38803588"/>
      <w:bookmarkStart w:id="70" w:name="_Toc45837585"/>
      <w:r w:rsidRPr="00E15B09">
        <w:rPr>
          <w:lang w:val="en-US"/>
        </w:rPr>
        <w:t xml:space="preserve">Figure </w:t>
      </w:r>
      <w:r w:rsidR="008B2508">
        <w:fldChar w:fldCharType="begin"/>
      </w:r>
      <w:r w:rsidR="008B2508" w:rsidRPr="00E15B09">
        <w:rPr>
          <w:lang w:val="en-US"/>
        </w:rPr>
        <w:instrText xml:space="preserve"> SEQ Figure \* ARABIC </w:instrText>
      </w:r>
      <w:r w:rsidR="008B2508">
        <w:fldChar w:fldCharType="separate"/>
      </w:r>
      <w:r w:rsidR="0008188F">
        <w:rPr>
          <w:noProof/>
          <w:lang w:val="en-US"/>
        </w:rPr>
        <w:t>14</w:t>
      </w:r>
      <w:r w:rsidR="008B2508">
        <w:rPr>
          <w:noProof/>
        </w:rPr>
        <w:fldChar w:fldCharType="end"/>
      </w:r>
      <w:bookmarkEnd w:id="69"/>
      <w:r w:rsidRPr="00E15B09">
        <w:rPr>
          <w:lang w:val="en-US"/>
        </w:rPr>
        <w:t xml:space="preserve"> </w:t>
      </w:r>
      <w:r w:rsidR="007C39B4">
        <w:rPr>
          <w:lang w:val="en-US"/>
        </w:rPr>
        <w:t>– Droplet with baseline</w:t>
      </w:r>
      <w:bookmarkEnd w:id="70"/>
    </w:p>
    <w:p w14:paraId="02E12B5F" w14:textId="5486C4BD" w:rsidR="004E6D70" w:rsidRPr="00AB28CC" w:rsidRDefault="004E6D70" w:rsidP="00AB28CC">
      <w:pPr>
        <w:rPr>
          <w:lang w:val="en-US"/>
        </w:rPr>
      </w:pPr>
      <w:r w:rsidRPr="00AB28CC">
        <w:rPr>
          <w:lang w:val="en-US"/>
        </w:rPr>
        <w:t xml:space="preserve">Image of a </w:t>
      </w:r>
      <w:r w:rsidR="00ED182E">
        <w:rPr>
          <w:lang w:val="en-US"/>
        </w:rPr>
        <w:t xml:space="preserve">water </w:t>
      </w:r>
      <w:r w:rsidRPr="00AB28CC">
        <w:rPr>
          <w:lang w:val="en-US"/>
        </w:rPr>
        <w:t>droplet on a surface with the baseline manually set to the place where the droplet comes in contact with the surface.</w:t>
      </w:r>
    </w:p>
    <w:p w14:paraId="262BECB0" w14:textId="54F8AA00" w:rsidR="005D301F" w:rsidRPr="00241A81" w:rsidRDefault="005D301F" w:rsidP="00DE44EE">
      <w:pPr>
        <w:spacing w:after="0" w:line="480" w:lineRule="auto"/>
        <w:ind w:firstLine="708"/>
        <w:jc w:val="both"/>
        <w:rPr>
          <w:rFonts w:cs="Times New Roman"/>
          <w:szCs w:val="24"/>
          <w:lang w:val="en-US"/>
        </w:rPr>
      </w:pPr>
      <w:r w:rsidRPr="00241A81">
        <w:rPr>
          <w:rFonts w:cs="Times New Roman"/>
          <w:szCs w:val="24"/>
          <w:lang w:val="en-US"/>
        </w:rPr>
        <w:t xml:space="preserve">The </w:t>
      </w:r>
      <w:r w:rsidR="00A06591" w:rsidRPr="00241A81">
        <w:rPr>
          <w:rFonts w:cs="Times New Roman"/>
          <w:szCs w:val="24"/>
          <w:lang w:val="en-US"/>
        </w:rPr>
        <w:t>Young-Laplace</w:t>
      </w:r>
      <w:r w:rsidR="00327BFD" w:rsidRPr="00241A81">
        <w:rPr>
          <w:rFonts w:cs="Times New Roman"/>
          <w:szCs w:val="24"/>
          <w:lang w:val="en-US"/>
        </w:rPr>
        <w:t xml:space="preserve"> fitting is used to analyze the data because a liquid is being dispersed onto a surface with air surrounding it.</w:t>
      </w:r>
      <w:r w:rsidR="00FA7422" w:rsidRPr="00241A81">
        <w:rPr>
          <w:rFonts w:cs="Times New Roman"/>
          <w:szCs w:val="24"/>
          <w:lang w:val="en-US"/>
        </w:rPr>
        <w:t xml:space="preserve"> The </w:t>
      </w:r>
      <w:r w:rsidR="00A06591" w:rsidRPr="00241A81">
        <w:rPr>
          <w:rFonts w:cs="Times New Roman"/>
          <w:szCs w:val="24"/>
          <w:lang w:val="en-US"/>
        </w:rPr>
        <w:t>Young-Laplace</w:t>
      </w:r>
      <w:r w:rsidR="00FA7422" w:rsidRPr="00241A81">
        <w:rPr>
          <w:rFonts w:cs="Times New Roman"/>
          <w:szCs w:val="24"/>
          <w:lang w:val="en-US"/>
        </w:rPr>
        <w:t xml:space="preserve"> equation </w:t>
      </w:r>
      <w:r w:rsidR="00133877">
        <w:rPr>
          <w:rFonts w:cs="Times New Roman"/>
          <w:szCs w:val="24"/>
          <w:lang w:val="en-US"/>
        </w:rPr>
        <w:t>(</w:t>
      </w:r>
      <w:r w:rsidR="00133877">
        <w:rPr>
          <w:rFonts w:cs="Times New Roman"/>
          <w:szCs w:val="24"/>
          <w:lang w:val="en-US"/>
        </w:rPr>
        <w:fldChar w:fldCharType="begin"/>
      </w:r>
      <w:r w:rsidR="00133877">
        <w:rPr>
          <w:rFonts w:cs="Times New Roman"/>
          <w:szCs w:val="24"/>
          <w:lang w:val="en-US"/>
        </w:rPr>
        <w:instrText xml:space="preserve"> REF _Ref42539187 \h </w:instrText>
      </w:r>
      <w:r w:rsidR="00133877">
        <w:rPr>
          <w:rFonts w:cs="Times New Roman"/>
          <w:szCs w:val="24"/>
          <w:lang w:val="en-US"/>
        </w:rPr>
      </w:r>
      <w:r w:rsidR="00133877">
        <w:rPr>
          <w:rFonts w:cs="Times New Roman"/>
          <w:szCs w:val="24"/>
          <w:lang w:val="en-US"/>
        </w:rPr>
        <w:fldChar w:fldCharType="separate"/>
      </w:r>
      <w:r w:rsidR="0008188F" w:rsidRPr="00FE5369">
        <w:rPr>
          <w:lang w:val="en-US"/>
        </w:rPr>
        <w:t xml:space="preserve">Equation </w:t>
      </w:r>
      <w:r w:rsidR="0008188F">
        <w:rPr>
          <w:noProof/>
          <w:lang w:val="en-US"/>
        </w:rPr>
        <w:t>6</w:t>
      </w:r>
      <w:r w:rsidR="00133877">
        <w:rPr>
          <w:rFonts w:cs="Times New Roman"/>
          <w:szCs w:val="24"/>
          <w:lang w:val="en-US"/>
        </w:rPr>
        <w:fldChar w:fldCharType="end"/>
      </w:r>
      <w:r w:rsidR="00133877">
        <w:rPr>
          <w:rFonts w:cs="Times New Roman"/>
          <w:szCs w:val="24"/>
          <w:lang w:val="en-US"/>
        </w:rPr>
        <w:t xml:space="preserve">) </w:t>
      </w:r>
      <w:r w:rsidR="00FA7422" w:rsidRPr="00241A81">
        <w:rPr>
          <w:rFonts w:cs="Times New Roman"/>
          <w:szCs w:val="24"/>
          <w:lang w:val="en-US"/>
        </w:rPr>
        <w:t>determines the contact angle (θ) using the images from the</w:t>
      </w:r>
      <w:r w:rsidR="00A93B33" w:rsidRPr="00241A81">
        <w:rPr>
          <w:rFonts w:cs="Times New Roman"/>
          <w:szCs w:val="24"/>
          <w:lang w:val="en-US"/>
        </w:rPr>
        <w:t xml:space="preserve"> sessile</w:t>
      </w:r>
      <w:r w:rsidR="00FA7422" w:rsidRPr="00241A81">
        <w:rPr>
          <w:rFonts w:cs="Times New Roman"/>
          <w:szCs w:val="24"/>
          <w:lang w:val="en-US"/>
        </w:rPr>
        <w:t xml:space="preserve"> droplet recording.</w:t>
      </w:r>
      <w:r w:rsidR="001B6026" w:rsidRPr="00241A81">
        <w:rPr>
          <w:rFonts w:cs="Times New Roman"/>
          <w:szCs w:val="24"/>
          <w:lang w:val="en-US"/>
        </w:rPr>
        <w:t xml:space="preserve"> The process analyzes each frame and fits the curve to the drop. The drop is symmetrical so the </w:t>
      </w:r>
      <w:r w:rsidR="00A06591" w:rsidRPr="00241A81">
        <w:rPr>
          <w:rFonts w:cs="Times New Roman"/>
          <w:szCs w:val="24"/>
          <w:lang w:val="en-US"/>
        </w:rPr>
        <w:t>Young-Laplace</w:t>
      </w:r>
      <w:r w:rsidR="001B6026" w:rsidRPr="00241A81">
        <w:rPr>
          <w:rFonts w:cs="Times New Roman"/>
          <w:szCs w:val="24"/>
          <w:lang w:val="en-US"/>
        </w:rPr>
        <w:t xml:space="preserve"> equation can be used and is commonly used to analyze drops on solid surfaces.</w:t>
      </w:r>
      <w:r w:rsidR="008C1371">
        <w:rPr>
          <w:rFonts w:cs="Times New Roman"/>
          <w:szCs w:val="24"/>
          <w:lang w:val="en-US"/>
        </w:rPr>
        <w:fldChar w:fldCharType="begin" w:fldLock="1"/>
      </w:r>
      <w:r w:rsidR="00A356D0">
        <w:rPr>
          <w:rFonts w:cs="Times New Roman"/>
          <w:szCs w:val="24"/>
          <w:lang w:val="en-US"/>
        </w:rPr>
        <w:instrText>ADDIN CSL_CITATION {"citationItems":[{"id":"ITEM-1","itemData":{"DOI":"10.1007/bf00445980","ISBN":"1573-4803","abstract":"In much of the available literature, there is confusion regarding the correct use of the terms surface tension, surface energy and surface free energy. As a result, these three terms have been used interchangeably to describe the same quantity. This problem is particularly serious in the area of solid surface science. Linford has examined and discussed such inconsistencies but failed to differentiate the three quantities clearly. In the present paper, the definitions and the relationships between surface tension, surface energy and surface free energy are examined and their proper usage clarified.","author":[{"dropping-particle":"","family":"Ip","given":"S W","non-dropping-particle":"","parse-names":false,"suffix":""},{"dropping-particle":"","family":"Toguri","given":"J M","non-dropping-particle":"","parse-names":false,"suffix":""}],"container-title":"Journal of Materials Science","id":"ITEM-1","issue":"3","issued":{"date-parts":[["1994"]]},"page":"688-692","title":"The equivalency of surface tension, surface energy and surface free energy","type":"article-journal","volume":"29"},"uris":["http://www.mendeley.com/documents/?uuid=0f448a5d-cc44-4daa-9d75-afc4f01f26af"]}],"mendeley":{"formattedCitation":"&lt;sup&gt;83&lt;/sup&gt;","plainTextFormattedCitation":"83","previouslyFormattedCitation":"&lt;sup&gt;83&lt;/sup&gt;"},"properties":{"noteIndex":0},"schema":"https://github.com/citation-style-language/schema/raw/master/csl-citation.json"}</w:instrText>
      </w:r>
      <w:r w:rsidR="008C1371">
        <w:rPr>
          <w:rFonts w:cs="Times New Roman"/>
          <w:szCs w:val="24"/>
          <w:lang w:val="en-US"/>
        </w:rPr>
        <w:fldChar w:fldCharType="separate"/>
      </w:r>
      <w:r w:rsidR="00BF4802" w:rsidRPr="00BF4802">
        <w:rPr>
          <w:rFonts w:cs="Times New Roman"/>
          <w:noProof/>
          <w:szCs w:val="24"/>
          <w:vertAlign w:val="superscript"/>
          <w:lang w:val="en-US"/>
        </w:rPr>
        <w:t>83</w:t>
      </w:r>
      <w:r w:rsidR="008C1371">
        <w:rPr>
          <w:rFonts w:cs="Times New Roman"/>
          <w:szCs w:val="24"/>
          <w:lang w:val="en-US"/>
        </w:rPr>
        <w:fldChar w:fldCharType="end"/>
      </w:r>
      <w:r w:rsidR="00327BFD" w:rsidRPr="00241A81">
        <w:rPr>
          <w:rFonts w:cs="Times New Roman"/>
          <w:szCs w:val="24"/>
          <w:lang w:val="en-US"/>
        </w:rPr>
        <w:t xml:space="preserve"> The </w:t>
      </w:r>
      <w:r w:rsidR="00A06591" w:rsidRPr="00241A81">
        <w:rPr>
          <w:rFonts w:cs="Times New Roman"/>
          <w:szCs w:val="24"/>
          <w:lang w:val="en-US"/>
        </w:rPr>
        <w:t>Young-Laplace</w:t>
      </w:r>
      <w:r w:rsidR="00327BFD" w:rsidRPr="00241A81">
        <w:rPr>
          <w:rFonts w:cs="Times New Roman"/>
          <w:szCs w:val="24"/>
          <w:lang w:val="en-US"/>
        </w:rPr>
        <w:t xml:space="preserve"> equation is as follows:</w:t>
      </w:r>
    </w:p>
    <w:p w14:paraId="7E23D734" w14:textId="15CD41AA" w:rsidR="00111A74" w:rsidRDefault="00092402" w:rsidP="00F31206">
      <w:pPr>
        <w:pStyle w:val="Caption"/>
        <w:rPr>
          <w:rFonts w:eastAsiaTheme="minorEastAsia"/>
          <w:iCs/>
          <w:szCs w:val="24"/>
          <w:lang w:val="en-US"/>
        </w:rPr>
      </w:pPr>
      <w:bookmarkStart w:id="71" w:name="_Ref42539187"/>
      <w:bookmarkStart w:id="72" w:name="_Ref38723095"/>
      <w:r w:rsidRPr="00FE5369">
        <w:rPr>
          <w:lang w:val="en-US"/>
        </w:rPr>
        <w:t xml:space="preserve">Equation </w:t>
      </w:r>
      <w:r>
        <w:fldChar w:fldCharType="begin"/>
      </w:r>
      <w:r w:rsidRPr="00FE5369">
        <w:rPr>
          <w:lang w:val="en-US"/>
        </w:rPr>
        <w:instrText xml:space="preserve"> SEQ Equation \* ARABIC </w:instrText>
      </w:r>
      <w:r>
        <w:fldChar w:fldCharType="separate"/>
      </w:r>
      <w:r w:rsidR="0008188F">
        <w:rPr>
          <w:noProof/>
          <w:lang w:val="en-US"/>
        </w:rPr>
        <w:t>6</w:t>
      </w:r>
      <w:r>
        <w:fldChar w:fldCharType="end"/>
      </w:r>
      <w:bookmarkEnd w:id="71"/>
      <w:r w:rsidRPr="00FE5369">
        <w:rPr>
          <w:lang w:val="en-US"/>
        </w:rPr>
        <w:tab/>
      </w:r>
      <m:oMath>
        <m:sSub>
          <m:sSubPr>
            <m:ctrlPr>
              <w:rPr>
                <w:rFonts w:ascii="Cambria Math" w:hAnsi="Cambria Math" w:cs="Times New Roman"/>
                <w:i/>
                <w:iCs/>
                <w:szCs w:val="24"/>
                <w:lang w:val="en-US"/>
              </w:rPr>
            </m:ctrlPr>
          </m:sSubPr>
          <m:e>
            <m:r>
              <m:rPr>
                <m:sty m:val="bi"/>
              </m:rPr>
              <w:rPr>
                <w:rFonts w:ascii="Cambria Math" w:hAnsi="Cambria Math" w:cs="Times New Roman"/>
                <w:szCs w:val="24"/>
                <w:lang w:val="en-US"/>
              </w:rPr>
              <m:t>γ</m:t>
            </m:r>
          </m:e>
          <m:sub>
            <m:r>
              <m:rPr>
                <m:sty m:val="bi"/>
              </m:rPr>
              <w:rPr>
                <w:rFonts w:ascii="Cambria Math" w:hAnsi="Cambria Math" w:cs="Times New Roman"/>
                <w:szCs w:val="24"/>
                <w:lang w:val="en-US"/>
              </w:rPr>
              <m:t>SG</m:t>
            </m:r>
          </m:sub>
        </m:sSub>
        <m:r>
          <m:rPr>
            <m:sty m:val="bi"/>
          </m:rPr>
          <w:rPr>
            <w:rFonts w:ascii="Cambria Math" w:hAnsi="Cambria Math" w:cs="Times New Roman"/>
            <w:szCs w:val="24"/>
            <w:lang w:val="en-US"/>
          </w:rPr>
          <m:t>=</m:t>
        </m:r>
        <m:sSub>
          <m:sSubPr>
            <m:ctrlPr>
              <w:rPr>
                <w:rFonts w:ascii="Cambria Math" w:hAnsi="Cambria Math" w:cs="Times New Roman"/>
                <w:i/>
                <w:iCs/>
                <w:szCs w:val="24"/>
                <w:lang w:val="en-US"/>
              </w:rPr>
            </m:ctrlPr>
          </m:sSubPr>
          <m:e>
            <m:r>
              <m:rPr>
                <m:sty m:val="bi"/>
              </m:rPr>
              <w:rPr>
                <w:rFonts w:ascii="Cambria Math" w:hAnsi="Cambria Math" w:cs="Times New Roman"/>
                <w:szCs w:val="24"/>
                <w:lang w:val="en-US"/>
              </w:rPr>
              <m:t>γ</m:t>
            </m:r>
          </m:e>
          <m:sub>
            <m:r>
              <m:rPr>
                <m:sty m:val="bi"/>
              </m:rPr>
              <w:rPr>
                <w:rFonts w:ascii="Cambria Math" w:hAnsi="Cambria Math" w:cs="Times New Roman"/>
                <w:szCs w:val="24"/>
                <w:lang w:val="en-US"/>
              </w:rPr>
              <m:t>SL</m:t>
            </m:r>
          </m:sub>
        </m:sSub>
        <m:r>
          <m:rPr>
            <m:sty m:val="bi"/>
          </m:rPr>
          <w:rPr>
            <w:rFonts w:ascii="Cambria Math" w:hAnsi="Cambria Math" w:cs="Times New Roman"/>
            <w:szCs w:val="24"/>
            <w:lang w:val="en-US"/>
          </w:rPr>
          <m:t>+</m:t>
        </m:r>
        <m:sSub>
          <m:sSubPr>
            <m:ctrlPr>
              <w:rPr>
                <w:rFonts w:ascii="Cambria Math" w:hAnsi="Cambria Math" w:cs="Times New Roman"/>
                <w:i/>
                <w:iCs/>
                <w:szCs w:val="24"/>
                <w:lang w:val="en-US"/>
              </w:rPr>
            </m:ctrlPr>
          </m:sSubPr>
          <m:e>
            <m:r>
              <m:rPr>
                <m:sty m:val="bi"/>
              </m:rPr>
              <w:rPr>
                <w:rFonts w:ascii="Cambria Math" w:hAnsi="Cambria Math" w:cs="Times New Roman"/>
                <w:szCs w:val="24"/>
                <w:lang w:val="en-US"/>
              </w:rPr>
              <m:t>γ</m:t>
            </m:r>
          </m:e>
          <m:sub>
            <m:r>
              <m:rPr>
                <m:sty m:val="bi"/>
              </m:rPr>
              <w:rPr>
                <w:rFonts w:ascii="Cambria Math" w:hAnsi="Cambria Math" w:cs="Times New Roman"/>
                <w:szCs w:val="24"/>
                <w:lang w:val="en-US"/>
              </w:rPr>
              <m:t>LG</m:t>
            </m:r>
          </m:sub>
        </m:sSub>
        <m:r>
          <m:rPr>
            <m:sty m:val="bi"/>
          </m:rPr>
          <w:rPr>
            <w:rFonts w:ascii="Cambria Math" w:hAnsi="Cambria Math" w:cs="Times New Roman"/>
            <w:szCs w:val="24"/>
            <w:lang w:val="en-US"/>
          </w:rPr>
          <m:t> (</m:t>
        </m:r>
        <m:func>
          <m:funcPr>
            <m:ctrlPr>
              <w:rPr>
                <w:rFonts w:ascii="Cambria Math" w:hAnsi="Cambria Math" w:cs="Times New Roman"/>
                <w:i/>
                <w:iCs/>
                <w:szCs w:val="24"/>
                <w:lang w:val="en-US"/>
              </w:rPr>
            </m:ctrlPr>
          </m:funcPr>
          <m:fName>
            <m:r>
              <m:rPr>
                <m:sty m:val="bi"/>
              </m:rPr>
              <w:rPr>
                <w:rFonts w:ascii="Cambria Math" w:hAnsi="Cambria Math" w:cs="Times New Roman"/>
                <w:szCs w:val="24"/>
                <w:lang w:val="en-US"/>
              </w:rPr>
              <m:t>cos</m:t>
            </m:r>
          </m:fName>
          <m:e>
            <m:r>
              <m:rPr>
                <m:sty m:val="bi"/>
              </m:rPr>
              <w:rPr>
                <w:rFonts w:ascii="Cambria Math" w:hAnsi="Cambria Math" w:cs="Times New Roman"/>
                <w:szCs w:val="24"/>
                <w:lang w:val="en-US"/>
              </w:rPr>
              <m:t>θ)</m:t>
            </m:r>
          </m:e>
        </m:func>
      </m:oMath>
      <w:bookmarkEnd w:id="72"/>
    </w:p>
    <w:p w14:paraId="4003D9BB" w14:textId="77777777" w:rsidR="00327BFD" w:rsidRPr="00241A81" w:rsidRDefault="00111A74" w:rsidP="00111A74">
      <w:pPr>
        <w:pStyle w:val="Caption"/>
        <w:rPr>
          <w:rFonts w:eastAsiaTheme="minorEastAsia" w:cs="Times New Roman"/>
          <w:szCs w:val="24"/>
          <w:lang w:val="en-US"/>
        </w:rPr>
      </w:pPr>
      <w:r>
        <w:rPr>
          <w:rFonts w:eastAsiaTheme="minorEastAsia"/>
          <w:iCs/>
          <w:szCs w:val="24"/>
          <w:lang w:val="en-US"/>
        </w:rPr>
        <w:t xml:space="preserve"> </w:t>
      </w:r>
    </w:p>
    <w:p w14:paraId="6EC4ADE0" w14:textId="77777777" w:rsidR="006E3BBA" w:rsidRPr="00241A81" w:rsidRDefault="006E3BBA" w:rsidP="004C6611">
      <w:pPr>
        <w:spacing w:line="360" w:lineRule="auto"/>
        <w:jc w:val="both"/>
        <w:rPr>
          <w:rFonts w:eastAsiaTheme="minorEastAsia" w:cs="Times New Roman"/>
          <w:iCs/>
          <w:szCs w:val="24"/>
          <w:lang w:val="en-US"/>
        </w:rPr>
      </w:pPr>
      <w:r w:rsidRPr="00241A81">
        <w:rPr>
          <w:rFonts w:eastAsiaTheme="minorEastAsia" w:cs="Times New Roman"/>
          <w:szCs w:val="24"/>
          <w:lang w:val="en-US"/>
        </w:rPr>
        <w:t xml:space="preserve">Where </w:t>
      </w:r>
      <m:oMath>
        <m:sSub>
          <m:sSubPr>
            <m:ctrlPr>
              <w:rPr>
                <w:rFonts w:ascii="Cambria Math" w:hAnsi="Cambria Math" w:cs="Times New Roman"/>
                <w:i/>
                <w:iCs/>
                <w:szCs w:val="24"/>
                <w:lang w:val="en-US"/>
              </w:rPr>
            </m:ctrlPr>
          </m:sSubPr>
          <m:e>
            <m:r>
              <w:rPr>
                <w:rFonts w:ascii="Cambria Math" w:hAnsi="Cambria Math" w:cs="Times New Roman"/>
                <w:szCs w:val="24"/>
                <w:lang w:val="en-US"/>
              </w:rPr>
              <m:t>γ</m:t>
            </m:r>
          </m:e>
          <m:sub>
            <m:r>
              <w:rPr>
                <w:rFonts w:ascii="Cambria Math" w:hAnsi="Cambria Math" w:cs="Times New Roman"/>
                <w:szCs w:val="24"/>
                <w:lang w:val="en-US"/>
              </w:rPr>
              <m:t>SG</m:t>
            </m:r>
          </m:sub>
        </m:sSub>
        <m:r>
          <w:rPr>
            <w:rFonts w:ascii="Cambria Math" w:hAnsi="Cambria Math" w:cs="Times New Roman"/>
            <w:szCs w:val="24"/>
            <w:lang w:val="en-US"/>
          </w:rPr>
          <m:t>:</m:t>
        </m:r>
      </m:oMath>
      <w:r w:rsidRPr="00241A81">
        <w:rPr>
          <w:rFonts w:cs="Times New Roman"/>
          <w:lang w:val="en-US"/>
        </w:rPr>
        <w:t xml:space="preserve"> </w:t>
      </w:r>
      <w:r w:rsidRPr="00241A81">
        <w:rPr>
          <w:rFonts w:eastAsiaTheme="minorEastAsia" w:cs="Times New Roman"/>
          <w:iCs/>
          <w:szCs w:val="24"/>
          <w:lang w:val="en-US"/>
        </w:rPr>
        <w:t>Interfacial tension between the solid and gas</w:t>
      </w:r>
    </w:p>
    <w:p w14:paraId="0A4F6D81" w14:textId="77777777" w:rsidR="006E3BBA" w:rsidRPr="00241A81" w:rsidRDefault="0008188F" w:rsidP="004C6611">
      <w:pPr>
        <w:spacing w:line="360" w:lineRule="auto"/>
        <w:ind w:firstLine="708"/>
        <w:jc w:val="both"/>
        <w:rPr>
          <w:rFonts w:eastAsiaTheme="minorEastAsia" w:cs="Times New Roman"/>
          <w:iCs/>
          <w:szCs w:val="24"/>
          <w:lang w:val="en-US"/>
        </w:rPr>
      </w:pPr>
      <m:oMath>
        <m:sSub>
          <m:sSubPr>
            <m:ctrlPr>
              <w:rPr>
                <w:rFonts w:ascii="Cambria Math" w:hAnsi="Cambria Math" w:cs="Times New Roman"/>
                <w:i/>
                <w:iCs/>
                <w:szCs w:val="24"/>
                <w:lang w:val="en-US"/>
              </w:rPr>
            </m:ctrlPr>
          </m:sSubPr>
          <m:e>
            <m:r>
              <w:rPr>
                <w:rFonts w:ascii="Cambria Math" w:hAnsi="Cambria Math" w:cs="Times New Roman"/>
                <w:szCs w:val="24"/>
                <w:lang w:val="en-US"/>
              </w:rPr>
              <m:t>γ</m:t>
            </m:r>
          </m:e>
          <m:sub>
            <m:r>
              <w:rPr>
                <w:rFonts w:ascii="Cambria Math" w:hAnsi="Cambria Math" w:cs="Times New Roman"/>
                <w:szCs w:val="24"/>
                <w:lang w:val="en-US"/>
              </w:rPr>
              <m:t>SL</m:t>
            </m:r>
          </m:sub>
        </m:sSub>
        <m:r>
          <w:rPr>
            <w:rFonts w:ascii="Cambria Math" w:hAnsi="Cambria Math" w:cs="Times New Roman"/>
            <w:szCs w:val="24"/>
            <w:lang w:val="en-US"/>
          </w:rPr>
          <m:t>:</m:t>
        </m:r>
      </m:oMath>
      <w:r w:rsidR="006E3BBA" w:rsidRPr="00241A81">
        <w:rPr>
          <w:rFonts w:eastAsiaTheme="minorEastAsia" w:cs="Times New Roman"/>
          <w:iCs/>
          <w:szCs w:val="24"/>
          <w:lang w:val="en-US"/>
        </w:rPr>
        <w:t xml:space="preserve"> Interfacial tension between the solid and liquid</w:t>
      </w:r>
    </w:p>
    <w:p w14:paraId="24289C8C" w14:textId="77777777" w:rsidR="006E3BBA" w:rsidRPr="00241A81" w:rsidRDefault="0008188F" w:rsidP="004C6611">
      <w:pPr>
        <w:spacing w:line="360" w:lineRule="auto"/>
        <w:ind w:firstLine="708"/>
        <w:jc w:val="both"/>
        <w:rPr>
          <w:rFonts w:eastAsiaTheme="minorEastAsia" w:cs="Times New Roman"/>
          <w:iCs/>
          <w:szCs w:val="24"/>
          <w:lang w:val="en-US"/>
        </w:rPr>
      </w:pPr>
      <m:oMath>
        <m:sSub>
          <m:sSubPr>
            <m:ctrlPr>
              <w:rPr>
                <w:rFonts w:ascii="Cambria Math" w:hAnsi="Cambria Math" w:cs="Times New Roman"/>
                <w:i/>
                <w:iCs/>
                <w:szCs w:val="24"/>
                <w:lang w:val="en-US"/>
              </w:rPr>
            </m:ctrlPr>
          </m:sSubPr>
          <m:e>
            <m:r>
              <w:rPr>
                <w:rFonts w:ascii="Cambria Math" w:hAnsi="Cambria Math" w:cs="Times New Roman"/>
                <w:szCs w:val="24"/>
                <w:lang w:val="en-US"/>
              </w:rPr>
              <m:t>γ</m:t>
            </m:r>
          </m:e>
          <m:sub>
            <m:r>
              <w:rPr>
                <w:rFonts w:ascii="Cambria Math" w:hAnsi="Cambria Math" w:cs="Times New Roman"/>
                <w:szCs w:val="24"/>
                <w:lang w:val="en-US"/>
              </w:rPr>
              <m:t>LG</m:t>
            </m:r>
          </m:sub>
        </m:sSub>
        <m:r>
          <w:rPr>
            <w:rFonts w:ascii="Cambria Math" w:hAnsi="Cambria Math" w:cs="Times New Roman"/>
            <w:szCs w:val="24"/>
            <w:lang w:val="en-US"/>
          </w:rPr>
          <m:t>:</m:t>
        </m:r>
      </m:oMath>
      <w:r w:rsidR="006E3BBA" w:rsidRPr="00241A81">
        <w:rPr>
          <w:rFonts w:eastAsiaTheme="minorEastAsia" w:cs="Times New Roman"/>
          <w:iCs/>
          <w:szCs w:val="24"/>
          <w:lang w:val="en-US"/>
        </w:rPr>
        <w:t xml:space="preserve"> Interfacial tension between the liquid and gas</w:t>
      </w:r>
    </w:p>
    <w:p w14:paraId="04A54D54" w14:textId="04647CA7" w:rsidR="00713DE3" w:rsidRDefault="006E3BBA" w:rsidP="00D24B8F">
      <w:pPr>
        <w:spacing w:line="480" w:lineRule="auto"/>
        <w:ind w:firstLine="708"/>
        <w:jc w:val="both"/>
        <w:rPr>
          <w:rFonts w:cs="Times New Roman"/>
          <w:szCs w:val="24"/>
          <w:lang w:val="en-US"/>
        </w:rPr>
      </w:pPr>
      <w:r w:rsidRPr="00241A81">
        <w:rPr>
          <w:rFonts w:eastAsiaTheme="minorEastAsia" w:cs="Times New Roman"/>
          <w:iCs/>
          <w:szCs w:val="24"/>
          <w:lang w:val="en-US"/>
        </w:rPr>
        <w:t xml:space="preserve">The </w:t>
      </w:r>
      <w:r w:rsidR="00A06591" w:rsidRPr="00241A81">
        <w:rPr>
          <w:rFonts w:eastAsiaTheme="minorEastAsia" w:cs="Times New Roman"/>
          <w:iCs/>
          <w:szCs w:val="24"/>
          <w:lang w:val="en-US"/>
        </w:rPr>
        <w:t>use of the Young-Laplace</w:t>
      </w:r>
      <w:r w:rsidR="00A93B33" w:rsidRPr="00241A81">
        <w:rPr>
          <w:rFonts w:eastAsiaTheme="minorEastAsia" w:cs="Times New Roman"/>
          <w:iCs/>
          <w:szCs w:val="24"/>
          <w:lang w:val="en-US"/>
        </w:rPr>
        <w:t xml:space="preserve"> equation assumes there is a relationship between the radii of curvature, the surface tension, and the Laplace pressure.</w:t>
      </w:r>
      <w:r w:rsidR="00E27EDD">
        <w:rPr>
          <w:rFonts w:eastAsiaTheme="minorEastAsia" w:cs="Times New Roman"/>
          <w:iCs/>
          <w:szCs w:val="24"/>
          <w:lang w:val="en-US"/>
        </w:rPr>
        <w:fldChar w:fldCharType="begin" w:fldLock="1"/>
      </w:r>
      <w:r w:rsidR="00A356D0">
        <w:rPr>
          <w:rFonts w:eastAsiaTheme="minorEastAsia" w:cs="Times New Roman"/>
          <w:iCs/>
          <w:szCs w:val="24"/>
          <w:lang w:val="en-US"/>
        </w:rPr>
        <w:instrText>ADDIN CSL_CITATION {"citationItems":[{"id":"ITEM-1","itemData":{"DOI":"10.1007/bf00445980","ISBN":"1573-4803","abstract":"In much of the available literature, there is confusion regarding the correct use of the terms surface tension, surface energy and surface free energy. As a result, these three terms have been used interchangeably to describe the same quantity. This problem is particularly serious in the area of solid surface science. Linford has examined and discussed such inconsistencies but failed to differentiate the three quantities clearly. In the present paper, the definitions and the relationships between surface tension, surface energy and surface free energy are examined and their proper usage clarified.","author":[{"dropping-particle":"","family":"Ip","given":"S W","non-dropping-particle":"","parse-names":false,"suffix":""},{"dropping-particle":"","family":"Toguri","given":"J M","non-dropping-particle":"","parse-names":false,"suffix":""}],"container-title":"Journal of Materials Science","id":"ITEM-1","issue":"3","issued":{"date-parts":[["1994"]]},"page":"688-692","title":"The equivalency of surface tension, surface energy and surface free energy","type":"article-journal","volume":"29"},"uris":["http://www.mendeley.com/documents/?uuid=0f448a5d-cc44-4daa-9d75-afc4f01f26af"]}],"mendeley":{"formattedCitation":"&lt;sup&gt;83&lt;/sup&gt;","plainTextFormattedCitation":"83","previouslyFormattedCitation":"&lt;sup&gt;83&lt;/sup&gt;"},"properties":{"noteIndex":0},"schema":"https://github.com/citation-style-language/schema/raw/master/csl-citation.json"}</w:instrText>
      </w:r>
      <w:r w:rsidR="00E27EDD">
        <w:rPr>
          <w:rFonts w:eastAsiaTheme="minorEastAsia" w:cs="Times New Roman"/>
          <w:iCs/>
          <w:szCs w:val="24"/>
          <w:lang w:val="en-US"/>
        </w:rPr>
        <w:fldChar w:fldCharType="separate"/>
      </w:r>
      <w:r w:rsidR="00BF4802" w:rsidRPr="00BF4802">
        <w:rPr>
          <w:rFonts w:eastAsiaTheme="minorEastAsia" w:cs="Times New Roman"/>
          <w:iCs/>
          <w:noProof/>
          <w:szCs w:val="24"/>
          <w:vertAlign w:val="superscript"/>
          <w:lang w:val="en-US"/>
        </w:rPr>
        <w:t>83</w:t>
      </w:r>
      <w:r w:rsidR="00E27EDD">
        <w:rPr>
          <w:rFonts w:eastAsiaTheme="minorEastAsia" w:cs="Times New Roman"/>
          <w:iCs/>
          <w:szCs w:val="24"/>
          <w:lang w:val="en-US"/>
        </w:rPr>
        <w:fldChar w:fldCharType="end"/>
      </w:r>
      <w:r w:rsidR="00666EC5" w:rsidRPr="00241A81">
        <w:rPr>
          <w:rFonts w:eastAsiaTheme="minorEastAsia" w:cs="Times New Roman"/>
          <w:iCs/>
          <w:szCs w:val="24"/>
          <w:lang w:val="en-US"/>
        </w:rPr>
        <w:t xml:space="preserve"> It is best used when the droplet is symmetrical on a level, smooth surface. </w:t>
      </w:r>
      <w:r w:rsidR="00224CF5" w:rsidRPr="00241A81">
        <w:rPr>
          <w:rFonts w:eastAsiaTheme="minorEastAsia" w:cs="Times New Roman"/>
          <w:iCs/>
          <w:szCs w:val="24"/>
          <w:lang w:val="en-US"/>
        </w:rPr>
        <w:t>Using SAS software, the contact angle measurements were analyzed to get θ</w:t>
      </w:r>
      <w:r w:rsidR="00224CF5" w:rsidRPr="00241A81">
        <w:rPr>
          <w:rFonts w:eastAsiaTheme="minorEastAsia" w:cs="Times New Roman"/>
          <w:iCs/>
          <w:szCs w:val="24"/>
          <w:vertAlign w:val="subscript"/>
          <w:lang w:val="en-US"/>
        </w:rPr>
        <w:t xml:space="preserve">intial </w:t>
      </w:r>
      <w:r w:rsidR="00224CF5" w:rsidRPr="00241A81">
        <w:rPr>
          <w:rFonts w:eastAsiaTheme="minorEastAsia" w:cs="Times New Roman"/>
          <w:iCs/>
          <w:szCs w:val="24"/>
          <w:lang w:val="en-US"/>
        </w:rPr>
        <w:t>(θ at drop placement), θ</w:t>
      </w:r>
      <w:r w:rsidR="00DE5968" w:rsidRPr="00241A81">
        <w:rPr>
          <w:rFonts w:eastAsiaTheme="minorEastAsia" w:cs="Times New Roman"/>
          <w:iCs/>
          <w:szCs w:val="24"/>
          <w:vertAlign w:val="subscript"/>
          <w:lang w:val="en-US"/>
        </w:rPr>
        <w:t>slope</w:t>
      </w:r>
      <w:r w:rsidR="00DE5968" w:rsidRPr="00241A81">
        <w:rPr>
          <w:rFonts w:eastAsiaTheme="minorEastAsia" w:cs="Times New Roman"/>
          <w:iCs/>
          <w:szCs w:val="24"/>
          <w:lang w:val="en-US"/>
        </w:rPr>
        <w:t xml:space="preserve"> (rate of change of θ over time), and θ</w:t>
      </w:r>
      <w:r w:rsidR="00DE5968" w:rsidRPr="00241A81">
        <w:rPr>
          <w:rFonts w:eastAsiaTheme="minorEastAsia" w:cs="Times New Roman"/>
          <w:iCs/>
          <w:szCs w:val="24"/>
          <w:vertAlign w:val="subscript"/>
          <w:lang w:val="en-US"/>
        </w:rPr>
        <w:t>final</w:t>
      </w:r>
      <w:r w:rsidR="00DE5968" w:rsidRPr="00241A81">
        <w:rPr>
          <w:rFonts w:eastAsiaTheme="minorEastAsia" w:cs="Times New Roman"/>
          <w:iCs/>
          <w:szCs w:val="24"/>
          <w:lang w:val="en-US"/>
        </w:rPr>
        <w:t xml:space="preserve"> (θ at 60 seconds) for each specimen.</w:t>
      </w:r>
      <w:r w:rsidR="00D24B8F">
        <w:rPr>
          <w:rFonts w:cs="Times New Roman"/>
          <w:szCs w:val="24"/>
          <w:lang w:val="en-US"/>
        </w:rPr>
        <w:t xml:space="preserve"> </w:t>
      </w:r>
    </w:p>
    <w:p w14:paraId="50E4EC8B" w14:textId="69E2A07D" w:rsidR="00FD73B7" w:rsidRPr="00241A81" w:rsidRDefault="00174BAE" w:rsidP="002003DD">
      <w:pPr>
        <w:pStyle w:val="Heading2"/>
      </w:pPr>
      <w:bookmarkStart w:id="73" w:name="_Toc45837557"/>
      <w:r>
        <w:t xml:space="preserve">Methods – </w:t>
      </w:r>
      <w:r w:rsidR="004C44CB">
        <w:t xml:space="preserve">Bioluminescence </w:t>
      </w:r>
      <w:r w:rsidR="005727F5">
        <w:t>Testing</w:t>
      </w:r>
      <w:bookmarkEnd w:id="73"/>
    </w:p>
    <w:p w14:paraId="4E201638" w14:textId="454624CD" w:rsidR="00FD73B7" w:rsidRPr="00241A81" w:rsidRDefault="00FD73B7" w:rsidP="00830771">
      <w:pPr>
        <w:pStyle w:val="Heading3"/>
      </w:pPr>
      <w:bookmarkStart w:id="74" w:name="_Toc45837558"/>
      <w:r w:rsidRPr="00241A81">
        <w:t>Adhesive Pellets</w:t>
      </w:r>
      <w:bookmarkEnd w:id="74"/>
    </w:p>
    <w:p w14:paraId="4AFD6F8B" w14:textId="21C941BD" w:rsidR="008A288E" w:rsidRDefault="008A288E" w:rsidP="008A288E">
      <w:pPr>
        <w:spacing w:after="0" w:line="480" w:lineRule="auto"/>
        <w:jc w:val="both"/>
        <w:rPr>
          <w:rFonts w:cs="Times New Roman"/>
          <w:szCs w:val="24"/>
          <w:lang w:val="en-US"/>
        </w:rPr>
      </w:pPr>
      <w:r>
        <w:rPr>
          <w:rFonts w:cs="Times New Roman"/>
          <w:szCs w:val="24"/>
          <w:lang w:val="en-US"/>
        </w:rPr>
        <w:t>T</w:t>
      </w:r>
      <w:r w:rsidRPr="00241A81">
        <w:rPr>
          <w:rFonts w:cs="Times New Roman"/>
          <w:szCs w:val="24"/>
          <w:lang w:val="en-US"/>
        </w:rPr>
        <w:t>he groups</w:t>
      </w:r>
      <w:r>
        <w:rPr>
          <w:rFonts w:cs="Times New Roman"/>
          <w:szCs w:val="24"/>
          <w:lang w:val="en-US"/>
        </w:rPr>
        <w:t xml:space="preserve"> of adhesive mixtures</w:t>
      </w:r>
      <w:r w:rsidRPr="00241A81">
        <w:rPr>
          <w:rFonts w:cs="Times New Roman"/>
          <w:szCs w:val="24"/>
          <w:lang w:val="en-US"/>
        </w:rPr>
        <w:t xml:space="preserve"> were as follows:</w:t>
      </w:r>
    </w:p>
    <w:p w14:paraId="40EBAC81" w14:textId="02B5E9DD" w:rsidR="00D17A1B" w:rsidRDefault="00D17A1B" w:rsidP="00D17A1B">
      <w:pPr>
        <w:pStyle w:val="Caption"/>
        <w:rPr>
          <w:rFonts w:cs="Times New Roman"/>
          <w:szCs w:val="24"/>
          <w:lang w:val="en-US"/>
        </w:rPr>
      </w:pPr>
      <w:r>
        <w:t xml:space="preserve">Table </w:t>
      </w:r>
      <w:r>
        <w:fldChar w:fldCharType="begin"/>
      </w:r>
      <w:r>
        <w:instrText>SEQ Table \* ARABIC</w:instrText>
      </w:r>
      <w:r>
        <w:fldChar w:fldCharType="separate"/>
      </w:r>
      <w:r w:rsidR="0008188F">
        <w:rPr>
          <w:noProof/>
        </w:rPr>
        <w:t>7</w:t>
      </w:r>
      <w:r>
        <w:fldChar w:fldCharType="end"/>
      </w:r>
    </w:p>
    <w:tbl>
      <w:tblPr>
        <w:tblStyle w:val="TableGrid"/>
        <w:tblW w:w="0" w:type="auto"/>
        <w:jc w:val="center"/>
        <w:tblLook w:val="04A0" w:firstRow="1" w:lastRow="0" w:firstColumn="1" w:lastColumn="0" w:noHBand="0" w:noVBand="1"/>
      </w:tblPr>
      <w:tblGrid>
        <w:gridCol w:w="1255"/>
        <w:gridCol w:w="5130"/>
      </w:tblGrid>
      <w:tr w:rsidR="00ED120B" w14:paraId="79EDE399" w14:textId="77777777" w:rsidTr="00017EF6">
        <w:trPr>
          <w:jc w:val="center"/>
        </w:trPr>
        <w:tc>
          <w:tcPr>
            <w:tcW w:w="1255" w:type="dxa"/>
          </w:tcPr>
          <w:p w14:paraId="52FB5100" w14:textId="39417544" w:rsidR="00ED120B" w:rsidRDefault="00E07243" w:rsidP="000774E0">
            <w:pPr>
              <w:spacing w:line="480" w:lineRule="auto"/>
              <w:jc w:val="center"/>
              <w:rPr>
                <w:rFonts w:cs="Times New Roman"/>
                <w:szCs w:val="24"/>
              </w:rPr>
            </w:pPr>
            <w:r>
              <w:rPr>
                <w:rFonts w:cs="Times New Roman"/>
                <w:szCs w:val="24"/>
              </w:rPr>
              <w:t>Sample</w:t>
            </w:r>
          </w:p>
        </w:tc>
        <w:tc>
          <w:tcPr>
            <w:tcW w:w="5130" w:type="dxa"/>
          </w:tcPr>
          <w:p w14:paraId="0E5F5288" w14:textId="2A517B62" w:rsidR="00ED120B" w:rsidRDefault="00E07243" w:rsidP="008A288E">
            <w:pPr>
              <w:spacing w:line="480" w:lineRule="auto"/>
              <w:jc w:val="both"/>
              <w:rPr>
                <w:rFonts w:cs="Times New Roman"/>
                <w:szCs w:val="24"/>
              </w:rPr>
            </w:pPr>
            <w:r>
              <w:rPr>
                <w:rFonts w:cs="Times New Roman"/>
                <w:szCs w:val="24"/>
              </w:rPr>
              <w:t>Composition</w:t>
            </w:r>
          </w:p>
        </w:tc>
      </w:tr>
      <w:tr w:rsidR="00ED120B" w:rsidRPr="0044385A" w14:paraId="2A03C2A9" w14:textId="77777777" w:rsidTr="00017EF6">
        <w:trPr>
          <w:trHeight w:val="557"/>
          <w:jc w:val="center"/>
        </w:trPr>
        <w:tc>
          <w:tcPr>
            <w:tcW w:w="1255" w:type="dxa"/>
          </w:tcPr>
          <w:p w14:paraId="36416DA0" w14:textId="54734790" w:rsidR="00ED120B" w:rsidRDefault="00E07243" w:rsidP="000774E0">
            <w:pPr>
              <w:spacing w:line="480" w:lineRule="auto"/>
              <w:jc w:val="center"/>
              <w:rPr>
                <w:rFonts w:cs="Times New Roman"/>
                <w:szCs w:val="24"/>
              </w:rPr>
            </w:pPr>
            <w:r>
              <w:rPr>
                <w:rFonts w:cs="Times New Roman"/>
                <w:szCs w:val="24"/>
              </w:rPr>
              <w:t>1</w:t>
            </w:r>
          </w:p>
        </w:tc>
        <w:tc>
          <w:tcPr>
            <w:tcW w:w="5130" w:type="dxa"/>
          </w:tcPr>
          <w:p w14:paraId="07177582" w14:textId="472DB402" w:rsidR="00ED120B" w:rsidRDefault="00E07243" w:rsidP="00E07243">
            <w:pPr>
              <w:spacing w:line="360" w:lineRule="auto"/>
              <w:rPr>
                <w:rFonts w:cs="Times New Roman"/>
                <w:szCs w:val="24"/>
              </w:rPr>
            </w:pPr>
            <w:r w:rsidRPr="00E07243">
              <w:rPr>
                <w:rFonts w:cs="Times New Roman"/>
                <w:szCs w:val="24"/>
              </w:rPr>
              <w:t>Control group (unaltered adhesive resin)</w:t>
            </w:r>
          </w:p>
        </w:tc>
      </w:tr>
      <w:tr w:rsidR="00ED120B" w14:paraId="0D6FFD46" w14:textId="77777777" w:rsidTr="00017EF6">
        <w:trPr>
          <w:jc w:val="center"/>
        </w:trPr>
        <w:tc>
          <w:tcPr>
            <w:tcW w:w="1255" w:type="dxa"/>
          </w:tcPr>
          <w:p w14:paraId="3F650AF0" w14:textId="658D39F9" w:rsidR="00ED120B" w:rsidRDefault="00E07243" w:rsidP="000774E0">
            <w:pPr>
              <w:spacing w:line="480" w:lineRule="auto"/>
              <w:jc w:val="center"/>
              <w:rPr>
                <w:rFonts w:cs="Times New Roman"/>
                <w:szCs w:val="24"/>
              </w:rPr>
            </w:pPr>
            <w:r>
              <w:rPr>
                <w:rFonts w:cs="Times New Roman"/>
                <w:szCs w:val="24"/>
              </w:rPr>
              <w:t>2</w:t>
            </w:r>
          </w:p>
        </w:tc>
        <w:tc>
          <w:tcPr>
            <w:tcW w:w="5130" w:type="dxa"/>
          </w:tcPr>
          <w:p w14:paraId="22616518" w14:textId="26088964" w:rsidR="00ED120B" w:rsidRDefault="00E07243" w:rsidP="00E07243">
            <w:pPr>
              <w:spacing w:line="360" w:lineRule="auto"/>
              <w:rPr>
                <w:rFonts w:cs="Times New Roman"/>
                <w:szCs w:val="24"/>
              </w:rPr>
            </w:pPr>
            <w:r w:rsidRPr="00E07243">
              <w:rPr>
                <w:rFonts w:cs="Times New Roman"/>
                <w:szCs w:val="24"/>
              </w:rPr>
              <w:t>20% Uncoated NanoGard</w:t>
            </w:r>
            <w:r w:rsidRPr="00E07243">
              <w:rPr>
                <w:rFonts w:cs="Times New Roman"/>
                <w:szCs w:val="24"/>
                <w:vertAlign w:val="superscript"/>
              </w:rPr>
              <w:t>TM</w:t>
            </w:r>
            <w:r w:rsidRPr="00E07243">
              <w:rPr>
                <w:rFonts w:cs="Times New Roman"/>
                <w:szCs w:val="24"/>
              </w:rPr>
              <w:t xml:space="preserve"> in water</w:t>
            </w:r>
          </w:p>
        </w:tc>
      </w:tr>
      <w:tr w:rsidR="00ED120B" w14:paraId="0D4B8D92" w14:textId="77777777" w:rsidTr="00017EF6">
        <w:trPr>
          <w:jc w:val="center"/>
        </w:trPr>
        <w:tc>
          <w:tcPr>
            <w:tcW w:w="1255" w:type="dxa"/>
          </w:tcPr>
          <w:p w14:paraId="6D4F9D57" w14:textId="75F5FD6A" w:rsidR="00ED120B" w:rsidRDefault="00E07243" w:rsidP="000774E0">
            <w:pPr>
              <w:spacing w:line="480" w:lineRule="auto"/>
              <w:jc w:val="center"/>
              <w:rPr>
                <w:rFonts w:cs="Times New Roman"/>
                <w:szCs w:val="24"/>
              </w:rPr>
            </w:pPr>
            <w:r>
              <w:rPr>
                <w:rFonts w:cs="Times New Roman"/>
                <w:szCs w:val="24"/>
              </w:rPr>
              <w:t>3</w:t>
            </w:r>
          </w:p>
        </w:tc>
        <w:tc>
          <w:tcPr>
            <w:tcW w:w="5130" w:type="dxa"/>
          </w:tcPr>
          <w:p w14:paraId="22540B8B" w14:textId="52AC1B01" w:rsidR="00ED120B" w:rsidRDefault="00E07243" w:rsidP="00E07243">
            <w:pPr>
              <w:spacing w:line="360" w:lineRule="auto"/>
              <w:rPr>
                <w:rFonts w:cs="Times New Roman"/>
                <w:szCs w:val="24"/>
              </w:rPr>
            </w:pPr>
            <w:r w:rsidRPr="00E07243">
              <w:rPr>
                <w:rFonts w:cs="Times New Roman"/>
                <w:szCs w:val="24"/>
              </w:rPr>
              <w:t>20% Uncoated NanoTek</w:t>
            </w:r>
            <w:r w:rsidRPr="00E07243">
              <w:rPr>
                <w:rFonts w:cs="Times New Roman"/>
                <w:szCs w:val="24"/>
                <w:vertAlign w:val="superscript"/>
              </w:rPr>
              <w:t>TM</w:t>
            </w:r>
            <w:r w:rsidRPr="00E07243">
              <w:rPr>
                <w:rFonts w:cs="Times New Roman"/>
                <w:szCs w:val="24"/>
              </w:rPr>
              <w:t xml:space="preserve"> in ethanol</w:t>
            </w:r>
          </w:p>
        </w:tc>
      </w:tr>
      <w:tr w:rsidR="00ED120B" w:rsidRPr="0044385A" w14:paraId="278FF84F" w14:textId="77777777" w:rsidTr="00017EF6">
        <w:trPr>
          <w:jc w:val="center"/>
        </w:trPr>
        <w:tc>
          <w:tcPr>
            <w:tcW w:w="1255" w:type="dxa"/>
          </w:tcPr>
          <w:p w14:paraId="2682C4C0" w14:textId="7907C44A" w:rsidR="00ED120B" w:rsidRDefault="00E07243" w:rsidP="000774E0">
            <w:pPr>
              <w:spacing w:line="480" w:lineRule="auto"/>
              <w:jc w:val="center"/>
              <w:rPr>
                <w:rFonts w:cs="Times New Roman"/>
                <w:szCs w:val="24"/>
              </w:rPr>
            </w:pPr>
            <w:r>
              <w:rPr>
                <w:rFonts w:cs="Times New Roman"/>
                <w:szCs w:val="24"/>
              </w:rPr>
              <w:t>4</w:t>
            </w:r>
          </w:p>
        </w:tc>
        <w:tc>
          <w:tcPr>
            <w:tcW w:w="5130" w:type="dxa"/>
          </w:tcPr>
          <w:p w14:paraId="01C2C1C3" w14:textId="0C1380A9" w:rsidR="00ED120B" w:rsidRDefault="00E07243" w:rsidP="00E07243">
            <w:pPr>
              <w:spacing w:line="360" w:lineRule="auto"/>
              <w:rPr>
                <w:rFonts w:cs="Times New Roman"/>
                <w:szCs w:val="24"/>
              </w:rPr>
            </w:pPr>
            <w:r w:rsidRPr="00E07243">
              <w:rPr>
                <w:rFonts w:cs="Times New Roman"/>
                <w:szCs w:val="24"/>
              </w:rPr>
              <w:t>20% DDAO Coated NanoGard</w:t>
            </w:r>
            <w:r w:rsidRPr="00E07243">
              <w:rPr>
                <w:rFonts w:cs="Times New Roman"/>
                <w:szCs w:val="24"/>
                <w:vertAlign w:val="superscript"/>
              </w:rPr>
              <w:t>TM</w:t>
            </w:r>
            <w:r w:rsidRPr="00E07243">
              <w:rPr>
                <w:rFonts w:cs="Times New Roman"/>
                <w:szCs w:val="24"/>
              </w:rPr>
              <w:t xml:space="preserve"> in ethanol </w:t>
            </w:r>
          </w:p>
        </w:tc>
      </w:tr>
      <w:tr w:rsidR="00ED120B" w:rsidRPr="0044385A" w14:paraId="33CF0C74" w14:textId="77777777" w:rsidTr="00017EF6">
        <w:trPr>
          <w:jc w:val="center"/>
        </w:trPr>
        <w:tc>
          <w:tcPr>
            <w:tcW w:w="1255" w:type="dxa"/>
          </w:tcPr>
          <w:p w14:paraId="5935B775" w14:textId="3A024398" w:rsidR="00ED120B" w:rsidRDefault="00E07243" w:rsidP="000774E0">
            <w:pPr>
              <w:spacing w:line="480" w:lineRule="auto"/>
              <w:jc w:val="center"/>
              <w:rPr>
                <w:rFonts w:cs="Times New Roman"/>
                <w:szCs w:val="24"/>
              </w:rPr>
            </w:pPr>
            <w:r>
              <w:rPr>
                <w:rFonts w:cs="Times New Roman"/>
                <w:szCs w:val="24"/>
              </w:rPr>
              <w:t>5</w:t>
            </w:r>
          </w:p>
        </w:tc>
        <w:tc>
          <w:tcPr>
            <w:tcW w:w="5130" w:type="dxa"/>
          </w:tcPr>
          <w:p w14:paraId="7CCBDC4A" w14:textId="650F87EF" w:rsidR="00ED120B" w:rsidRDefault="00E07243" w:rsidP="00E07243">
            <w:pPr>
              <w:spacing w:line="360" w:lineRule="auto"/>
              <w:rPr>
                <w:rFonts w:cs="Times New Roman"/>
                <w:szCs w:val="24"/>
              </w:rPr>
            </w:pPr>
            <w:r w:rsidRPr="00E07243">
              <w:rPr>
                <w:rFonts w:cs="Times New Roman"/>
                <w:szCs w:val="24"/>
              </w:rPr>
              <w:t>20% DDAO Coated NanoTek</w:t>
            </w:r>
            <w:r w:rsidRPr="00E07243">
              <w:rPr>
                <w:rFonts w:cs="Times New Roman"/>
                <w:szCs w:val="24"/>
                <w:vertAlign w:val="superscript"/>
              </w:rPr>
              <w:t>TM</w:t>
            </w:r>
            <w:r w:rsidRPr="00E07243">
              <w:rPr>
                <w:rFonts w:cs="Times New Roman"/>
                <w:szCs w:val="24"/>
              </w:rPr>
              <w:t xml:space="preserve"> in ethanol</w:t>
            </w:r>
          </w:p>
        </w:tc>
      </w:tr>
      <w:tr w:rsidR="00ED120B" w:rsidRPr="0044385A" w14:paraId="4306A460" w14:textId="77777777" w:rsidTr="00017EF6">
        <w:trPr>
          <w:jc w:val="center"/>
        </w:trPr>
        <w:tc>
          <w:tcPr>
            <w:tcW w:w="1255" w:type="dxa"/>
          </w:tcPr>
          <w:p w14:paraId="291D8480" w14:textId="03E7E9AD" w:rsidR="00ED120B" w:rsidRDefault="00E07243" w:rsidP="000774E0">
            <w:pPr>
              <w:spacing w:line="480" w:lineRule="auto"/>
              <w:jc w:val="center"/>
              <w:rPr>
                <w:rFonts w:cs="Times New Roman"/>
                <w:szCs w:val="24"/>
              </w:rPr>
            </w:pPr>
            <w:r>
              <w:rPr>
                <w:rFonts w:cs="Times New Roman"/>
                <w:szCs w:val="24"/>
              </w:rPr>
              <w:t>6</w:t>
            </w:r>
          </w:p>
        </w:tc>
        <w:tc>
          <w:tcPr>
            <w:tcW w:w="5130" w:type="dxa"/>
          </w:tcPr>
          <w:p w14:paraId="6C70EB7A" w14:textId="3D183279" w:rsidR="00ED120B" w:rsidRDefault="00E07243" w:rsidP="00E07243">
            <w:pPr>
              <w:spacing w:line="360" w:lineRule="auto"/>
              <w:rPr>
                <w:rFonts w:cs="Times New Roman"/>
                <w:szCs w:val="24"/>
              </w:rPr>
            </w:pPr>
            <w:r w:rsidRPr="00E07243">
              <w:rPr>
                <w:rFonts w:cs="Times New Roman"/>
                <w:szCs w:val="24"/>
              </w:rPr>
              <w:t>20% DDAO Coated NanoGard</w:t>
            </w:r>
            <w:r w:rsidRPr="00E07243">
              <w:rPr>
                <w:rFonts w:cs="Times New Roman"/>
                <w:szCs w:val="24"/>
                <w:vertAlign w:val="superscript"/>
              </w:rPr>
              <w:t>TM</w:t>
            </w:r>
            <w:r w:rsidRPr="00E07243">
              <w:rPr>
                <w:rFonts w:cs="Times New Roman"/>
                <w:szCs w:val="24"/>
              </w:rPr>
              <w:t xml:space="preserve"> in water </w:t>
            </w:r>
          </w:p>
        </w:tc>
      </w:tr>
      <w:tr w:rsidR="00ED120B" w:rsidRPr="0044385A" w14:paraId="17627298" w14:textId="77777777" w:rsidTr="00017EF6">
        <w:trPr>
          <w:jc w:val="center"/>
        </w:trPr>
        <w:tc>
          <w:tcPr>
            <w:tcW w:w="1255" w:type="dxa"/>
          </w:tcPr>
          <w:p w14:paraId="70DCD6DB" w14:textId="72FC41F3" w:rsidR="00ED120B" w:rsidRDefault="00E07243" w:rsidP="000774E0">
            <w:pPr>
              <w:spacing w:line="480" w:lineRule="auto"/>
              <w:jc w:val="center"/>
              <w:rPr>
                <w:rFonts w:cs="Times New Roman"/>
                <w:szCs w:val="24"/>
              </w:rPr>
            </w:pPr>
            <w:r>
              <w:rPr>
                <w:rFonts w:cs="Times New Roman"/>
                <w:szCs w:val="24"/>
              </w:rPr>
              <w:t>7</w:t>
            </w:r>
          </w:p>
        </w:tc>
        <w:tc>
          <w:tcPr>
            <w:tcW w:w="5130" w:type="dxa"/>
          </w:tcPr>
          <w:p w14:paraId="632B838C" w14:textId="7879D129" w:rsidR="00ED120B" w:rsidRDefault="000774E0" w:rsidP="000774E0">
            <w:pPr>
              <w:spacing w:line="360" w:lineRule="auto"/>
              <w:rPr>
                <w:rFonts w:cs="Times New Roman"/>
                <w:szCs w:val="24"/>
              </w:rPr>
            </w:pPr>
            <w:r w:rsidRPr="00E07243">
              <w:rPr>
                <w:rFonts w:cs="Times New Roman"/>
                <w:szCs w:val="24"/>
              </w:rPr>
              <w:t>20% DDAO Coated NanoTek</w:t>
            </w:r>
            <w:r w:rsidRPr="00E07243">
              <w:rPr>
                <w:rFonts w:cs="Times New Roman"/>
                <w:szCs w:val="24"/>
                <w:vertAlign w:val="superscript"/>
              </w:rPr>
              <w:t>TM</w:t>
            </w:r>
            <w:r w:rsidRPr="00E07243">
              <w:rPr>
                <w:rFonts w:cs="Times New Roman"/>
                <w:szCs w:val="24"/>
              </w:rPr>
              <w:t xml:space="preserve"> in water</w:t>
            </w:r>
          </w:p>
        </w:tc>
      </w:tr>
      <w:tr w:rsidR="00ED120B" w14:paraId="073300C1" w14:textId="77777777" w:rsidTr="00017EF6">
        <w:trPr>
          <w:jc w:val="center"/>
        </w:trPr>
        <w:tc>
          <w:tcPr>
            <w:tcW w:w="1255" w:type="dxa"/>
          </w:tcPr>
          <w:p w14:paraId="36D2F7CD" w14:textId="527AF8A5" w:rsidR="00ED120B" w:rsidRDefault="00E07243" w:rsidP="000774E0">
            <w:pPr>
              <w:spacing w:line="480" w:lineRule="auto"/>
              <w:jc w:val="center"/>
              <w:rPr>
                <w:rFonts w:cs="Times New Roman"/>
                <w:szCs w:val="24"/>
              </w:rPr>
            </w:pPr>
            <w:r>
              <w:rPr>
                <w:rFonts w:cs="Times New Roman"/>
                <w:szCs w:val="24"/>
              </w:rPr>
              <w:t>8</w:t>
            </w:r>
          </w:p>
        </w:tc>
        <w:tc>
          <w:tcPr>
            <w:tcW w:w="5130" w:type="dxa"/>
          </w:tcPr>
          <w:p w14:paraId="5679515B" w14:textId="6D9E3BB5" w:rsidR="00ED120B" w:rsidRDefault="000774E0" w:rsidP="000774E0">
            <w:pPr>
              <w:spacing w:line="480" w:lineRule="auto"/>
              <w:rPr>
                <w:rFonts w:cs="Times New Roman"/>
                <w:szCs w:val="24"/>
              </w:rPr>
            </w:pPr>
            <w:r w:rsidRPr="00E07243">
              <w:rPr>
                <w:rFonts w:cs="Times New Roman"/>
                <w:szCs w:val="24"/>
              </w:rPr>
              <w:t>20% DDAO</w:t>
            </w:r>
            <w:r w:rsidR="00DA3048">
              <w:rPr>
                <w:rFonts w:cs="Times New Roman"/>
                <w:szCs w:val="24"/>
              </w:rPr>
              <w:t xml:space="preserve"> solution</w:t>
            </w:r>
          </w:p>
        </w:tc>
      </w:tr>
    </w:tbl>
    <w:p w14:paraId="3D72114A" w14:textId="77777777" w:rsidR="00ED120B" w:rsidRPr="00241A81" w:rsidRDefault="00ED120B" w:rsidP="008A288E">
      <w:pPr>
        <w:spacing w:after="0" w:line="480" w:lineRule="auto"/>
        <w:jc w:val="both"/>
        <w:rPr>
          <w:rFonts w:cs="Times New Roman"/>
          <w:szCs w:val="24"/>
          <w:lang w:val="en-US"/>
        </w:rPr>
      </w:pPr>
    </w:p>
    <w:p w14:paraId="14DAF3D9" w14:textId="5081B607" w:rsidR="006D2F3D" w:rsidRDefault="006C4196" w:rsidP="00DE44EE">
      <w:pPr>
        <w:spacing w:after="0" w:line="480" w:lineRule="auto"/>
        <w:ind w:firstLine="708"/>
        <w:jc w:val="both"/>
        <w:rPr>
          <w:rFonts w:cs="Times New Roman"/>
          <w:szCs w:val="24"/>
          <w:lang w:val="en-US"/>
        </w:rPr>
      </w:pPr>
      <w:r>
        <w:rPr>
          <w:rFonts w:cs="Times New Roman"/>
          <w:szCs w:val="24"/>
          <w:lang w:val="en-US"/>
        </w:rPr>
        <w:t>Fabricated nanoparticles were added to the d</w:t>
      </w:r>
      <w:r w:rsidR="008A288E" w:rsidRPr="00241A81">
        <w:rPr>
          <w:rFonts w:cs="Times New Roman"/>
          <w:szCs w:val="24"/>
          <w:lang w:val="en-US"/>
        </w:rPr>
        <w:t xml:space="preserve">ental adhesive resin </w:t>
      </w:r>
      <w:r w:rsidR="00D529C8">
        <w:rPr>
          <w:rFonts w:cs="Times New Roman"/>
          <w:szCs w:val="24"/>
          <w:lang w:val="en-US"/>
        </w:rPr>
        <w:t>at 2</w:t>
      </w:r>
      <w:r w:rsidR="00BF1FEE">
        <w:rPr>
          <w:rFonts w:cs="Times New Roman"/>
          <w:szCs w:val="24"/>
          <w:lang w:val="en-US"/>
        </w:rPr>
        <w:t>0</w:t>
      </w:r>
      <w:r w:rsidR="00D529C8">
        <w:rPr>
          <w:rFonts w:cs="Times New Roman"/>
          <w:szCs w:val="24"/>
          <w:lang w:val="en-US"/>
        </w:rPr>
        <w:t xml:space="preserve">% </w:t>
      </w:r>
      <w:r w:rsidR="00CB05DE">
        <w:rPr>
          <w:rFonts w:cs="Times New Roman"/>
          <w:szCs w:val="24"/>
          <w:lang w:val="en-US"/>
        </w:rPr>
        <w:t>(</w:t>
      </w:r>
      <w:r w:rsidR="00D529C8">
        <w:rPr>
          <w:rFonts w:cs="Times New Roman"/>
          <w:szCs w:val="24"/>
          <w:lang w:val="en-US"/>
        </w:rPr>
        <w:t>wt/wt</w:t>
      </w:r>
      <w:r w:rsidR="00CB05DE">
        <w:rPr>
          <w:rFonts w:cs="Times New Roman"/>
          <w:szCs w:val="24"/>
          <w:lang w:val="en-US"/>
        </w:rPr>
        <w:t>)</w:t>
      </w:r>
      <w:r w:rsidR="008A288E" w:rsidRPr="00241A81">
        <w:rPr>
          <w:rFonts w:cs="Times New Roman"/>
          <w:szCs w:val="24"/>
          <w:lang w:val="en-US"/>
        </w:rPr>
        <w:t>. Each nanoparticle mixture was weighed on an analytical balance</w:t>
      </w:r>
      <w:r w:rsidR="003A1254">
        <w:rPr>
          <w:rFonts w:cs="Times New Roman"/>
          <w:szCs w:val="24"/>
          <w:lang w:val="en-US"/>
        </w:rPr>
        <w:t xml:space="preserve"> at 1.</w:t>
      </w:r>
      <w:r w:rsidR="0017263C">
        <w:rPr>
          <w:rFonts w:cs="Times New Roman"/>
          <w:szCs w:val="24"/>
          <w:lang w:val="en-US"/>
        </w:rPr>
        <w:t xml:space="preserve">39 </w:t>
      </w:r>
      <w:r w:rsidR="0017263C" w:rsidRPr="00241A81">
        <w:rPr>
          <w:rFonts w:cs="Times New Roman"/>
          <w:szCs w:val="24"/>
          <w:lang w:val="en-US"/>
        </w:rPr>
        <w:t>±</w:t>
      </w:r>
      <w:r w:rsidR="0017263C">
        <w:rPr>
          <w:rFonts w:cs="Times New Roman"/>
          <w:szCs w:val="24"/>
          <w:lang w:val="en-US"/>
        </w:rPr>
        <w:t xml:space="preserve"> 0.05 grams</w:t>
      </w:r>
      <w:r w:rsidR="008A288E" w:rsidRPr="00241A81">
        <w:rPr>
          <w:rFonts w:cs="Times New Roman"/>
          <w:szCs w:val="24"/>
          <w:lang w:val="en-US"/>
        </w:rPr>
        <w:t xml:space="preserve"> then </w:t>
      </w:r>
      <w:r w:rsidR="0017263C">
        <w:rPr>
          <w:rFonts w:cs="Times New Roman"/>
          <w:szCs w:val="24"/>
          <w:lang w:val="en-US"/>
        </w:rPr>
        <w:t xml:space="preserve">added to </w:t>
      </w:r>
      <w:r w:rsidR="00BF1FEE">
        <w:rPr>
          <w:rFonts w:cs="Times New Roman"/>
          <w:szCs w:val="24"/>
          <w:lang w:val="en-US"/>
        </w:rPr>
        <w:t>5.</w:t>
      </w:r>
      <w:r w:rsidR="00FE4CA5">
        <w:rPr>
          <w:rFonts w:cs="Times New Roman"/>
          <w:szCs w:val="24"/>
          <w:lang w:val="en-US"/>
        </w:rPr>
        <w:t>56</w:t>
      </w:r>
      <w:r w:rsidR="007719E0">
        <w:rPr>
          <w:rFonts w:cs="Times New Roman"/>
          <w:szCs w:val="24"/>
          <w:lang w:val="en-US"/>
        </w:rPr>
        <w:t xml:space="preserve"> grams of adhesive</w:t>
      </w:r>
      <w:r w:rsidR="008A288E" w:rsidRPr="00241A81">
        <w:rPr>
          <w:rFonts w:cs="Times New Roman"/>
          <w:szCs w:val="24"/>
          <w:lang w:val="en-US"/>
        </w:rPr>
        <w:t xml:space="preserve">. </w:t>
      </w:r>
      <w:r w:rsidR="005B2D6B">
        <w:rPr>
          <w:rFonts w:cs="Times New Roman"/>
          <w:szCs w:val="24"/>
          <w:lang w:val="en-US"/>
        </w:rPr>
        <w:t xml:space="preserve">For group 8, 1.25 mL of DDAO was added to </w:t>
      </w:r>
      <w:r w:rsidR="00E931DB">
        <w:rPr>
          <w:rFonts w:cs="Times New Roman"/>
          <w:szCs w:val="24"/>
          <w:lang w:val="en-US"/>
        </w:rPr>
        <w:t xml:space="preserve">5 mL of adhesive. </w:t>
      </w:r>
      <w:r w:rsidR="008A288E" w:rsidRPr="00241A81">
        <w:rPr>
          <w:rFonts w:cs="Times New Roman"/>
          <w:szCs w:val="24"/>
          <w:lang w:val="en-US"/>
        </w:rPr>
        <w:t>The tub</w:t>
      </w:r>
      <w:r w:rsidR="00E931DB">
        <w:rPr>
          <w:rFonts w:cs="Times New Roman"/>
          <w:szCs w:val="24"/>
          <w:lang w:val="en-US"/>
        </w:rPr>
        <w:t>es</w:t>
      </w:r>
      <w:r w:rsidR="008A288E" w:rsidRPr="00241A81">
        <w:rPr>
          <w:rFonts w:cs="Times New Roman"/>
          <w:szCs w:val="24"/>
          <w:lang w:val="en-US"/>
        </w:rPr>
        <w:t xml:space="preserve"> w</w:t>
      </w:r>
      <w:r w:rsidR="00E931DB">
        <w:rPr>
          <w:rFonts w:cs="Times New Roman"/>
          <w:szCs w:val="24"/>
          <w:lang w:val="en-US"/>
        </w:rPr>
        <w:t>ere</w:t>
      </w:r>
      <w:r w:rsidR="008A288E" w:rsidRPr="00241A81">
        <w:rPr>
          <w:rFonts w:cs="Times New Roman"/>
          <w:szCs w:val="24"/>
          <w:lang w:val="en-US"/>
        </w:rPr>
        <w:t xml:space="preserve"> wrapped in foil to prevent polymerization of the adhesive when exposed to light. The tube was sonicated using a microtip for 2 minutes total on amplitude 100 for three 40 second intervals with 15 second breaks in between intervals. The tube was submerged in an ice bath to prevent heating for the duration of sonication. Once sonication is complete, the adhesive is used to make the samples for measurement on the contact angle goniometer. The adhesive </w:t>
      </w:r>
      <w:r w:rsidR="008A288E">
        <w:rPr>
          <w:rFonts w:cs="Times New Roman"/>
          <w:szCs w:val="24"/>
          <w:lang w:val="en-US"/>
        </w:rPr>
        <w:t xml:space="preserve">is </w:t>
      </w:r>
      <w:r w:rsidR="008A288E" w:rsidRPr="00241A81">
        <w:rPr>
          <w:rFonts w:cs="Times New Roman"/>
          <w:szCs w:val="24"/>
          <w:lang w:val="en-US"/>
        </w:rPr>
        <w:t>wrapped in foil and stored in a dark, room temperature drawer</w:t>
      </w:r>
      <w:r w:rsidR="008A288E">
        <w:rPr>
          <w:rFonts w:cs="Times New Roman"/>
          <w:szCs w:val="24"/>
          <w:lang w:val="en-US"/>
        </w:rPr>
        <w:t xml:space="preserve"> and sonicated before each use</w:t>
      </w:r>
      <w:r w:rsidR="008A288E" w:rsidRPr="00241A81">
        <w:rPr>
          <w:rFonts w:cs="Times New Roman"/>
          <w:szCs w:val="24"/>
          <w:lang w:val="en-US"/>
        </w:rPr>
        <w:t>.</w:t>
      </w:r>
    </w:p>
    <w:p w14:paraId="4001337E" w14:textId="00A94DBA" w:rsidR="00FD73B7" w:rsidRPr="00241A81" w:rsidRDefault="008178EB" w:rsidP="004C6611">
      <w:pPr>
        <w:spacing w:line="480" w:lineRule="auto"/>
        <w:ind w:firstLine="708"/>
        <w:jc w:val="both"/>
        <w:rPr>
          <w:rFonts w:cs="Times New Roman"/>
          <w:szCs w:val="24"/>
          <w:lang w:val="en-US"/>
        </w:rPr>
      </w:pPr>
      <w:r>
        <w:rPr>
          <w:rFonts w:cs="Times New Roman"/>
          <w:szCs w:val="24"/>
          <w:lang w:val="en-US"/>
        </w:rPr>
        <w:t>After t</w:t>
      </w:r>
      <w:r w:rsidR="00FD73B7" w:rsidRPr="00241A81">
        <w:rPr>
          <w:rFonts w:cs="Times New Roman"/>
          <w:szCs w:val="24"/>
          <w:lang w:val="en-US"/>
        </w:rPr>
        <w:t>he nanoparticles were added to the adhesive</w:t>
      </w:r>
      <w:r>
        <w:rPr>
          <w:rFonts w:cs="Times New Roman"/>
          <w:szCs w:val="24"/>
          <w:lang w:val="en-US"/>
        </w:rPr>
        <w:t>,</w:t>
      </w:r>
      <w:r w:rsidR="00FD73B7" w:rsidRPr="00241A81">
        <w:rPr>
          <w:rFonts w:cs="Times New Roman"/>
          <w:szCs w:val="24"/>
          <w:lang w:val="en-US"/>
        </w:rPr>
        <w:t xml:space="preserve"> small disc-like pellets were made by using approximately </w:t>
      </w:r>
      <w:r w:rsidR="00A8682D">
        <w:rPr>
          <w:rFonts w:cs="Times New Roman"/>
          <w:szCs w:val="24"/>
          <w:lang w:val="en-US"/>
        </w:rPr>
        <w:t>200</w:t>
      </w:r>
      <w:r w:rsidR="008E3ADA">
        <w:rPr>
          <w:rFonts w:cs="Times New Roman"/>
          <w:szCs w:val="24"/>
          <w:lang w:val="en-US"/>
        </w:rPr>
        <w:t>μL</w:t>
      </w:r>
      <w:r w:rsidR="00FD73B7" w:rsidRPr="00241A81">
        <w:rPr>
          <w:rFonts w:cs="Times New Roman"/>
          <w:szCs w:val="24"/>
          <w:lang w:val="en-US"/>
        </w:rPr>
        <w:t xml:space="preserve"> of adhesive mixture per pellet. </w:t>
      </w:r>
      <w:r w:rsidR="00F7528F">
        <w:rPr>
          <w:rFonts w:cs="Times New Roman"/>
          <w:szCs w:val="24"/>
          <w:lang w:val="en-US"/>
        </w:rPr>
        <w:t xml:space="preserve">A </w:t>
      </w:r>
      <w:r w:rsidR="00B60B93">
        <w:rPr>
          <w:rFonts w:cs="Times New Roman"/>
          <w:szCs w:val="24"/>
          <w:lang w:val="en-US"/>
        </w:rPr>
        <w:t>metal</w:t>
      </w:r>
      <w:r w:rsidR="00FD73B7" w:rsidRPr="00241A81">
        <w:rPr>
          <w:rFonts w:cs="Times New Roman"/>
          <w:szCs w:val="24"/>
          <w:lang w:val="en-US"/>
        </w:rPr>
        <w:t xml:space="preserve"> mold with eight small circles </w:t>
      </w:r>
      <w:r w:rsidR="00325EE3">
        <w:rPr>
          <w:rFonts w:cs="Times New Roman"/>
          <w:szCs w:val="24"/>
          <w:lang w:val="en-US"/>
        </w:rPr>
        <w:t>(</w:t>
      </w:r>
      <w:r w:rsidR="00FD73B7" w:rsidRPr="00241A81">
        <w:rPr>
          <w:rFonts w:cs="Times New Roman"/>
          <w:szCs w:val="24"/>
          <w:lang w:val="en-US"/>
        </w:rPr>
        <w:t xml:space="preserve">diameter of </w:t>
      </w:r>
      <w:r w:rsidR="00FD73B7" w:rsidRPr="0073313B">
        <w:rPr>
          <w:rFonts w:cs="Times New Roman"/>
          <w:szCs w:val="24"/>
          <w:lang w:val="en-US"/>
        </w:rPr>
        <w:t>6mm</w:t>
      </w:r>
      <w:r w:rsidR="00325EE3">
        <w:rPr>
          <w:rFonts w:cs="Times New Roman"/>
          <w:szCs w:val="24"/>
          <w:lang w:val="en-US"/>
        </w:rPr>
        <w:t xml:space="preserve"> x height 1.1mm)</w:t>
      </w:r>
      <w:r w:rsidR="00FD73B7" w:rsidRPr="00241A81">
        <w:rPr>
          <w:rFonts w:cs="Times New Roman"/>
          <w:szCs w:val="24"/>
          <w:lang w:val="en-US"/>
        </w:rPr>
        <w:t xml:space="preserve"> was used to create the pellets (</w:t>
      </w:r>
      <w:r w:rsidR="00F8086C">
        <w:rPr>
          <w:rFonts w:cs="Times New Roman"/>
          <w:b/>
          <w:szCs w:val="24"/>
          <w:lang w:val="en-US"/>
        </w:rPr>
        <w:fldChar w:fldCharType="begin"/>
      </w:r>
      <w:r w:rsidR="00F8086C">
        <w:rPr>
          <w:rFonts w:cs="Times New Roman"/>
          <w:szCs w:val="24"/>
          <w:lang w:val="en-US"/>
        </w:rPr>
        <w:instrText xml:space="preserve"> REF _Ref36305279 \h </w:instrText>
      </w:r>
      <w:r w:rsidR="00F8086C">
        <w:rPr>
          <w:rFonts w:cs="Times New Roman"/>
          <w:b/>
          <w:szCs w:val="24"/>
          <w:lang w:val="en-US"/>
        </w:rPr>
      </w:r>
      <w:r w:rsidR="00F8086C">
        <w:rPr>
          <w:rFonts w:cs="Times New Roman"/>
          <w:b/>
          <w:szCs w:val="24"/>
          <w:lang w:val="en-US"/>
        </w:rPr>
        <w:fldChar w:fldCharType="separate"/>
      </w:r>
      <w:r w:rsidR="0008188F" w:rsidRPr="00241A81">
        <w:rPr>
          <w:rFonts w:cs="Times New Roman"/>
          <w:sz w:val="22"/>
          <w:szCs w:val="24"/>
          <w:lang w:val="en-US"/>
        </w:rPr>
        <w:t xml:space="preserve">Figure </w:t>
      </w:r>
      <w:r w:rsidR="0008188F">
        <w:rPr>
          <w:rFonts w:cs="Times New Roman"/>
          <w:noProof/>
          <w:sz w:val="22"/>
          <w:szCs w:val="24"/>
          <w:lang w:val="en-US"/>
        </w:rPr>
        <w:t>15</w:t>
      </w:r>
      <w:r w:rsidR="00F8086C">
        <w:rPr>
          <w:rFonts w:cs="Times New Roman"/>
          <w:b/>
          <w:szCs w:val="24"/>
          <w:lang w:val="en-US"/>
        </w:rPr>
        <w:fldChar w:fldCharType="end"/>
      </w:r>
      <w:r w:rsidR="00FD73B7" w:rsidRPr="00241A81">
        <w:rPr>
          <w:rFonts w:cs="Times New Roman"/>
          <w:szCs w:val="24"/>
          <w:lang w:val="en-US"/>
        </w:rPr>
        <w:t>). Each circular cut out was identical.</w:t>
      </w:r>
    </w:p>
    <w:p w14:paraId="092137C0" w14:textId="77777777" w:rsidR="00FD73B7" w:rsidRPr="00241A81" w:rsidRDefault="00FD73B7" w:rsidP="00FD73B7">
      <w:pPr>
        <w:spacing w:line="480" w:lineRule="auto"/>
        <w:jc w:val="center"/>
        <w:rPr>
          <w:rFonts w:cs="Times New Roman"/>
          <w:szCs w:val="24"/>
          <w:lang w:val="en-US"/>
        </w:rPr>
      </w:pPr>
      <w:r w:rsidRPr="00241A81">
        <w:rPr>
          <w:rFonts w:cs="Times New Roman"/>
          <w:noProof/>
          <w:szCs w:val="24"/>
          <w:lang w:val="en-US"/>
        </w:rPr>
        <w:drawing>
          <wp:inline distT="0" distB="0" distL="0" distR="0" wp14:anchorId="2E9F6B06" wp14:editId="60DE1CB7">
            <wp:extent cx="1357561" cy="5172875"/>
            <wp:effectExtent l="0" t="285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Pellet mold.jpg"/>
                    <pic:cNvPicPr/>
                  </pic:nvPicPr>
                  <pic:blipFill rotWithShape="1">
                    <a:blip r:embed="rId32" cstate="print">
                      <a:extLst>
                        <a:ext uri="{28A0092B-C50C-407E-A947-70E740481C1C}">
                          <a14:useLocalDpi xmlns:a14="http://schemas.microsoft.com/office/drawing/2010/main" val="0"/>
                        </a:ext>
                      </a:extLst>
                    </a:blip>
                    <a:srcRect l="25496" t="5957" r="43672" b="5932"/>
                    <a:stretch/>
                  </pic:blipFill>
                  <pic:spPr bwMode="auto">
                    <a:xfrm rot="16200000">
                      <a:off x="0" y="0"/>
                      <a:ext cx="1378948" cy="5254368"/>
                    </a:xfrm>
                    <a:prstGeom prst="rect">
                      <a:avLst/>
                    </a:prstGeom>
                    <a:ln>
                      <a:noFill/>
                    </a:ln>
                    <a:extLst>
                      <a:ext uri="{53640926-AAD7-44D8-BBD7-CCE9431645EC}">
                        <a14:shadowObscured xmlns:a14="http://schemas.microsoft.com/office/drawing/2010/main"/>
                      </a:ext>
                    </a:extLst>
                  </pic:spPr>
                </pic:pic>
              </a:graphicData>
            </a:graphic>
          </wp:inline>
        </w:drawing>
      </w:r>
    </w:p>
    <w:p w14:paraId="5A648575" w14:textId="1B907458" w:rsidR="00FD73B7" w:rsidRPr="00241A81" w:rsidRDefault="00FD73B7" w:rsidP="00FD73B7">
      <w:pPr>
        <w:pStyle w:val="Caption"/>
        <w:spacing w:line="480" w:lineRule="auto"/>
        <w:rPr>
          <w:rFonts w:cs="Times New Roman"/>
          <w:sz w:val="22"/>
          <w:szCs w:val="24"/>
          <w:lang w:val="en-US"/>
        </w:rPr>
      </w:pPr>
      <w:bookmarkStart w:id="75" w:name="_Ref36305279"/>
      <w:bookmarkStart w:id="76" w:name="_Toc45837586"/>
      <w:r w:rsidRPr="00241A81">
        <w:rPr>
          <w:rFonts w:cs="Times New Roman"/>
          <w:sz w:val="22"/>
          <w:szCs w:val="24"/>
          <w:lang w:val="en-US"/>
        </w:rPr>
        <w:t xml:space="preserve">Figure </w:t>
      </w:r>
      <w:r w:rsidRPr="00241A81">
        <w:rPr>
          <w:rFonts w:cs="Times New Roman"/>
          <w:sz w:val="22"/>
          <w:szCs w:val="24"/>
        </w:rPr>
        <w:fldChar w:fldCharType="begin"/>
      </w:r>
      <w:r w:rsidRPr="00241A81">
        <w:rPr>
          <w:rFonts w:cs="Times New Roman"/>
          <w:sz w:val="22"/>
          <w:szCs w:val="24"/>
          <w:lang w:val="en-US"/>
        </w:rPr>
        <w:instrText xml:space="preserve"> SEQ Figure \* ARABIC </w:instrText>
      </w:r>
      <w:r w:rsidRPr="00241A81">
        <w:rPr>
          <w:rFonts w:cs="Times New Roman"/>
          <w:sz w:val="22"/>
          <w:szCs w:val="24"/>
        </w:rPr>
        <w:fldChar w:fldCharType="separate"/>
      </w:r>
      <w:r w:rsidR="0008188F">
        <w:rPr>
          <w:rFonts w:cs="Times New Roman"/>
          <w:noProof/>
          <w:sz w:val="22"/>
          <w:szCs w:val="24"/>
          <w:lang w:val="en-US"/>
        </w:rPr>
        <w:t>15</w:t>
      </w:r>
      <w:r w:rsidRPr="00241A81">
        <w:rPr>
          <w:rFonts w:cs="Times New Roman"/>
          <w:sz w:val="22"/>
          <w:szCs w:val="24"/>
        </w:rPr>
        <w:fldChar w:fldCharType="end"/>
      </w:r>
      <w:bookmarkEnd w:id="75"/>
      <w:r w:rsidRPr="00241A81">
        <w:rPr>
          <w:rFonts w:cs="Times New Roman"/>
          <w:sz w:val="22"/>
          <w:szCs w:val="24"/>
          <w:lang w:val="en-US"/>
        </w:rPr>
        <w:t xml:space="preserve"> – Silver </w:t>
      </w:r>
      <w:r w:rsidR="00B35C17">
        <w:rPr>
          <w:rFonts w:cs="Times New Roman"/>
          <w:sz w:val="22"/>
          <w:szCs w:val="24"/>
          <w:lang w:val="en-US"/>
        </w:rPr>
        <w:t>m</w:t>
      </w:r>
      <w:r w:rsidRPr="00241A81">
        <w:rPr>
          <w:rFonts w:cs="Times New Roman"/>
          <w:sz w:val="22"/>
          <w:szCs w:val="24"/>
          <w:lang w:val="en-US"/>
        </w:rPr>
        <w:t>old for adhesive pellets</w:t>
      </w:r>
      <w:bookmarkEnd w:id="76"/>
    </w:p>
    <w:p w14:paraId="5D60C8FF" w14:textId="62825206" w:rsidR="00FD73B7" w:rsidRPr="00241A81" w:rsidRDefault="00FD73B7" w:rsidP="004C6611">
      <w:pPr>
        <w:spacing w:line="480" w:lineRule="auto"/>
        <w:ind w:firstLine="708"/>
        <w:jc w:val="both"/>
        <w:rPr>
          <w:rFonts w:cs="Times New Roman"/>
          <w:szCs w:val="24"/>
          <w:lang w:val="en-US"/>
        </w:rPr>
      </w:pPr>
      <w:r w:rsidRPr="00241A81">
        <w:rPr>
          <w:rFonts w:cs="Times New Roman"/>
          <w:szCs w:val="24"/>
          <w:lang w:val="en-US"/>
        </w:rPr>
        <w:t xml:space="preserve">A glass cover slip, 12mm diameter, was placed over each of the circular cut out on the bottom of the mold. One piece of </w:t>
      </w:r>
      <w:r w:rsidR="00C84B0B" w:rsidRPr="00241A81">
        <w:rPr>
          <w:rFonts w:cs="Times New Roman"/>
          <w:szCs w:val="24"/>
          <w:lang w:val="en-US"/>
        </w:rPr>
        <w:t>double-sided</w:t>
      </w:r>
      <w:r w:rsidRPr="00241A81">
        <w:rPr>
          <w:rFonts w:cs="Times New Roman"/>
          <w:szCs w:val="24"/>
          <w:lang w:val="en-US"/>
        </w:rPr>
        <w:t xml:space="preserve"> tape was placed over all the holes with cover slips on them. A gloved hand was used to create the seal between the tape, mold, and glass cover slip. The mold was turned over and stuck to a glass block and was sealed again using a gloved hand. A flat tipped tool was used to press the inside of the glass cover slip to the </w:t>
      </w:r>
      <w:r w:rsidR="00C84B0B" w:rsidRPr="00241A81">
        <w:rPr>
          <w:rFonts w:cs="Times New Roman"/>
          <w:szCs w:val="24"/>
          <w:lang w:val="en-US"/>
        </w:rPr>
        <w:t>double-sided</w:t>
      </w:r>
      <w:r w:rsidRPr="00241A81">
        <w:rPr>
          <w:rFonts w:cs="Times New Roman"/>
          <w:szCs w:val="24"/>
          <w:lang w:val="en-US"/>
        </w:rPr>
        <w:t xml:space="preserve"> tape. The mold was filled with Optibond adhesive and another glass cover slip was dropped over the mold to create a smooth pellet surface. UV light was used to cure the adhesive for four cycles of 20 seconds on the top of each pellet. The mold was turned over and cured with UV light for two cycles of 20 seconds. Then the tape was pulled off along with the glass slips on the back side and the pellets were removed from the mold. If there was access adhesive on the pellet, the pellet was pushed back through the mold to ensure a circular pellet (</w:t>
      </w:r>
      <w:r w:rsidR="00F8086C">
        <w:rPr>
          <w:rFonts w:cs="Times New Roman"/>
          <w:b/>
          <w:szCs w:val="24"/>
          <w:lang w:val="en-US"/>
        </w:rPr>
        <w:fldChar w:fldCharType="begin"/>
      </w:r>
      <w:r w:rsidR="00F8086C">
        <w:rPr>
          <w:rFonts w:cs="Times New Roman"/>
          <w:szCs w:val="24"/>
          <w:lang w:val="en-US"/>
        </w:rPr>
        <w:instrText xml:space="preserve"> REF _Ref36305290 \h </w:instrText>
      </w:r>
      <w:r w:rsidR="00F8086C">
        <w:rPr>
          <w:rFonts w:cs="Times New Roman"/>
          <w:b/>
          <w:szCs w:val="24"/>
          <w:lang w:val="en-US"/>
        </w:rPr>
      </w:r>
      <w:r w:rsidR="00F8086C">
        <w:rPr>
          <w:rFonts w:cs="Times New Roman"/>
          <w:b/>
          <w:szCs w:val="24"/>
          <w:lang w:val="en-US"/>
        </w:rPr>
        <w:fldChar w:fldCharType="separate"/>
      </w:r>
      <w:r w:rsidR="0008188F" w:rsidRPr="00241A81">
        <w:rPr>
          <w:rFonts w:cs="Times New Roman"/>
          <w:sz w:val="22"/>
          <w:szCs w:val="24"/>
          <w:lang w:val="en-US"/>
        </w:rPr>
        <w:t xml:space="preserve">Figure </w:t>
      </w:r>
      <w:r w:rsidR="0008188F">
        <w:rPr>
          <w:rFonts w:cs="Times New Roman"/>
          <w:noProof/>
          <w:sz w:val="22"/>
          <w:szCs w:val="24"/>
          <w:lang w:val="en-US"/>
        </w:rPr>
        <w:t>16</w:t>
      </w:r>
      <w:r w:rsidR="00F8086C">
        <w:rPr>
          <w:rFonts w:cs="Times New Roman"/>
          <w:b/>
          <w:szCs w:val="24"/>
          <w:lang w:val="en-US"/>
        </w:rPr>
        <w:fldChar w:fldCharType="end"/>
      </w:r>
      <w:r w:rsidRPr="00241A81">
        <w:rPr>
          <w:rFonts w:cs="Times New Roman"/>
          <w:szCs w:val="24"/>
          <w:lang w:val="en-US"/>
        </w:rPr>
        <w:t>).</w:t>
      </w:r>
      <w:r w:rsidR="00BC34F5">
        <w:rPr>
          <w:rFonts w:cs="Times New Roman"/>
          <w:szCs w:val="24"/>
          <w:lang w:val="en-US"/>
        </w:rPr>
        <w:t xml:space="preserve"> Six replicates were made for each of the groups every time the specimens were tested (n=6 for every test). </w:t>
      </w:r>
      <w:r w:rsidR="003D3D2C">
        <w:rPr>
          <w:rFonts w:cs="Times New Roman"/>
          <w:szCs w:val="24"/>
          <w:lang w:val="en-US"/>
        </w:rPr>
        <w:t>Bioluminescence t</w:t>
      </w:r>
      <w:r w:rsidR="00BC34F5">
        <w:rPr>
          <w:rFonts w:cs="Times New Roman"/>
          <w:szCs w:val="24"/>
          <w:lang w:val="en-US"/>
        </w:rPr>
        <w:t>esting was conducted once a week for three weeks (n total=18 per sample group).</w:t>
      </w:r>
    </w:p>
    <w:p w14:paraId="39DFD3E9" w14:textId="77777777" w:rsidR="00FD73B7" w:rsidRPr="00241A81" w:rsidRDefault="00FD73B7" w:rsidP="00FD73B7">
      <w:pPr>
        <w:spacing w:after="0" w:line="480" w:lineRule="auto"/>
        <w:jc w:val="center"/>
        <w:rPr>
          <w:rFonts w:cs="Times New Roman"/>
          <w:szCs w:val="24"/>
          <w:lang w:val="en-US"/>
        </w:rPr>
      </w:pPr>
      <w:r w:rsidRPr="00241A81">
        <w:rPr>
          <w:rFonts w:cs="Times New Roman"/>
          <w:noProof/>
          <w:szCs w:val="24"/>
          <w:lang w:val="en-US"/>
        </w:rPr>
        <w:drawing>
          <wp:inline distT="0" distB="0" distL="0" distR="0" wp14:anchorId="18385CB6" wp14:editId="33A023E7">
            <wp:extent cx="2692400" cy="298449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spec1.jpg"/>
                    <pic:cNvPicPr/>
                  </pic:nvPicPr>
                  <pic:blipFill rotWithShape="1">
                    <a:blip r:embed="rId33">
                      <a:extLst>
                        <a:ext uri="{28A0092B-C50C-407E-A947-70E740481C1C}">
                          <a14:useLocalDpi xmlns:a14="http://schemas.microsoft.com/office/drawing/2010/main" val="0"/>
                        </a:ext>
                      </a:extLst>
                    </a:blip>
                    <a:srcRect l="50093" t="9417" r="-825" b="15608"/>
                    <a:stretch/>
                  </pic:blipFill>
                  <pic:spPr bwMode="auto">
                    <a:xfrm>
                      <a:off x="0" y="0"/>
                      <a:ext cx="2872948" cy="3184635"/>
                    </a:xfrm>
                    <a:prstGeom prst="rect">
                      <a:avLst/>
                    </a:prstGeom>
                    <a:ln>
                      <a:noFill/>
                    </a:ln>
                    <a:extLst>
                      <a:ext uri="{53640926-AAD7-44D8-BBD7-CCE9431645EC}">
                        <a14:shadowObscured xmlns:a14="http://schemas.microsoft.com/office/drawing/2010/main"/>
                      </a:ext>
                    </a:extLst>
                  </pic:spPr>
                </pic:pic>
              </a:graphicData>
            </a:graphic>
          </wp:inline>
        </w:drawing>
      </w:r>
    </w:p>
    <w:p w14:paraId="16ECF45A" w14:textId="33E74755" w:rsidR="0092359F" w:rsidRPr="004C44CB" w:rsidRDefault="00FD73B7" w:rsidP="004C44CB">
      <w:pPr>
        <w:pStyle w:val="Caption"/>
        <w:spacing w:line="480" w:lineRule="auto"/>
        <w:rPr>
          <w:rFonts w:cs="Times New Roman"/>
          <w:sz w:val="22"/>
          <w:szCs w:val="24"/>
          <w:lang w:val="en-US"/>
        </w:rPr>
      </w:pPr>
      <w:bookmarkStart w:id="77" w:name="_Ref36305290"/>
      <w:bookmarkStart w:id="78" w:name="_Toc45837587"/>
      <w:r w:rsidRPr="00241A81">
        <w:rPr>
          <w:rFonts w:cs="Times New Roman"/>
          <w:sz w:val="22"/>
          <w:szCs w:val="24"/>
          <w:lang w:val="en-US"/>
        </w:rPr>
        <w:t xml:space="preserve">Figure </w:t>
      </w:r>
      <w:r w:rsidRPr="00241A81">
        <w:rPr>
          <w:rFonts w:cs="Times New Roman"/>
          <w:sz w:val="22"/>
          <w:szCs w:val="24"/>
        </w:rPr>
        <w:fldChar w:fldCharType="begin"/>
      </w:r>
      <w:r w:rsidRPr="00241A81">
        <w:rPr>
          <w:rFonts w:cs="Times New Roman"/>
          <w:sz w:val="22"/>
          <w:szCs w:val="24"/>
          <w:lang w:val="en-US"/>
        </w:rPr>
        <w:instrText xml:space="preserve"> SEQ Figure \* ARABIC </w:instrText>
      </w:r>
      <w:r w:rsidRPr="00241A81">
        <w:rPr>
          <w:rFonts w:cs="Times New Roman"/>
          <w:sz w:val="22"/>
          <w:szCs w:val="24"/>
        </w:rPr>
        <w:fldChar w:fldCharType="separate"/>
      </w:r>
      <w:r w:rsidR="0008188F">
        <w:rPr>
          <w:rFonts w:cs="Times New Roman"/>
          <w:noProof/>
          <w:sz w:val="22"/>
          <w:szCs w:val="24"/>
          <w:lang w:val="en-US"/>
        </w:rPr>
        <w:t>16</w:t>
      </w:r>
      <w:r w:rsidRPr="00241A81">
        <w:rPr>
          <w:rFonts w:cs="Times New Roman"/>
          <w:sz w:val="22"/>
          <w:szCs w:val="24"/>
        </w:rPr>
        <w:fldChar w:fldCharType="end"/>
      </w:r>
      <w:bookmarkEnd w:id="77"/>
      <w:r w:rsidRPr="00241A81">
        <w:rPr>
          <w:rFonts w:cs="Times New Roman"/>
          <w:sz w:val="22"/>
          <w:szCs w:val="24"/>
          <w:lang w:val="en-US"/>
        </w:rPr>
        <w:t xml:space="preserve"> – Optibond Pellets with uncoated Nanogard</w:t>
      </w:r>
      <w:bookmarkEnd w:id="78"/>
    </w:p>
    <w:p w14:paraId="27ACD3BA" w14:textId="77777777" w:rsidR="000F16AB" w:rsidRPr="00EF3916" w:rsidRDefault="000F16AB" w:rsidP="00830771">
      <w:pPr>
        <w:pStyle w:val="Heading3"/>
      </w:pPr>
      <w:bookmarkStart w:id="79" w:name="_Toc45837559"/>
      <w:r w:rsidRPr="00EF3916">
        <w:t>Bacterial strain and in vitro growth of biofilms</w:t>
      </w:r>
      <w:bookmarkEnd w:id="79"/>
    </w:p>
    <w:p w14:paraId="2C43601C" w14:textId="30EB453C" w:rsidR="000F16AB" w:rsidRPr="00051871" w:rsidRDefault="000F16AB" w:rsidP="00DE44EE">
      <w:pPr>
        <w:spacing w:after="0" w:line="480" w:lineRule="auto"/>
        <w:ind w:firstLine="708"/>
        <w:jc w:val="both"/>
        <w:rPr>
          <w:rFonts w:eastAsia="Calibri" w:cs="Times New Roman"/>
          <w:szCs w:val="24"/>
          <w:lang w:val="en-US"/>
        </w:rPr>
      </w:pPr>
      <w:r w:rsidRPr="00051871">
        <w:rPr>
          <w:rFonts w:eastAsia="Calibri" w:cs="Times New Roman"/>
          <w:szCs w:val="24"/>
          <w:lang w:val="en-US"/>
        </w:rPr>
        <w:t xml:space="preserve">Bioluminescent </w:t>
      </w:r>
      <w:r w:rsidRPr="00051871">
        <w:rPr>
          <w:rFonts w:eastAsia="Calibri" w:cs="Times New Roman"/>
          <w:i/>
          <w:szCs w:val="24"/>
          <w:lang w:val="en-US"/>
        </w:rPr>
        <w:t>S. mutans</w:t>
      </w:r>
      <w:r w:rsidRPr="00051871">
        <w:rPr>
          <w:rFonts w:eastAsia="Calibri" w:cs="Times New Roman"/>
          <w:szCs w:val="24"/>
          <w:lang w:val="en-US"/>
        </w:rPr>
        <w:t xml:space="preserve"> strain JM10, a derivative of wild type UA159 was used. Details about the strain construction were reported by </w:t>
      </w:r>
      <w:r w:rsidRPr="008E529B">
        <w:rPr>
          <w:rFonts w:eastAsia="Calibri" w:cs="Times New Roman"/>
          <w:szCs w:val="24"/>
          <w:lang w:val="en-US"/>
        </w:rPr>
        <w:t>Merritt et al</w:t>
      </w:r>
      <w:r w:rsidR="008E529B">
        <w:rPr>
          <w:rFonts w:eastAsia="Calibri" w:cs="Times New Roman"/>
          <w:szCs w:val="24"/>
          <w:lang w:val="en-US"/>
        </w:rPr>
        <w:fldChar w:fldCharType="begin" w:fldLock="1"/>
      </w:r>
      <w:r w:rsidR="00A356D0">
        <w:rPr>
          <w:rFonts w:eastAsia="Calibri" w:cs="Times New Roman"/>
          <w:szCs w:val="24"/>
          <w:lang w:val="en-US"/>
        </w:rPr>
        <w:instrText>ADDIN CSL_CITATION {"citationItems":[{"id":"ITEM-1","itemData":{"DOI":"https://doi.org/10.1016/j.mimet.2004.11.012","ISSN":"0167-7012","abstract":"Streptococcus mutans is one of a small number of recognized pathogens that lives among the hundreds of other bacterial species which comprise the oral flora. The virulence of this organism is intimately associated with its ability to live as an attached biofilm community on the tooth surface, and consequently, there is a great interest in its biofilm lifestyle. Currently, there are no established protocols that facilitate drug screening against this organism while it is entrenched in the biofilm. Furthermore, greater complications arise when attempting to perform these experiments in a multi-species setting. In an effort to circumvent these problems, we developed a quick, real-time, and non-disruptive method to probe the metabolic status of S. mutans growing as either a planktonic culture or a biofilm community. This assay takes advantage of the proven utility of luciferase measurements for drug screening. We placed the luciferase gene under the control of the S. mutans lactate dehydrogenase promoter (ldh) and integrated the construct onto its native position on the chromosome. We found this construct to be both highly expressed (&lt;10000 cells easily detectable) and insensitive to many different growth parameters. When testing this reporter in both planktonic and biofilm cultures receiving either bacteriostatic or bactericidal antibiotics, we found the ldh–luc reporter to be a very accurate measurement of cell viability. Furthermore, we also demonstrated that this assay can generate useful information about the characteristics of intoxication caused by antibiotic activity. In addition, we modified the biofilm assay into the 96-well format and demonstrated the feasibility of high throughput drug screening of biofilm embedded S. mutans.","author":[{"dropping-particle":"","family":"Merritt","given":"Justin","non-dropping-particle":"","parse-names":false,"suffix":""},{"dropping-particle":"","family":"Kreth","given":"Jens","non-dropping-particle":"","parse-names":false,"suffix":""},{"dropping-particle":"","family":"Qi","given":"Fengxia","non-dropping-particle":"","parse-names":false,"suffix":""},{"dropping-particle":"","family":"Sullivan","given":"Richard","non-dropping-particle":"","parse-names":false,"suffix":""},{"dropping-particle":"","family":"Shi","given":"Wenyuan","non-dropping-particle":"","parse-names":false,"suffix":""}],"container-title":"Journal of Microbiological Methods","id":"ITEM-1","issue":"2","issued":{"date-parts":[["2005"]]},"page":"161-170","title":"Non-disruptive, real-time analyses of the metabolic status and viability of Streptococcus mutans cells in response to antimicrobial treatments","type":"article-journal","volume":"61"},"uris":["http://www.mendeley.com/documents/?uuid=5f7ee252-c8db-4390-9c1a-1dd59bb073c6"]}],"mendeley":{"formattedCitation":"&lt;sup&gt;84&lt;/sup&gt;","plainTextFormattedCitation":"84","previouslyFormattedCitation":"&lt;sup&gt;84&lt;/sup&gt;"},"properties":{"noteIndex":0},"schema":"https://github.com/citation-style-language/schema/raw/master/csl-citation.json"}</w:instrText>
      </w:r>
      <w:r w:rsidR="008E529B">
        <w:rPr>
          <w:rFonts w:eastAsia="Calibri" w:cs="Times New Roman"/>
          <w:szCs w:val="24"/>
          <w:lang w:val="en-US"/>
        </w:rPr>
        <w:fldChar w:fldCharType="separate"/>
      </w:r>
      <w:r w:rsidR="00BF4802" w:rsidRPr="00BF4802">
        <w:rPr>
          <w:rFonts w:eastAsia="Calibri" w:cs="Times New Roman"/>
          <w:noProof/>
          <w:szCs w:val="24"/>
          <w:vertAlign w:val="superscript"/>
          <w:lang w:val="en-US"/>
        </w:rPr>
        <w:t>84</w:t>
      </w:r>
      <w:r w:rsidR="008E529B">
        <w:rPr>
          <w:rFonts w:eastAsia="Calibri" w:cs="Times New Roman"/>
          <w:szCs w:val="24"/>
          <w:lang w:val="en-US"/>
        </w:rPr>
        <w:fldChar w:fldCharType="end"/>
      </w:r>
      <w:r w:rsidRPr="008E529B">
        <w:rPr>
          <w:rFonts w:eastAsia="Calibri" w:cs="Times New Roman"/>
          <w:szCs w:val="24"/>
          <w:lang w:val="en-US"/>
        </w:rPr>
        <w:t>. Working</w:t>
      </w:r>
      <w:r w:rsidRPr="00051871">
        <w:rPr>
          <w:rFonts w:eastAsia="Calibri" w:cs="Times New Roman"/>
          <w:szCs w:val="24"/>
          <w:lang w:val="en-US"/>
        </w:rPr>
        <w:t xml:space="preserve"> stocks of </w:t>
      </w:r>
      <w:r w:rsidRPr="00051871">
        <w:rPr>
          <w:rFonts w:eastAsia="Calibri" w:cs="Times New Roman"/>
          <w:i/>
          <w:szCs w:val="24"/>
          <w:lang w:val="en-US"/>
        </w:rPr>
        <w:t xml:space="preserve">S. mutans </w:t>
      </w:r>
      <w:r w:rsidRPr="00051871">
        <w:rPr>
          <w:rFonts w:eastAsia="Calibri" w:cs="Times New Roman"/>
          <w:szCs w:val="24"/>
          <w:lang w:val="en-US"/>
        </w:rPr>
        <w:t xml:space="preserve">were grown on TH agar plates (Todd-Hewitt, BD Difco, USA) supplemented with 0.3% yeast extract (EMD Millipore, USA), and 800 </w:t>
      </w:r>
      <w:r w:rsidRPr="00051871">
        <w:rPr>
          <w:rFonts w:ascii="Symbol" w:eastAsia="Symbol" w:hAnsi="Symbol" w:cs="Symbol"/>
          <w:szCs w:val="24"/>
        </w:rPr>
        <w:t></w:t>
      </w:r>
      <w:r w:rsidRPr="00051871">
        <w:rPr>
          <w:rFonts w:eastAsia="Calibri" w:cs="Times New Roman"/>
          <w:szCs w:val="24"/>
          <w:lang w:val="en-US"/>
        </w:rPr>
        <w:t>g/mL of Spectinomycin (MP Biomedicals, USA). Colonies were cultivated under anaerobic conditions at 37°C for 48 hours.</w:t>
      </w:r>
    </w:p>
    <w:p w14:paraId="2FCAEE56" w14:textId="378E4B5A" w:rsidR="000F16AB" w:rsidRPr="00051871" w:rsidRDefault="000F16AB" w:rsidP="00DE44EE">
      <w:pPr>
        <w:spacing w:after="0" w:line="480" w:lineRule="auto"/>
        <w:ind w:firstLine="708"/>
        <w:jc w:val="both"/>
        <w:rPr>
          <w:rFonts w:eastAsia="Calibri" w:cs="Times New Roman"/>
          <w:szCs w:val="24"/>
          <w:lang w:val="en-US"/>
        </w:rPr>
      </w:pPr>
      <w:r w:rsidRPr="00051871">
        <w:rPr>
          <w:rFonts w:eastAsia="Calibri" w:cs="Times New Roman"/>
          <w:szCs w:val="24"/>
          <w:lang w:val="en-US"/>
        </w:rPr>
        <w:t>Planktonic cultures of JM10 were grown in TH culture medium supplemented with 0.3% yeast extract (THY) and Spectinomycin. A single colony was inoculated in 4mL THY broth with 32</w:t>
      </w:r>
      <w:r w:rsidRPr="00051871">
        <w:rPr>
          <w:rFonts w:ascii="Symbol" w:eastAsia="Symbol" w:hAnsi="Symbol" w:cs="Symbol"/>
          <w:szCs w:val="24"/>
        </w:rPr>
        <w:t></w:t>
      </w:r>
      <w:r w:rsidRPr="00051871">
        <w:rPr>
          <w:rFonts w:eastAsia="Calibri" w:cs="Times New Roman"/>
          <w:szCs w:val="24"/>
          <w:lang w:val="en-US"/>
        </w:rPr>
        <w:t>L of Spectinomycin (100mg/mL). The cultures were incubated at 37°C for 16 hours (static</w:t>
      </w:r>
      <w:r w:rsidR="00F86B48" w:rsidRPr="00051871">
        <w:rPr>
          <w:rFonts w:eastAsia="Calibri" w:cs="Times New Roman"/>
          <w:szCs w:val="24"/>
          <w:lang w:val="en-US"/>
        </w:rPr>
        <w:t xml:space="preserve"> cultures, anaerobic </w:t>
      </w:r>
      <w:r w:rsidRPr="00051871">
        <w:rPr>
          <w:rFonts w:eastAsia="Calibri" w:cs="Times New Roman"/>
          <w:szCs w:val="24"/>
          <w:lang w:val="en-US"/>
        </w:rPr>
        <w:t>conditions). Overnight planktonic cultures having an optical density of ≥0.900 were used in biofilm growth. A 1:50 dilution of the selected overnight culture was added to 0.65x THY media supplemented with 0.1% (w/v) sucrose. Aliquots (1mL) of the culture medium were added to the wells of a sterile-24 well microtiter plate containing the previously manufactured and sterilized specimens</w:t>
      </w:r>
      <w:r w:rsidR="00F86B48" w:rsidRPr="00051871">
        <w:rPr>
          <w:rFonts w:eastAsia="Calibri" w:cs="Times New Roman"/>
          <w:szCs w:val="24"/>
          <w:lang w:val="en-US"/>
        </w:rPr>
        <w:t xml:space="preserve"> (procedure in Adhesive Pellets section)</w:t>
      </w:r>
      <w:r w:rsidRPr="00051871">
        <w:rPr>
          <w:rFonts w:eastAsia="Calibri" w:cs="Times New Roman"/>
          <w:szCs w:val="24"/>
          <w:lang w:val="en-US"/>
        </w:rPr>
        <w:t xml:space="preserve">. </w:t>
      </w:r>
      <w:r w:rsidRPr="00051871">
        <w:rPr>
          <w:rFonts w:cs="Times New Roman"/>
          <w:szCs w:val="24"/>
          <w:lang w:val="en-US"/>
        </w:rPr>
        <w:t>Previously, specimens were UV-sterilized (254 nm, 800,000 uJ/cm</w:t>
      </w:r>
      <w:r w:rsidRPr="00051871">
        <w:rPr>
          <w:rFonts w:cs="Times New Roman"/>
          <w:szCs w:val="24"/>
          <w:vertAlign w:val="superscript"/>
          <w:lang w:val="en-US"/>
        </w:rPr>
        <w:t>2</w:t>
      </w:r>
      <w:r w:rsidRPr="00051871">
        <w:rPr>
          <w:rFonts w:cs="Times New Roman"/>
          <w:szCs w:val="24"/>
          <w:lang w:val="en-US"/>
        </w:rPr>
        <w:t>, model CL-1000 UVP Crosslinker, UVP, LLC, USA) and stored in sterile ultra-pure water at 37°C for 24</w:t>
      </w:r>
      <w:r w:rsidR="000305C8">
        <w:rPr>
          <w:rFonts w:cs="Times New Roman"/>
          <w:szCs w:val="24"/>
          <w:lang w:val="en-US"/>
        </w:rPr>
        <w:t xml:space="preserve"> </w:t>
      </w:r>
      <w:r w:rsidRPr="00051871">
        <w:rPr>
          <w:rFonts w:cs="Times New Roman"/>
          <w:szCs w:val="24"/>
          <w:lang w:val="en-US"/>
        </w:rPr>
        <w:t>h</w:t>
      </w:r>
      <w:r w:rsidR="000305C8">
        <w:rPr>
          <w:rFonts w:cs="Times New Roman"/>
          <w:szCs w:val="24"/>
          <w:lang w:val="en-US"/>
        </w:rPr>
        <w:t>ours</w:t>
      </w:r>
      <w:r w:rsidRPr="00051871">
        <w:rPr>
          <w:rFonts w:cs="Times New Roman"/>
          <w:szCs w:val="24"/>
          <w:lang w:val="en-US"/>
        </w:rPr>
        <w:t xml:space="preserve"> to extract unreacted monomers. The specimens were incubated at </w:t>
      </w:r>
      <w:r w:rsidRPr="00051871">
        <w:rPr>
          <w:rFonts w:eastAsia="Calibri" w:cs="Times New Roman"/>
          <w:szCs w:val="24"/>
          <w:lang w:val="en-US"/>
        </w:rPr>
        <w:t>37°C for 24</w:t>
      </w:r>
      <w:r w:rsidR="000305C8">
        <w:rPr>
          <w:rFonts w:eastAsia="Calibri" w:cs="Times New Roman"/>
          <w:szCs w:val="24"/>
          <w:lang w:val="en-US"/>
        </w:rPr>
        <w:t xml:space="preserve"> </w:t>
      </w:r>
      <w:r w:rsidRPr="00051871">
        <w:rPr>
          <w:rFonts w:eastAsia="Calibri" w:cs="Times New Roman"/>
          <w:szCs w:val="24"/>
          <w:lang w:val="en-US"/>
        </w:rPr>
        <w:t>h</w:t>
      </w:r>
      <w:r w:rsidR="000305C8">
        <w:rPr>
          <w:rFonts w:eastAsia="Calibri" w:cs="Times New Roman"/>
          <w:szCs w:val="24"/>
          <w:lang w:val="en-US"/>
        </w:rPr>
        <w:t>ours</w:t>
      </w:r>
      <w:r w:rsidRPr="00051871">
        <w:rPr>
          <w:rFonts w:eastAsia="Calibri" w:cs="Times New Roman"/>
          <w:szCs w:val="24"/>
          <w:lang w:val="en-US"/>
        </w:rPr>
        <w:t xml:space="preserve"> (static cultures, anaerobic conditions).</w:t>
      </w:r>
      <w:r w:rsidR="000E65DC">
        <w:rPr>
          <w:rFonts w:eastAsia="Calibri" w:cs="Times New Roman"/>
          <w:szCs w:val="24"/>
          <w:lang w:val="en-US"/>
        </w:rPr>
        <w:t xml:space="preserve"> Method development described in detail by Florez et al</w:t>
      </w:r>
      <w:r w:rsidR="000E65DC">
        <w:rPr>
          <w:rFonts w:eastAsia="Calibri" w:cs="Times New Roman"/>
          <w:szCs w:val="24"/>
          <w:lang w:val="en-US"/>
        </w:rPr>
        <w:fldChar w:fldCharType="begin" w:fldLock="1"/>
      </w:r>
      <w:r w:rsidR="004871C8">
        <w:rPr>
          <w:rFonts w:eastAsia="Calibri" w:cs="Times New Roman"/>
          <w:szCs w:val="24"/>
          <w:lang w:val="en-US"/>
        </w:rPr>
        <w:instrText>ADDIN CSL_CITATION {"citationItems":[{"id":"ITEM-1","itemData":{"DOI":"10.1016/j.dental.2016.07.010","ISBN":"0109-5641","PMID":"27515531","abstract":"OBJECTIVE: The release of unpolymerized monomers and by-products of resin composites influences biofilm growth and confounds the measurement of metabolic activity. Current assays to measure biofilm viability have critical limitations and are typically not performed on relevant substrates. The objective of the present study was to determine the utility of firefly luciferase assay for quantification of the viability of intact biofilms on a resin composite substrate, and correlate the results with a standard method (viable colony counts). METHODS: Disk-shaped specimens of a dental resin composite were fabricated, wet-polished, UV-sterilized, and stored in water. Biofilms of Streptococcus mutans (strain UA159 modified by insertion of constitutively expressed firefly luc gene) were grown (1:500 dilution; anaerobic conditions, 24h, 37 degrees C) in two media concentrations (0.35x and 0.65x THY medium supplemented with 0.1% sucrose; n=15/group). An additional group of specimens with biofilms grown in 0.65x+sucrose media was treated with chlorhexidine gluconate solution to serve as the control group. Bioluminescence measurements of non-disrupted biofilms were obtained after addition of d-Luciferin substrate. The adherent biofilms were removed by sonication, and bioluminescence of sonicated bacteria was then measured. Viable colony counts were performed after plating sonicated bacteria on THY agar plates supplemented with spectinomycin. Bioluminescence values and cell counts were correlated using Spearman correlation tests (alpha=0.05). RESULTS: Strong positive correlations between viable colony counts and bioluminescence values, both before- and after-sonication, validated the utility of this assay. SIGNIFICANCE: A novel non-disruptive, real-time bioluminescence assay is presented for quantification of intact S. mutans biofilms grown on a resin composite, and potentially on antibacterial materials and other types of dental biomaterials.","author":[{"dropping-particle":"","family":"Esteban Florez","given":"F L","non-dropping-particle":"","parse-names":false,"suffix":""},{"dropping-particle":"","family":"Hiers","given":"R D","non-dropping-particle":"","parse-names":false,"suffix":""},{"dropping-particle":"","family":"Smart","given":"K","non-dropping-particle":"","parse-names":false,"suffix":""},{"dropping-particle":"","family":"Kreth","given":"J","non-dropping-particle":"","parse-names":false,"suffix":""},{"dropping-particle":"","family":"Qi","given":"F","non-dropping-particle":"","parse-names":false,"suffix":""},{"dropping-particle":"","family":"Merritt","given":"J","non-dropping-particle":"","parse-names":false,"suffix":""},{"dropping-particle":"","family":"Khajotia","given":"S S","non-dropping-particle":"","parse-names":false,"suffix":""}],"container-title":"Dent Mater","edition":"2016/08/16","id":"ITEM-1","issue":"10","issued":{"date-parts":[["2016"]]},"language":"eng","note":"1879-0097\nEsteban Florez, Fernando Luis\nHiers, Rochelle Denise\nSmart, Kristin\nKreth, Jens\nQi, Fengxia\nMerritt, Justin\nKhajotia, Sharukh Soli\nR01 DE018893/DE/NIDCR NIH HHS/United States\nR01 DE021726/DE/NIDCR NIH HHS/United States\nR01 DE022083/DE/NIDCR NIH HHS/United States\nR15 DE019566/DE/NIDCR NIH HHS/United States\nJournal Article\nResearch Support, N.I.H., Extramural\nEngland\nDent Mater. 2016 Oct;32(10):1263-1269. doi: 10.1016/j.dental.2016.07.010. Epub 2016 Aug 8.","page":"1263-1269","title":"Real-time assessment of Streptococcus mutans biofilm metabolism on resin composite","type":"article-journal","volume":"32"},"uris":["http://www.mendeley.com/documents/?uuid=06aa1059-c63c-4ea7-be08-d736a71f397f"]}],"mendeley":{"formattedCitation":"&lt;sup&gt;12&lt;/sup&gt;","plainTextFormattedCitation":"12","previouslyFormattedCitation":"&lt;sup&gt;12&lt;/sup&gt;"},"properties":{"noteIndex":0},"schema":"https://github.com/citation-style-language/schema/raw/master/csl-citation.json"}</w:instrText>
      </w:r>
      <w:r w:rsidR="000E65DC">
        <w:rPr>
          <w:rFonts w:eastAsia="Calibri" w:cs="Times New Roman"/>
          <w:szCs w:val="24"/>
          <w:lang w:val="en-US"/>
        </w:rPr>
        <w:fldChar w:fldCharType="separate"/>
      </w:r>
      <w:r w:rsidR="00B01517" w:rsidRPr="00B01517">
        <w:rPr>
          <w:rFonts w:eastAsia="Calibri" w:cs="Times New Roman"/>
          <w:noProof/>
          <w:szCs w:val="24"/>
          <w:vertAlign w:val="superscript"/>
          <w:lang w:val="en-US"/>
        </w:rPr>
        <w:t>12</w:t>
      </w:r>
      <w:r w:rsidR="000E65DC">
        <w:rPr>
          <w:rFonts w:eastAsia="Calibri" w:cs="Times New Roman"/>
          <w:szCs w:val="24"/>
          <w:lang w:val="en-US"/>
        </w:rPr>
        <w:fldChar w:fldCharType="end"/>
      </w:r>
      <w:r w:rsidR="000E65DC">
        <w:rPr>
          <w:rFonts w:eastAsia="Calibri" w:cs="Times New Roman"/>
          <w:szCs w:val="24"/>
          <w:lang w:val="en-US"/>
        </w:rPr>
        <w:t>.</w:t>
      </w:r>
    </w:p>
    <w:p w14:paraId="17261CC1" w14:textId="77777777" w:rsidR="000F16AB" w:rsidRPr="00051871" w:rsidRDefault="000F16AB" w:rsidP="00830771">
      <w:pPr>
        <w:pStyle w:val="Heading3"/>
      </w:pPr>
      <w:bookmarkStart w:id="80" w:name="_Toc45837560"/>
      <w:r w:rsidRPr="00051871">
        <w:t>Bioluminescence Assay</w:t>
      </w:r>
      <w:bookmarkEnd w:id="80"/>
    </w:p>
    <w:p w14:paraId="2C29E4D7" w14:textId="7C7416BE" w:rsidR="000F16AB" w:rsidRPr="00051871" w:rsidRDefault="000F16AB" w:rsidP="00DE44EE">
      <w:pPr>
        <w:spacing w:after="0" w:line="480" w:lineRule="auto"/>
        <w:ind w:firstLine="708"/>
        <w:jc w:val="both"/>
        <w:rPr>
          <w:rFonts w:cs="Times New Roman"/>
          <w:szCs w:val="24"/>
          <w:lang w:val="en-US"/>
        </w:rPr>
      </w:pPr>
      <w:r w:rsidRPr="00051871">
        <w:rPr>
          <w:rFonts w:cs="Times New Roman"/>
          <w:szCs w:val="24"/>
          <w:lang w:val="en-US"/>
        </w:rPr>
        <w:t>After incubation, the biofilms were removed and washed twice with PBS (pH 7.4, 15</w:t>
      </w:r>
      <w:r w:rsidR="006510E2">
        <w:rPr>
          <w:rFonts w:cs="Times New Roman"/>
          <w:szCs w:val="24"/>
          <w:lang w:val="en-US"/>
        </w:rPr>
        <w:t xml:space="preserve"> </w:t>
      </w:r>
      <w:r w:rsidRPr="00051871">
        <w:rPr>
          <w:rFonts w:cs="Times New Roman"/>
          <w:szCs w:val="24"/>
          <w:lang w:val="en-US"/>
        </w:rPr>
        <w:t>sec/wash), before being transferred to a sterile 24-well plate. Fresh 1x THY supplemented with 1%(w</w:t>
      </w:r>
      <w:r w:rsidR="006510E2">
        <w:rPr>
          <w:rFonts w:cs="Times New Roman"/>
          <w:szCs w:val="24"/>
          <w:lang w:val="en-US"/>
        </w:rPr>
        <w:t>t</w:t>
      </w:r>
      <w:r w:rsidRPr="00051871">
        <w:rPr>
          <w:rFonts w:cs="Times New Roman"/>
          <w:szCs w:val="24"/>
          <w:lang w:val="en-US"/>
        </w:rPr>
        <w:t>/v</w:t>
      </w:r>
      <w:r w:rsidR="006510E2">
        <w:rPr>
          <w:rFonts w:cs="Times New Roman"/>
          <w:szCs w:val="24"/>
          <w:lang w:val="en-US"/>
        </w:rPr>
        <w:t>ol</w:t>
      </w:r>
      <w:r w:rsidRPr="00051871">
        <w:rPr>
          <w:rFonts w:cs="Times New Roman"/>
          <w:szCs w:val="24"/>
          <w:lang w:val="en-US"/>
        </w:rPr>
        <w:t>) glucose culture medium (recharge medium) was added in the same volume as the original inoculum volume. The biofilms were incubated at 37°</w:t>
      </w:r>
      <w:r w:rsidRPr="00051871">
        <w:rPr>
          <w:rFonts w:eastAsia="Calibri" w:cs="Times New Roman"/>
          <w:szCs w:val="24"/>
          <w:lang w:val="en-US"/>
        </w:rPr>
        <w:t>C</w:t>
      </w:r>
      <w:r w:rsidRPr="00051871">
        <w:rPr>
          <w:rFonts w:cs="Times New Roman"/>
          <w:szCs w:val="24"/>
          <w:lang w:val="en-US"/>
        </w:rPr>
        <w:t xml:space="preserve"> for one hour before measuring the bioluminescence activity. </w:t>
      </w:r>
    </w:p>
    <w:p w14:paraId="5E3CE5F1" w14:textId="0E4FC67A" w:rsidR="00051871" w:rsidRDefault="000F16AB" w:rsidP="00DE44EE">
      <w:pPr>
        <w:spacing w:after="0" w:line="480" w:lineRule="auto"/>
        <w:ind w:firstLine="708"/>
        <w:jc w:val="both"/>
        <w:rPr>
          <w:rFonts w:cs="Times New Roman"/>
          <w:szCs w:val="24"/>
          <w:lang w:val="en-US"/>
        </w:rPr>
      </w:pPr>
      <w:r w:rsidRPr="00051871">
        <w:rPr>
          <w:rFonts w:cs="Times New Roman"/>
          <w:szCs w:val="24"/>
          <w:lang w:val="en-US"/>
        </w:rPr>
        <w:t>After the recharge period, D-Luciferin aqueous solution (100mM) suspended in 0.1 M citrate buffer (pH 6) was added in a 1:2 (v/v) ratio to the wells containing the biofilms and recharge medium. Luciferase activity was measured using a Synergy HT Multi-mode microplate reader equipped with Gen5 software (Biotek, USA) in 2-min increments (six minutes in total) after the addition of D-luciferin substrate</w:t>
      </w:r>
      <w:r w:rsidR="00373209">
        <w:rPr>
          <w:rFonts w:cs="Times New Roman"/>
          <w:szCs w:val="24"/>
          <w:lang w:val="en-US"/>
        </w:rPr>
        <w:fldChar w:fldCharType="begin" w:fldLock="1"/>
      </w:r>
      <w:r w:rsidR="004871C8">
        <w:rPr>
          <w:rFonts w:cs="Times New Roman"/>
          <w:szCs w:val="24"/>
          <w:lang w:val="en-US"/>
        </w:rPr>
        <w:instrText>ADDIN CSL_CITATION {"citationItems":[{"id":"ITEM-1","itemData":{"DOI":"10.1016/j.dental.2016.07.010","ISBN":"0109-5641","PMID":"27515531","abstract":"OBJECTIVE: The release of unpolymerized monomers and by-products of resin composites influences biofilm growth and confounds the measurement of metabolic activity. Current assays to measure biofilm viability have critical limitations and are typically not performed on relevant substrates. The objective of the present study was to determine the utility of firefly luciferase assay for quantification of the viability of intact biofilms on a resin composite substrate, and correlate the results with a standard method (viable colony counts). METHODS: Disk-shaped specimens of a dental resin composite were fabricated, wet-polished, UV-sterilized, and stored in water. Biofilms of Streptococcus mutans (strain UA159 modified by insertion of constitutively expressed firefly luc gene) were grown (1:500 dilution; anaerobic conditions, 24h, 37 degrees C) in two media concentrations (0.35x and 0.65x THY medium supplemented with 0.1% sucrose; n=15/group). An additional group of specimens with biofilms grown in 0.65x+sucrose media was treated with chlorhexidine gluconate solution to serve as the control group. Bioluminescence measurements of non-disrupted biofilms were obtained after addition of d-Luciferin substrate. The adherent biofilms were removed by sonication, and bioluminescence of sonicated bacteria was then measured. Viable colony counts were performed after plating sonicated bacteria on THY agar plates supplemented with spectinomycin. Bioluminescence values and cell counts were correlated using Spearman correlation tests (alpha=0.05). RESULTS: Strong positive correlations between viable colony counts and bioluminescence values, both before- and after-sonication, validated the utility of this assay. SIGNIFICANCE: A novel non-disruptive, real-time bioluminescence assay is presented for quantification of intact S. mutans biofilms grown on a resin composite, and potentially on antibacterial materials and other types of dental biomaterials.","author":[{"dropping-particle":"","family":"Esteban Florez","given":"F L","non-dropping-particle":"","parse-names":false,"suffix":""},{"dropping-particle":"","family":"Hiers","given":"R D","non-dropping-particle":"","parse-names":false,"suffix":""},{"dropping-particle":"","family":"Smart","given":"K","non-dropping-particle":"","parse-names":false,"suffix":""},{"dropping-particle":"","family":"Kreth","given":"J","non-dropping-particle":"","parse-names":false,"suffix":""},{"dropping-particle":"","family":"Qi","given":"F","non-dropping-particle":"","parse-names":false,"suffix":""},{"dropping-particle":"","family":"Merritt","given":"J","non-dropping-particle":"","parse-names":false,"suffix":""},{"dropping-particle":"","family":"Khajotia","given":"S S","non-dropping-particle":"","parse-names":false,"suffix":""}],"container-title":"Dent Mater","edition":"2016/08/16","id":"ITEM-1","issue":"10","issued":{"date-parts":[["2016"]]},"language":"eng","note":"1879-0097\nEsteban Florez, Fernando Luis\nHiers, Rochelle Denise\nSmart, Kristin\nKreth, Jens\nQi, Fengxia\nMerritt, Justin\nKhajotia, Sharukh Soli\nR01 DE018893/DE/NIDCR NIH HHS/United States\nR01 DE021726/DE/NIDCR NIH HHS/United States\nR01 DE022083/DE/NIDCR NIH HHS/United States\nR15 DE019566/DE/NIDCR NIH HHS/United States\nJournal Article\nResearch Support, N.I.H., Extramural\nEngland\nDent Mater. 2016 Oct;32(10):1263-1269. doi: 10.1016/j.dental.2016.07.010. Epub 2016 Aug 8.","page":"1263-1269","title":"Real-time assessment of Streptococcus mutans biofilm metabolism on resin composite","type":"article-journal","volume":"32"},"uris":["http://www.mendeley.com/documents/?uuid=06aa1059-c63c-4ea7-be08-d736a71f397f"]}],"mendeley":{"formattedCitation":"&lt;sup&gt;12&lt;/sup&gt;","plainTextFormattedCitation":"12","previouslyFormattedCitation":"&lt;sup&gt;12&lt;/sup&gt;"},"properties":{"noteIndex":0},"schema":"https://github.com/citation-style-language/schema/raw/master/csl-citation.json"}</w:instrText>
      </w:r>
      <w:r w:rsidR="00373209">
        <w:rPr>
          <w:rFonts w:cs="Times New Roman"/>
          <w:szCs w:val="24"/>
          <w:lang w:val="en-US"/>
        </w:rPr>
        <w:fldChar w:fldCharType="separate"/>
      </w:r>
      <w:r w:rsidR="00B01517" w:rsidRPr="00B01517">
        <w:rPr>
          <w:rFonts w:cs="Times New Roman"/>
          <w:noProof/>
          <w:szCs w:val="24"/>
          <w:vertAlign w:val="superscript"/>
          <w:lang w:val="en-US"/>
        </w:rPr>
        <w:t>12</w:t>
      </w:r>
      <w:r w:rsidR="00373209">
        <w:rPr>
          <w:rFonts w:cs="Times New Roman"/>
          <w:szCs w:val="24"/>
          <w:lang w:val="en-US"/>
        </w:rPr>
        <w:fldChar w:fldCharType="end"/>
      </w:r>
      <w:r w:rsidRPr="00051871">
        <w:rPr>
          <w:rFonts w:cs="Times New Roman"/>
          <w:szCs w:val="24"/>
          <w:lang w:val="en-US"/>
        </w:rPr>
        <w:t>.  Bioluminescence</w:t>
      </w:r>
      <w:r w:rsidRPr="003F775C">
        <w:rPr>
          <w:rFonts w:cs="Times New Roman"/>
          <w:szCs w:val="24"/>
          <w:lang w:val="en-US"/>
        </w:rPr>
        <w:t xml:space="preserve"> </w:t>
      </w:r>
      <w:r w:rsidRPr="00051871">
        <w:rPr>
          <w:rFonts w:cs="Times New Roman"/>
          <w:szCs w:val="24"/>
          <w:lang w:val="en-US"/>
        </w:rPr>
        <w:t>was</w:t>
      </w:r>
      <w:r w:rsidRPr="003F775C">
        <w:rPr>
          <w:rFonts w:cs="Times New Roman"/>
          <w:szCs w:val="24"/>
          <w:lang w:val="en-US"/>
        </w:rPr>
        <w:t xml:space="preserve"> </w:t>
      </w:r>
      <w:r w:rsidRPr="00051871">
        <w:rPr>
          <w:rFonts w:cs="Times New Roman"/>
          <w:szCs w:val="24"/>
          <w:lang w:val="en-US"/>
        </w:rPr>
        <w:t>evaluated</w:t>
      </w:r>
      <w:r w:rsidRPr="003F775C">
        <w:rPr>
          <w:rFonts w:cs="Times New Roman"/>
          <w:szCs w:val="24"/>
          <w:lang w:val="en-US"/>
        </w:rPr>
        <w:t xml:space="preserve"> at 590nm. </w:t>
      </w:r>
    </w:p>
    <w:p w14:paraId="6748FED2" w14:textId="73DA8A30" w:rsidR="004A1150" w:rsidRDefault="004A1150" w:rsidP="002003DD">
      <w:pPr>
        <w:pStyle w:val="Heading2"/>
      </w:pPr>
      <w:bookmarkStart w:id="81" w:name="_Toc45837561"/>
      <w:r>
        <w:t xml:space="preserve">Methods – Verification of Antibacterial </w:t>
      </w:r>
      <w:r w:rsidR="00737230">
        <w:t>P</w:t>
      </w:r>
      <w:r>
        <w:t>roperties</w:t>
      </w:r>
      <w:bookmarkEnd w:id="81"/>
    </w:p>
    <w:p w14:paraId="5E6A0666" w14:textId="390BE03A" w:rsidR="000A2778" w:rsidRDefault="004A1150" w:rsidP="00273D80">
      <w:pPr>
        <w:spacing w:after="0" w:line="480" w:lineRule="auto"/>
        <w:ind w:firstLine="708"/>
        <w:jc w:val="both"/>
        <w:rPr>
          <w:lang w:val="en-US"/>
        </w:rPr>
      </w:pPr>
      <w:r>
        <w:rPr>
          <w:lang w:val="en-US"/>
        </w:rPr>
        <w:t>MBC</w:t>
      </w:r>
      <w:r w:rsidR="00EC01A8">
        <w:rPr>
          <w:lang w:val="en-US"/>
        </w:rPr>
        <w:t xml:space="preserve"> (minimum </w:t>
      </w:r>
      <w:r w:rsidR="000A2778">
        <w:rPr>
          <w:lang w:val="en-US"/>
        </w:rPr>
        <w:t xml:space="preserve">bactericidal </w:t>
      </w:r>
      <w:r w:rsidR="00EC01A8">
        <w:rPr>
          <w:lang w:val="en-US"/>
        </w:rPr>
        <w:t>count)</w:t>
      </w:r>
      <w:r>
        <w:rPr>
          <w:lang w:val="en-US"/>
        </w:rPr>
        <w:t xml:space="preserve"> </w:t>
      </w:r>
      <w:r w:rsidR="00693816">
        <w:rPr>
          <w:lang w:val="en-US"/>
        </w:rPr>
        <w:t>t</w:t>
      </w:r>
      <w:r>
        <w:rPr>
          <w:lang w:val="en-US"/>
        </w:rPr>
        <w:t>esting</w:t>
      </w:r>
      <w:r w:rsidR="00B36685">
        <w:rPr>
          <w:lang w:val="en-US"/>
        </w:rPr>
        <w:t xml:space="preserve"> was</w:t>
      </w:r>
      <w:r>
        <w:rPr>
          <w:lang w:val="en-US"/>
        </w:rPr>
        <w:t xml:space="preserve"> conducted on nanoparticle mixtures</w:t>
      </w:r>
      <w:r w:rsidR="000A2778">
        <w:rPr>
          <w:lang w:val="en-US"/>
        </w:rPr>
        <w:t xml:space="preserve"> corresponding to </w:t>
      </w:r>
      <w:r w:rsidR="000A2778">
        <w:rPr>
          <w:lang w:val="en-US"/>
        </w:rPr>
        <w:fldChar w:fldCharType="begin"/>
      </w:r>
      <w:r w:rsidR="000A2778">
        <w:rPr>
          <w:lang w:val="en-US"/>
        </w:rPr>
        <w:instrText xml:space="preserve"> REF _Ref39408806 \h </w:instrText>
      </w:r>
      <w:r w:rsidR="00273D80">
        <w:rPr>
          <w:lang w:val="en-US"/>
        </w:rPr>
        <w:instrText xml:space="preserve"> \* MERGEFORMAT </w:instrText>
      </w:r>
      <w:r w:rsidR="000A2778">
        <w:rPr>
          <w:lang w:val="en-US"/>
        </w:rPr>
      </w:r>
      <w:r w:rsidR="000A2778">
        <w:rPr>
          <w:lang w:val="en-US"/>
        </w:rPr>
        <w:fldChar w:fldCharType="separate"/>
      </w:r>
      <w:r w:rsidR="0008188F" w:rsidRPr="0008188F">
        <w:rPr>
          <w:lang w:val="en-US"/>
        </w:rPr>
        <w:t xml:space="preserve">Table </w:t>
      </w:r>
      <w:r w:rsidR="0008188F" w:rsidRPr="0008188F">
        <w:rPr>
          <w:noProof/>
          <w:lang w:val="en-US"/>
        </w:rPr>
        <w:t>8</w:t>
      </w:r>
      <w:r w:rsidR="000A2778">
        <w:rPr>
          <w:lang w:val="en-US"/>
        </w:rPr>
        <w:fldChar w:fldCharType="end"/>
      </w:r>
      <w:r>
        <w:rPr>
          <w:lang w:val="en-US"/>
        </w:rPr>
        <w:t>.</w:t>
      </w:r>
      <w:r w:rsidR="005B534D">
        <w:rPr>
          <w:lang w:val="en-US"/>
        </w:rPr>
        <w:t xml:space="preserve"> </w:t>
      </w:r>
      <w:r w:rsidR="00F97325">
        <w:rPr>
          <w:lang w:val="en-US"/>
        </w:rPr>
        <w:t>Nanoparticles are dispersed in sodium hydroxide</w:t>
      </w:r>
      <w:r w:rsidR="000A2778">
        <w:rPr>
          <w:lang w:val="en-US"/>
        </w:rPr>
        <w:t>, sodium chloride, or</w:t>
      </w:r>
      <w:r w:rsidR="00F97325">
        <w:rPr>
          <w:lang w:val="en-US"/>
        </w:rPr>
        <w:t xml:space="preserve"> hydrochloric acid. </w:t>
      </w:r>
      <w:r w:rsidR="00C94D46">
        <w:rPr>
          <w:lang w:val="en-US"/>
        </w:rPr>
        <w:t xml:space="preserve">For uncoated </w:t>
      </w:r>
      <w:r w:rsidR="00A10755">
        <w:rPr>
          <w:lang w:val="en-US"/>
        </w:rPr>
        <w:t>NanoTek</w:t>
      </w:r>
      <w:r w:rsidR="000A2778" w:rsidRPr="00EA1612">
        <w:rPr>
          <w:rFonts w:cs="Times New Roman"/>
          <w:szCs w:val="24"/>
          <w:vertAlign w:val="superscript"/>
          <w:lang w:val="en-US"/>
        </w:rPr>
        <w:t>TM</w:t>
      </w:r>
      <w:r w:rsidR="000A2778">
        <w:rPr>
          <w:lang w:val="en-US"/>
        </w:rPr>
        <w:t>, sample 2</w:t>
      </w:r>
      <w:r w:rsidR="00C94D46">
        <w:rPr>
          <w:lang w:val="en-US"/>
        </w:rPr>
        <w:t xml:space="preserve">, 15 M sodium hydroxide is used. </w:t>
      </w:r>
      <w:r w:rsidR="000A2778">
        <w:rPr>
          <w:lang w:val="en-US"/>
        </w:rPr>
        <w:t>For samples 4 and 6</w:t>
      </w:r>
      <w:r w:rsidR="00C94D46">
        <w:rPr>
          <w:lang w:val="en-US"/>
        </w:rPr>
        <w:t>, 1 M hydrochloric acid is used.</w:t>
      </w:r>
      <w:r w:rsidR="000A2778">
        <w:rPr>
          <w:lang w:val="en-US"/>
        </w:rPr>
        <w:t xml:space="preserve"> For samples 1,</w:t>
      </w:r>
      <w:r w:rsidR="00F97325">
        <w:rPr>
          <w:lang w:val="en-US"/>
        </w:rPr>
        <w:t xml:space="preserve"> </w:t>
      </w:r>
      <w:r w:rsidR="000A2778">
        <w:rPr>
          <w:lang w:val="en-US"/>
        </w:rPr>
        <w:t xml:space="preserve">3 and 5, 1 M sodium chloride is used. </w:t>
      </w:r>
      <w:r w:rsidR="00F97325">
        <w:rPr>
          <w:lang w:val="en-US"/>
        </w:rPr>
        <w:t xml:space="preserve">The final concentration of the </w:t>
      </w:r>
      <w:r w:rsidR="00E14E29">
        <w:rPr>
          <w:lang w:val="en-US"/>
        </w:rPr>
        <w:t>nanoparticles in solution should be 40 mg/mL.</w:t>
      </w:r>
      <w:r w:rsidR="00D41B80">
        <w:rPr>
          <w:lang w:val="en-US"/>
        </w:rPr>
        <w:t xml:space="preserve"> </w:t>
      </w:r>
    </w:p>
    <w:p w14:paraId="2A471CDF" w14:textId="052B56DB" w:rsidR="008A5068" w:rsidRDefault="008A5068" w:rsidP="00DE44EE">
      <w:pPr>
        <w:spacing w:after="0" w:line="480" w:lineRule="auto"/>
        <w:ind w:firstLine="708"/>
        <w:rPr>
          <w:lang w:val="en-US"/>
        </w:rPr>
      </w:pPr>
    </w:p>
    <w:p w14:paraId="6AAFB9BE" w14:textId="4F6F39B5" w:rsidR="008A5068" w:rsidRDefault="008A5068" w:rsidP="00DE44EE">
      <w:pPr>
        <w:spacing w:after="0" w:line="480" w:lineRule="auto"/>
        <w:ind w:firstLine="708"/>
        <w:rPr>
          <w:lang w:val="en-US"/>
        </w:rPr>
      </w:pPr>
    </w:p>
    <w:p w14:paraId="7905B628" w14:textId="77777777" w:rsidR="008A5068" w:rsidRDefault="008A5068" w:rsidP="00DE44EE">
      <w:pPr>
        <w:spacing w:after="0" w:line="480" w:lineRule="auto"/>
        <w:ind w:firstLine="708"/>
        <w:rPr>
          <w:lang w:val="en-US"/>
        </w:rPr>
      </w:pPr>
    </w:p>
    <w:p w14:paraId="016758E3" w14:textId="77DB9593" w:rsidR="000A2778" w:rsidRDefault="000A2778" w:rsidP="000A2778">
      <w:pPr>
        <w:pStyle w:val="Caption"/>
        <w:rPr>
          <w:lang w:val="en-US"/>
        </w:rPr>
      </w:pPr>
      <w:bookmarkStart w:id="82" w:name="_Ref39408806"/>
      <w:r>
        <w:t xml:space="preserve">Table </w:t>
      </w:r>
      <w:r>
        <w:fldChar w:fldCharType="begin"/>
      </w:r>
      <w:r>
        <w:instrText>SEQ Table \* ARABIC</w:instrText>
      </w:r>
      <w:r>
        <w:fldChar w:fldCharType="separate"/>
      </w:r>
      <w:r w:rsidR="0008188F">
        <w:rPr>
          <w:noProof/>
        </w:rPr>
        <w:t>8</w:t>
      </w:r>
      <w:r>
        <w:fldChar w:fldCharType="end"/>
      </w:r>
      <w:bookmarkEnd w:id="82"/>
    </w:p>
    <w:tbl>
      <w:tblPr>
        <w:tblStyle w:val="TableGrid"/>
        <w:tblW w:w="0" w:type="auto"/>
        <w:jc w:val="center"/>
        <w:tblLook w:val="04A0" w:firstRow="1" w:lastRow="0" w:firstColumn="1" w:lastColumn="0" w:noHBand="0" w:noVBand="1"/>
      </w:tblPr>
      <w:tblGrid>
        <w:gridCol w:w="1165"/>
        <w:gridCol w:w="4950"/>
      </w:tblGrid>
      <w:tr w:rsidR="000A2778" w14:paraId="36EFD90F" w14:textId="77777777" w:rsidTr="000A2778">
        <w:trPr>
          <w:jc w:val="center"/>
        </w:trPr>
        <w:tc>
          <w:tcPr>
            <w:tcW w:w="1165" w:type="dxa"/>
          </w:tcPr>
          <w:p w14:paraId="71A139F9" w14:textId="77777777" w:rsidR="000A2778" w:rsidRDefault="000A2778" w:rsidP="00EA1612">
            <w:pPr>
              <w:spacing w:line="480" w:lineRule="auto"/>
              <w:jc w:val="center"/>
            </w:pPr>
            <w:r>
              <w:rPr>
                <w:rFonts w:cs="Times New Roman"/>
                <w:szCs w:val="24"/>
              </w:rPr>
              <w:t>Sample</w:t>
            </w:r>
          </w:p>
        </w:tc>
        <w:tc>
          <w:tcPr>
            <w:tcW w:w="4950" w:type="dxa"/>
          </w:tcPr>
          <w:p w14:paraId="5139F16E" w14:textId="77777777" w:rsidR="000A2778" w:rsidRDefault="000A2778" w:rsidP="00EA1612">
            <w:pPr>
              <w:spacing w:line="480" w:lineRule="auto"/>
            </w:pPr>
            <w:r>
              <w:rPr>
                <w:rFonts w:cs="Times New Roman"/>
                <w:szCs w:val="24"/>
              </w:rPr>
              <w:t>Composition</w:t>
            </w:r>
          </w:p>
        </w:tc>
      </w:tr>
      <w:tr w:rsidR="000A2778" w14:paraId="3043173F" w14:textId="77777777" w:rsidTr="000A2778">
        <w:trPr>
          <w:jc w:val="center"/>
        </w:trPr>
        <w:tc>
          <w:tcPr>
            <w:tcW w:w="1165" w:type="dxa"/>
          </w:tcPr>
          <w:p w14:paraId="2A66F4F5" w14:textId="77777777" w:rsidR="000A2778" w:rsidRDefault="000A2778" w:rsidP="00EA1612">
            <w:pPr>
              <w:spacing w:line="480" w:lineRule="auto"/>
              <w:jc w:val="center"/>
            </w:pPr>
            <w:r>
              <w:t>1</w:t>
            </w:r>
          </w:p>
        </w:tc>
        <w:tc>
          <w:tcPr>
            <w:tcW w:w="4950" w:type="dxa"/>
          </w:tcPr>
          <w:p w14:paraId="4AD0330B" w14:textId="77777777" w:rsidR="000A2778" w:rsidRDefault="000A2778" w:rsidP="00EA1612">
            <w:pPr>
              <w:spacing w:line="360" w:lineRule="auto"/>
            </w:pPr>
            <w:r w:rsidRPr="0082662B">
              <w:rPr>
                <w:rFonts w:cs="Times New Roman"/>
                <w:szCs w:val="24"/>
              </w:rPr>
              <w:t>Uncoated NanoGard</w:t>
            </w:r>
            <w:r w:rsidRPr="0082662B">
              <w:rPr>
                <w:rFonts w:cs="Times New Roman"/>
                <w:szCs w:val="24"/>
                <w:vertAlign w:val="superscript"/>
              </w:rPr>
              <w:t xml:space="preserve">TM </w:t>
            </w:r>
            <w:r w:rsidRPr="0082662B">
              <w:rPr>
                <w:rFonts w:cs="Times New Roman"/>
                <w:szCs w:val="24"/>
              </w:rPr>
              <w:t>in water</w:t>
            </w:r>
          </w:p>
        </w:tc>
      </w:tr>
      <w:tr w:rsidR="000A2778" w:rsidRPr="0017136F" w14:paraId="217E2A30" w14:textId="77777777" w:rsidTr="000A2778">
        <w:trPr>
          <w:jc w:val="center"/>
        </w:trPr>
        <w:tc>
          <w:tcPr>
            <w:tcW w:w="1165" w:type="dxa"/>
          </w:tcPr>
          <w:p w14:paraId="18DF9518" w14:textId="77777777" w:rsidR="000A2778" w:rsidRDefault="000A2778" w:rsidP="00EA1612">
            <w:pPr>
              <w:spacing w:line="480" w:lineRule="auto"/>
              <w:jc w:val="center"/>
            </w:pPr>
            <w:r>
              <w:t>2</w:t>
            </w:r>
          </w:p>
        </w:tc>
        <w:tc>
          <w:tcPr>
            <w:tcW w:w="4950" w:type="dxa"/>
          </w:tcPr>
          <w:p w14:paraId="54677EF4" w14:textId="77777777" w:rsidR="000A2778" w:rsidRPr="0017136F" w:rsidRDefault="000A2778" w:rsidP="00EA1612">
            <w:pPr>
              <w:spacing w:line="360" w:lineRule="auto"/>
              <w:rPr>
                <w:rFonts w:cs="Times New Roman"/>
                <w:szCs w:val="24"/>
              </w:rPr>
            </w:pPr>
            <w:r w:rsidRPr="0082662B">
              <w:rPr>
                <w:rFonts w:cs="Times New Roman"/>
                <w:szCs w:val="24"/>
              </w:rPr>
              <w:t>Uncoated NanoTek</w:t>
            </w:r>
            <w:r w:rsidRPr="0082662B">
              <w:rPr>
                <w:rFonts w:cs="Times New Roman"/>
                <w:szCs w:val="24"/>
                <w:vertAlign w:val="superscript"/>
              </w:rPr>
              <w:t xml:space="preserve">TM </w:t>
            </w:r>
            <w:r w:rsidRPr="0082662B">
              <w:rPr>
                <w:rFonts w:cs="Times New Roman"/>
                <w:szCs w:val="24"/>
              </w:rPr>
              <w:t>in 70% Ethanol</w:t>
            </w:r>
          </w:p>
        </w:tc>
      </w:tr>
      <w:tr w:rsidR="000A2778" w:rsidRPr="0044385A" w14:paraId="37DAF4F9" w14:textId="77777777" w:rsidTr="000A2778">
        <w:trPr>
          <w:jc w:val="center"/>
        </w:trPr>
        <w:tc>
          <w:tcPr>
            <w:tcW w:w="1165" w:type="dxa"/>
          </w:tcPr>
          <w:p w14:paraId="00253B39" w14:textId="77777777" w:rsidR="000A2778" w:rsidRDefault="000A2778" w:rsidP="00EA1612">
            <w:pPr>
              <w:spacing w:line="480" w:lineRule="auto"/>
              <w:jc w:val="center"/>
            </w:pPr>
            <w:r>
              <w:t>3</w:t>
            </w:r>
          </w:p>
        </w:tc>
        <w:tc>
          <w:tcPr>
            <w:tcW w:w="4950" w:type="dxa"/>
          </w:tcPr>
          <w:p w14:paraId="2F5DADA2" w14:textId="77777777" w:rsidR="000A2778" w:rsidRPr="0017136F" w:rsidRDefault="000A2778" w:rsidP="00EA1612">
            <w:pPr>
              <w:spacing w:line="360" w:lineRule="auto"/>
              <w:rPr>
                <w:rFonts w:cs="Times New Roman"/>
                <w:szCs w:val="24"/>
              </w:rPr>
            </w:pPr>
            <w:r w:rsidRPr="0082662B">
              <w:rPr>
                <w:rFonts w:cs="Times New Roman"/>
                <w:szCs w:val="24"/>
              </w:rPr>
              <w:t>DDAO Coated NanoGard</w:t>
            </w:r>
            <w:r w:rsidRPr="0082662B">
              <w:rPr>
                <w:rFonts w:cs="Times New Roman"/>
                <w:szCs w:val="24"/>
                <w:vertAlign w:val="superscript"/>
              </w:rPr>
              <w:t>TM</w:t>
            </w:r>
            <w:r w:rsidRPr="0082662B">
              <w:rPr>
                <w:rFonts w:cs="Times New Roman"/>
                <w:szCs w:val="24"/>
              </w:rPr>
              <w:t xml:space="preserve"> in 70% Ethanol</w:t>
            </w:r>
          </w:p>
        </w:tc>
      </w:tr>
      <w:tr w:rsidR="000A2778" w:rsidRPr="0044385A" w14:paraId="7E711249" w14:textId="77777777" w:rsidTr="000A2778">
        <w:trPr>
          <w:jc w:val="center"/>
        </w:trPr>
        <w:tc>
          <w:tcPr>
            <w:tcW w:w="1165" w:type="dxa"/>
          </w:tcPr>
          <w:p w14:paraId="65F4C381" w14:textId="77777777" w:rsidR="000A2778" w:rsidRDefault="000A2778" w:rsidP="00EA1612">
            <w:pPr>
              <w:spacing w:line="480" w:lineRule="auto"/>
              <w:jc w:val="center"/>
            </w:pPr>
            <w:r>
              <w:t>4</w:t>
            </w:r>
          </w:p>
        </w:tc>
        <w:tc>
          <w:tcPr>
            <w:tcW w:w="4950" w:type="dxa"/>
          </w:tcPr>
          <w:p w14:paraId="79FD1DE7" w14:textId="77777777" w:rsidR="000A2778" w:rsidRPr="0017136F" w:rsidRDefault="000A2778" w:rsidP="00EA1612">
            <w:pPr>
              <w:spacing w:line="360" w:lineRule="auto"/>
              <w:rPr>
                <w:rFonts w:cs="Times New Roman"/>
                <w:szCs w:val="24"/>
              </w:rPr>
            </w:pPr>
            <w:r w:rsidRPr="0082662B">
              <w:rPr>
                <w:rFonts w:cs="Times New Roman"/>
                <w:szCs w:val="24"/>
              </w:rPr>
              <w:t>DDAO Coated NanoTek</w:t>
            </w:r>
            <w:r w:rsidRPr="0082662B">
              <w:rPr>
                <w:rFonts w:cs="Times New Roman"/>
                <w:szCs w:val="24"/>
                <w:vertAlign w:val="superscript"/>
              </w:rPr>
              <w:t>TM</w:t>
            </w:r>
            <w:r w:rsidRPr="0082662B">
              <w:rPr>
                <w:rFonts w:cs="Times New Roman"/>
                <w:szCs w:val="24"/>
              </w:rPr>
              <w:t xml:space="preserve"> in 70% Ethanol</w:t>
            </w:r>
          </w:p>
        </w:tc>
      </w:tr>
      <w:tr w:rsidR="000A2778" w:rsidRPr="0044385A" w14:paraId="40EA6899" w14:textId="77777777" w:rsidTr="000A2778">
        <w:trPr>
          <w:jc w:val="center"/>
        </w:trPr>
        <w:tc>
          <w:tcPr>
            <w:tcW w:w="1165" w:type="dxa"/>
          </w:tcPr>
          <w:p w14:paraId="52D785F6" w14:textId="77777777" w:rsidR="000A2778" w:rsidRDefault="000A2778" w:rsidP="00EA1612">
            <w:pPr>
              <w:spacing w:line="480" w:lineRule="auto"/>
              <w:jc w:val="center"/>
            </w:pPr>
            <w:r>
              <w:t>5</w:t>
            </w:r>
          </w:p>
        </w:tc>
        <w:tc>
          <w:tcPr>
            <w:tcW w:w="4950" w:type="dxa"/>
          </w:tcPr>
          <w:p w14:paraId="313B098E" w14:textId="77777777" w:rsidR="000A2778" w:rsidRPr="0017136F" w:rsidRDefault="000A2778" w:rsidP="00EA1612">
            <w:pPr>
              <w:spacing w:line="360" w:lineRule="auto"/>
              <w:rPr>
                <w:rFonts w:cs="Times New Roman"/>
                <w:szCs w:val="24"/>
              </w:rPr>
            </w:pPr>
            <w:r w:rsidRPr="0082662B">
              <w:rPr>
                <w:rFonts w:cs="Times New Roman"/>
                <w:szCs w:val="24"/>
              </w:rPr>
              <w:t>DDAO Coated NanoGard</w:t>
            </w:r>
            <w:r w:rsidRPr="0082662B">
              <w:rPr>
                <w:rFonts w:cs="Times New Roman"/>
                <w:szCs w:val="24"/>
                <w:vertAlign w:val="superscript"/>
              </w:rPr>
              <w:t>TM</w:t>
            </w:r>
            <w:r w:rsidRPr="0082662B">
              <w:rPr>
                <w:rFonts w:cs="Times New Roman"/>
                <w:szCs w:val="24"/>
              </w:rPr>
              <w:t xml:space="preserve"> in water</w:t>
            </w:r>
          </w:p>
        </w:tc>
      </w:tr>
      <w:tr w:rsidR="000A2778" w:rsidRPr="0044385A" w14:paraId="224279C3" w14:textId="77777777" w:rsidTr="000A2778">
        <w:trPr>
          <w:jc w:val="center"/>
        </w:trPr>
        <w:tc>
          <w:tcPr>
            <w:tcW w:w="1165" w:type="dxa"/>
          </w:tcPr>
          <w:p w14:paraId="7BBB9184" w14:textId="77777777" w:rsidR="000A2778" w:rsidRDefault="000A2778" w:rsidP="00EA1612">
            <w:pPr>
              <w:spacing w:line="480" w:lineRule="auto"/>
              <w:jc w:val="center"/>
            </w:pPr>
            <w:r>
              <w:t>6</w:t>
            </w:r>
          </w:p>
        </w:tc>
        <w:tc>
          <w:tcPr>
            <w:tcW w:w="4950" w:type="dxa"/>
          </w:tcPr>
          <w:p w14:paraId="65CA7048" w14:textId="77777777" w:rsidR="000A2778" w:rsidRPr="0017136F" w:rsidRDefault="000A2778" w:rsidP="00EA1612">
            <w:pPr>
              <w:spacing w:line="360" w:lineRule="auto"/>
              <w:rPr>
                <w:rFonts w:cs="Times New Roman"/>
                <w:szCs w:val="24"/>
              </w:rPr>
            </w:pPr>
            <w:r w:rsidRPr="0082662B">
              <w:rPr>
                <w:rFonts w:cs="Times New Roman"/>
                <w:szCs w:val="24"/>
              </w:rPr>
              <w:t>DDAO Coated NanoTek</w:t>
            </w:r>
            <w:r w:rsidRPr="0082662B">
              <w:rPr>
                <w:rFonts w:cs="Times New Roman"/>
                <w:szCs w:val="24"/>
                <w:vertAlign w:val="superscript"/>
              </w:rPr>
              <w:t>TM</w:t>
            </w:r>
            <w:r w:rsidRPr="0082662B">
              <w:rPr>
                <w:rFonts w:cs="Times New Roman"/>
                <w:szCs w:val="24"/>
              </w:rPr>
              <w:t xml:space="preserve"> in water</w:t>
            </w:r>
          </w:p>
        </w:tc>
      </w:tr>
      <w:tr w:rsidR="000A2778" w:rsidRPr="00337282" w14:paraId="0082FDDB" w14:textId="77777777" w:rsidTr="000A2778">
        <w:trPr>
          <w:jc w:val="center"/>
        </w:trPr>
        <w:tc>
          <w:tcPr>
            <w:tcW w:w="1165" w:type="dxa"/>
          </w:tcPr>
          <w:p w14:paraId="6B45EE20" w14:textId="77777777" w:rsidR="000A2778" w:rsidRDefault="000A2778" w:rsidP="00EA1612">
            <w:pPr>
              <w:spacing w:line="480" w:lineRule="auto"/>
              <w:jc w:val="center"/>
            </w:pPr>
            <w:r>
              <w:t>7</w:t>
            </w:r>
          </w:p>
        </w:tc>
        <w:tc>
          <w:tcPr>
            <w:tcW w:w="4950" w:type="dxa"/>
          </w:tcPr>
          <w:p w14:paraId="74CD3BFB" w14:textId="13B2815F" w:rsidR="000A2778" w:rsidRPr="0082662B" w:rsidRDefault="000A2778" w:rsidP="00EA1612">
            <w:pPr>
              <w:spacing w:line="360" w:lineRule="auto"/>
              <w:rPr>
                <w:rFonts w:cs="Times New Roman"/>
                <w:szCs w:val="24"/>
              </w:rPr>
            </w:pPr>
            <w:r>
              <w:rPr>
                <w:rFonts w:cs="Times New Roman"/>
                <w:szCs w:val="24"/>
              </w:rPr>
              <w:t xml:space="preserve">DDAO </w:t>
            </w:r>
            <w:r w:rsidR="00DA3048">
              <w:rPr>
                <w:rFonts w:cs="Times New Roman"/>
                <w:szCs w:val="24"/>
              </w:rPr>
              <w:t>solution</w:t>
            </w:r>
          </w:p>
        </w:tc>
      </w:tr>
    </w:tbl>
    <w:p w14:paraId="04370653" w14:textId="77777777" w:rsidR="000A2778" w:rsidRDefault="000A2778" w:rsidP="00DE44EE">
      <w:pPr>
        <w:spacing w:after="0" w:line="480" w:lineRule="auto"/>
        <w:ind w:firstLine="708"/>
        <w:rPr>
          <w:lang w:val="en-US"/>
        </w:rPr>
      </w:pPr>
    </w:p>
    <w:p w14:paraId="5E4938B9" w14:textId="32E9601A" w:rsidR="000A2778" w:rsidRDefault="00D41B80" w:rsidP="00273D80">
      <w:pPr>
        <w:spacing w:after="0" w:line="480" w:lineRule="auto"/>
        <w:ind w:firstLine="708"/>
        <w:jc w:val="both"/>
        <w:rPr>
          <w:lang w:val="en-US"/>
        </w:rPr>
      </w:pPr>
      <w:r>
        <w:rPr>
          <w:lang w:val="en-US"/>
        </w:rPr>
        <w:t xml:space="preserve">Once the nanoparticles were added to the respective solutions, they were sonicated in a water bath for </w:t>
      </w:r>
      <w:r w:rsidR="00AE69B3">
        <w:rPr>
          <w:lang w:val="en-US"/>
        </w:rPr>
        <w:t xml:space="preserve">approximately </w:t>
      </w:r>
      <w:r>
        <w:rPr>
          <w:lang w:val="en-US"/>
        </w:rPr>
        <w:t>1.5</w:t>
      </w:r>
      <w:r w:rsidR="00C50742">
        <w:rPr>
          <w:lang w:val="en-US"/>
        </w:rPr>
        <w:t xml:space="preserve"> hours with </w:t>
      </w:r>
      <w:r w:rsidR="00BE7CEF">
        <w:rPr>
          <w:lang w:val="en-US"/>
        </w:rPr>
        <w:t xml:space="preserve">intermittent </w:t>
      </w:r>
      <w:r w:rsidR="00C50742">
        <w:rPr>
          <w:lang w:val="en-US"/>
        </w:rPr>
        <w:t xml:space="preserve">vortexing </w:t>
      </w:r>
      <w:r w:rsidR="00BE7CEF">
        <w:rPr>
          <w:lang w:val="en-US"/>
        </w:rPr>
        <w:t xml:space="preserve">for 2 minutes </w:t>
      </w:r>
      <w:r w:rsidR="00C50742">
        <w:rPr>
          <w:lang w:val="en-US"/>
        </w:rPr>
        <w:t>every 30 minutes.</w:t>
      </w:r>
      <w:r w:rsidR="00D5725D">
        <w:rPr>
          <w:lang w:val="en-US"/>
        </w:rPr>
        <w:t xml:space="preserve"> </w:t>
      </w:r>
      <w:r w:rsidR="00B32A5D">
        <w:rPr>
          <w:lang w:val="en-US"/>
        </w:rPr>
        <w:t>S</w:t>
      </w:r>
      <w:r w:rsidR="00D5725D">
        <w:rPr>
          <w:lang w:val="en-US"/>
        </w:rPr>
        <w:t>onicating</w:t>
      </w:r>
      <w:r w:rsidR="00B32A5D">
        <w:rPr>
          <w:lang w:val="en-US"/>
        </w:rPr>
        <w:t xml:space="preserve"> of</w:t>
      </w:r>
      <w:r w:rsidR="00D5725D">
        <w:rPr>
          <w:lang w:val="en-US"/>
        </w:rPr>
        <w:t xml:space="preserve"> the solution</w:t>
      </w:r>
      <w:r w:rsidR="00B32A5D">
        <w:rPr>
          <w:lang w:val="en-US"/>
        </w:rPr>
        <w:t xml:space="preserve"> continued</w:t>
      </w:r>
      <w:r w:rsidR="00D5725D">
        <w:rPr>
          <w:lang w:val="en-US"/>
        </w:rPr>
        <w:t xml:space="preserve"> </w:t>
      </w:r>
      <w:r w:rsidR="00904DD6">
        <w:rPr>
          <w:lang w:val="en-US"/>
        </w:rPr>
        <w:t xml:space="preserve">for additional 30 minute increments </w:t>
      </w:r>
      <w:r w:rsidR="00D5725D">
        <w:rPr>
          <w:lang w:val="en-US"/>
        </w:rPr>
        <w:t>until</w:t>
      </w:r>
      <w:r w:rsidR="00AE69B3">
        <w:rPr>
          <w:lang w:val="en-US"/>
        </w:rPr>
        <w:t xml:space="preserve"> nanoparticle agglomerates </w:t>
      </w:r>
      <w:r w:rsidR="0098298C">
        <w:rPr>
          <w:lang w:val="en-US"/>
        </w:rPr>
        <w:t>were</w:t>
      </w:r>
      <w:r w:rsidR="00AE69B3">
        <w:rPr>
          <w:lang w:val="en-US"/>
        </w:rPr>
        <w:t xml:space="preserve"> </w:t>
      </w:r>
      <w:r w:rsidR="00D5725D">
        <w:rPr>
          <w:lang w:val="en-US"/>
        </w:rPr>
        <w:t>broken apart</w:t>
      </w:r>
      <w:r w:rsidR="0098298C">
        <w:rPr>
          <w:lang w:val="en-US"/>
        </w:rPr>
        <w:t xml:space="preserve"> and dispersed into the solution</w:t>
      </w:r>
      <w:r w:rsidR="0053323E">
        <w:rPr>
          <w:lang w:val="en-US"/>
        </w:rPr>
        <w:t>.</w:t>
      </w:r>
      <w:r w:rsidR="0098298C">
        <w:rPr>
          <w:lang w:val="en-US"/>
        </w:rPr>
        <w:t xml:space="preserve"> </w:t>
      </w:r>
      <w:r w:rsidR="000A3185">
        <w:rPr>
          <w:lang w:val="en-US"/>
        </w:rPr>
        <w:t>Centrifuge</w:t>
      </w:r>
      <w:r w:rsidR="00E44E67">
        <w:rPr>
          <w:lang w:val="en-US"/>
        </w:rPr>
        <w:t>d solutions at 8000 rpm for 25 minutes</w:t>
      </w:r>
      <w:r w:rsidR="00402303">
        <w:rPr>
          <w:lang w:val="en-US"/>
        </w:rPr>
        <w:t xml:space="preserve"> then removed the supernatant (NaOH or HCl).</w:t>
      </w:r>
    </w:p>
    <w:p w14:paraId="141B4E6B" w14:textId="18A135A2" w:rsidR="002700A7" w:rsidRDefault="00747E84" w:rsidP="00273D80">
      <w:pPr>
        <w:spacing w:after="0" w:line="480" w:lineRule="auto"/>
        <w:ind w:firstLine="708"/>
        <w:jc w:val="both"/>
        <w:rPr>
          <w:lang w:val="en-US"/>
        </w:rPr>
      </w:pPr>
      <w:r>
        <w:rPr>
          <w:lang w:val="en-US"/>
        </w:rPr>
        <w:t>The nanoparticles were washed</w:t>
      </w:r>
      <w:r w:rsidR="00D64A3D">
        <w:rPr>
          <w:lang w:val="en-US"/>
        </w:rPr>
        <w:t xml:space="preserve"> by adding 20 mL ethyl alcohol</w:t>
      </w:r>
      <w:r>
        <w:rPr>
          <w:lang w:val="en-US"/>
        </w:rPr>
        <w:t xml:space="preserve"> and mixing the solution</w:t>
      </w:r>
      <w:r w:rsidR="00D64A3D">
        <w:rPr>
          <w:lang w:val="en-US"/>
        </w:rPr>
        <w:t>.</w:t>
      </w:r>
      <w:r w:rsidR="00B10D81">
        <w:rPr>
          <w:lang w:val="en-US"/>
        </w:rPr>
        <w:t xml:space="preserve"> Nanoparticles were resuspended in the ethyl alcohol by sonicating in a water bath at room temperature for </w:t>
      </w:r>
      <w:r w:rsidR="00A314DC">
        <w:rPr>
          <w:lang w:val="en-US"/>
        </w:rPr>
        <w:t>30 minutes with intermittent mixing. Solutions were centrifuged at 8000 rpm for 2</w:t>
      </w:r>
      <w:r w:rsidR="00AA316E">
        <w:rPr>
          <w:lang w:val="en-US"/>
        </w:rPr>
        <w:t>5</w:t>
      </w:r>
      <w:r w:rsidR="00A314DC">
        <w:rPr>
          <w:lang w:val="en-US"/>
        </w:rPr>
        <w:t xml:space="preserve"> minutes</w:t>
      </w:r>
      <w:r w:rsidR="00502C35">
        <w:rPr>
          <w:lang w:val="en-US"/>
        </w:rPr>
        <w:t xml:space="preserve"> and supernatant removed. Steps were repeated until 3-5 wash steps were completed.</w:t>
      </w:r>
      <w:r w:rsidR="00AA316E">
        <w:rPr>
          <w:lang w:val="en-US"/>
        </w:rPr>
        <w:t xml:space="preserve"> Once at least three washes have been completed, </w:t>
      </w:r>
      <w:r w:rsidR="00985EFD">
        <w:rPr>
          <w:lang w:val="en-US"/>
        </w:rPr>
        <w:t xml:space="preserve">before centrifuging a fourth time, </w:t>
      </w:r>
      <w:r w:rsidR="0043307E">
        <w:rPr>
          <w:lang w:val="en-US"/>
        </w:rPr>
        <w:t>split the nanoparticles</w:t>
      </w:r>
      <w:r w:rsidR="00A967EB">
        <w:rPr>
          <w:lang w:val="en-US"/>
        </w:rPr>
        <w:t xml:space="preserve"> based on mass</w:t>
      </w:r>
      <w:r w:rsidR="0043307E">
        <w:rPr>
          <w:lang w:val="en-US"/>
        </w:rPr>
        <w:t xml:space="preserve"> between 2 tubes.</w:t>
      </w:r>
      <w:r w:rsidR="00BA3472">
        <w:rPr>
          <w:lang w:val="en-US"/>
        </w:rPr>
        <w:t xml:space="preserve"> </w:t>
      </w:r>
      <w:r w:rsidR="00536EF9">
        <w:rPr>
          <w:lang w:val="en-US"/>
        </w:rPr>
        <w:t>One of the tubes was saved for testing</w:t>
      </w:r>
      <w:r w:rsidR="00C1201E">
        <w:rPr>
          <w:lang w:val="en-US"/>
        </w:rPr>
        <w:t xml:space="preserve"> of the nanoparticles suspended in ethyl alcohol. The other tube was </w:t>
      </w:r>
      <w:r w:rsidR="00C73C52">
        <w:rPr>
          <w:lang w:val="en-US"/>
        </w:rPr>
        <w:t>centrifuged,</w:t>
      </w:r>
      <w:r w:rsidR="00C1201E">
        <w:rPr>
          <w:lang w:val="en-US"/>
        </w:rPr>
        <w:t xml:space="preserve"> </w:t>
      </w:r>
      <w:r w:rsidR="000F0F1E">
        <w:rPr>
          <w:lang w:val="en-US"/>
        </w:rPr>
        <w:t>and</w:t>
      </w:r>
      <w:r w:rsidR="00034B95">
        <w:rPr>
          <w:lang w:val="en-US"/>
        </w:rPr>
        <w:t xml:space="preserve"> the ethanol replaced with</w:t>
      </w:r>
      <w:r w:rsidR="00AB15F4">
        <w:rPr>
          <w:lang w:val="en-US"/>
        </w:rPr>
        <w:t xml:space="preserve"> 20 mL</w:t>
      </w:r>
      <w:r w:rsidR="00034B95">
        <w:rPr>
          <w:lang w:val="en-US"/>
        </w:rPr>
        <w:t xml:space="preserve"> ultra-pure water</w:t>
      </w:r>
      <w:r w:rsidR="000F0F1E">
        <w:rPr>
          <w:lang w:val="en-US"/>
        </w:rPr>
        <w:t>.</w:t>
      </w:r>
    </w:p>
    <w:p w14:paraId="1884582D" w14:textId="4DA5D3E6" w:rsidR="00021FC6" w:rsidRPr="00E56553" w:rsidRDefault="009710E6" w:rsidP="00273D80">
      <w:pPr>
        <w:spacing w:line="480" w:lineRule="auto"/>
        <w:ind w:firstLine="708"/>
        <w:jc w:val="both"/>
        <w:rPr>
          <w:lang w:val="en-US"/>
        </w:rPr>
      </w:pPr>
      <w:r>
        <w:rPr>
          <w:lang w:val="en-US"/>
        </w:rPr>
        <w:t>The nanoparticle solution in water was</w:t>
      </w:r>
      <w:r w:rsidR="0082023D">
        <w:rPr>
          <w:lang w:val="en-US"/>
        </w:rPr>
        <w:t xml:space="preserve"> added to </w:t>
      </w:r>
      <w:r w:rsidR="00CD06B6" w:rsidRPr="00CD06B6">
        <w:rPr>
          <w:lang w:val="en-US"/>
        </w:rPr>
        <w:t>1x THY media</w:t>
      </w:r>
      <w:r w:rsidR="00CD06B6">
        <w:rPr>
          <w:lang w:val="en-US"/>
        </w:rPr>
        <w:t xml:space="preserve"> to create an </w:t>
      </w:r>
      <w:r w:rsidR="00CD06B6" w:rsidRPr="00CD06B6">
        <w:rPr>
          <w:lang w:val="en-US"/>
        </w:rPr>
        <w:t>80% concentration of the</w:t>
      </w:r>
      <w:r w:rsidR="00CD06B6">
        <w:rPr>
          <w:lang w:val="en-US"/>
        </w:rPr>
        <w:t xml:space="preserve"> n</w:t>
      </w:r>
      <w:r w:rsidR="00CD06B6" w:rsidRPr="00CD06B6">
        <w:rPr>
          <w:lang w:val="en-US"/>
        </w:rPr>
        <w:t xml:space="preserve">anoparticle solution. </w:t>
      </w:r>
      <w:r w:rsidR="00890F46">
        <w:rPr>
          <w:lang w:val="en-US"/>
        </w:rPr>
        <w:t>A</w:t>
      </w:r>
      <w:r w:rsidR="00CD06B6" w:rsidRPr="00CD06B6">
        <w:rPr>
          <w:lang w:val="en-US"/>
        </w:rPr>
        <w:t xml:space="preserve"> 1:2 dilution was </w:t>
      </w:r>
      <w:r w:rsidR="00A76896">
        <w:rPr>
          <w:lang w:val="en-US"/>
        </w:rPr>
        <w:t>conducted</w:t>
      </w:r>
      <w:r w:rsidR="00890F46">
        <w:rPr>
          <w:lang w:val="en-US"/>
        </w:rPr>
        <w:t xml:space="preserve"> and repeated 12-fold</w:t>
      </w:r>
      <w:r w:rsidR="00CD06B6" w:rsidRPr="00CD06B6">
        <w:rPr>
          <w:lang w:val="en-US"/>
        </w:rPr>
        <w:t>. Once the</w:t>
      </w:r>
      <w:r w:rsidR="00A76896">
        <w:rPr>
          <w:lang w:val="en-US"/>
        </w:rPr>
        <w:t xml:space="preserve"> serial</w:t>
      </w:r>
      <w:r w:rsidR="00CD06B6" w:rsidRPr="00CD06B6">
        <w:rPr>
          <w:lang w:val="en-US"/>
        </w:rPr>
        <w:t xml:space="preserve"> dilutions were </w:t>
      </w:r>
      <w:r w:rsidR="00A76896">
        <w:rPr>
          <w:lang w:val="en-US"/>
        </w:rPr>
        <w:t>complete</w:t>
      </w:r>
      <w:r w:rsidR="00CD06B6" w:rsidRPr="00CD06B6">
        <w:rPr>
          <w:lang w:val="en-US"/>
        </w:rPr>
        <w:t>, a 1:50 dilution of a</w:t>
      </w:r>
      <w:r w:rsidR="00A76896">
        <w:rPr>
          <w:lang w:val="en-US"/>
        </w:rPr>
        <w:t>n</w:t>
      </w:r>
      <w:r w:rsidR="00CD06B6" w:rsidRPr="00CD06B6">
        <w:rPr>
          <w:lang w:val="en-US"/>
        </w:rPr>
        <w:t xml:space="preserve"> S. mutans overnight culture was added to each of the tubes. The tubes were inverted several times to ensure good mixing, then the bacteria culture was streaked on a 1x THY Spec-plate to check for the presence or absence of </w:t>
      </w:r>
      <w:r w:rsidR="001B58F7">
        <w:rPr>
          <w:lang w:val="en-US"/>
        </w:rPr>
        <w:t xml:space="preserve">bacterial </w:t>
      </w:r>
      <w:r w:rsidR="00CD06B6" w:rsidRPr="00CD06B6">
        <w:rPr>
          <w:lang w:val="en-US"/>
        </w:rPr>
        <w:t>growth</w:t>
      </w:r>
      <w:r w:rsidR="00115658">
        <w:rPr>
          <w:lang w:val="en-US"/>
        </w:rPr>
        <w:fldChar w:fldCharType="begin" w:fldLock="1"/>
      </w:r>
      <w:r w:rsidR="004871C8">
        <w:rPr>
          <w:lang w:val="en-US"/>
        </w:rPr>
        <w:instrText>ADDIN CSL_CITATION {"citationItems":[{"id":"ITEM-1","itemData":{"DOI":"10.1002/9780471729259.mc01b01s00","ISSN":"1934-8533","abstract":"Many bacteria can exist as surface-attached aggregations known as biofilms. Presented in this unit are several approaches for the study of these communities. The focus here is on static biofilm systems, which are particularly useful for examination of the early stages of biofilm formation, including initial adherence to the surface and microcolony formation. Furthermore, most of the techniques presented are easily adapted to the study of biofilms under a variety of conditions and are suitable for either small- or relatively large-scale studies. Unlike assays involving continuous-flow systems, the static biofilm assays described here require very little specialized equipment and are relatively simple to execute. In addition, these static biofilm systems allow analysis of biofilm formation with a variety of readouts, including microscopy of live cells, macroscopic visualization of stained bacteria, and viability counts. Used individually or in combination, these assays provide useful means for the study of biofilms.","author":[{"dropping-particle":"","family":"Merritt","given":"Judith H","non-dropping-particle":"","parse-names":false,"suffix":""},{"dropping-particle":"","family":"Kadouri","given":"Daniel E","non-dropping-particle":"","parse-names":false,"suffix":""},{"dropping-particle":"","family":"O'Toole","given":"George A","non-dropping-particle":"","parse-names":false,"suffix":""}],"container-title":"Current protocols in microbiology","id":"ITEM-1","issued":{"date-parts":[["2005","7"]]},"language":"eng","page":"Unit-1B.1","title":"Growing and analyzing static biofilms","type":"article-journal","volume":"Chapter 1"},"uris":["http://www.mendeley.com/documents/?uuid=b59510f4-5ce5-4fd1-b27a-394b035ebc63"]}],"mendeley":{"formattedCitation":"&lt;sup&gt;85&lt;/sup&gt;","plainTextFormattedCitation":"85","previouslyFormattedCitation":"&lt;sup&gt;85&lt;/sup&gt;"},"properties":{"noteIndex":0},"schema":"https://github.com/citation-style-language/schema/raw/master/csl-citation.json"}</w:instrText>
      </w:r>
      <w:r w:rsidR="00115658">
        <w:rPr>
          <w:lang w:val="en-US"/>
        </w:rPr>
        <w:fldChar w:fldCharType="separate"/>
      </w:r>
      <w:r w:rsidR="00B01517" w:rsidRPr="00B01517">
        <w:rPr>
          <w:noProof/>
          <w:vertAlign w:val="superscript"/>
          <w:lang w:val="en-US"/>
        </w:rPr>
        <w:t>85</w:t>
      </w:r>
      <w:r w:rsidR="00115658">
        <w:rPr>
          <w:lang w:val="en-US"/>
        </w:rPr>
        <w:fldChar w:fldCharType="end"/>
      </w:r>
      <w:r w:rsidR="00CD06B6" w:rsidRPr="00CD06B6">
        <w:rPr>
          <w:lang w:val="en-US"/>
        </w:rPr>
        <w:t>.</w:t>
      </w:r>
    </w:p>
    <w:p w14:paraId="21DABEB5" w14:textId="3202EE29" w:rsidR="00DE4C85" w:rsidRDefault="0058523E" w:rsidP="00273D80">
      <w:pPr>
        <w:pStyle w:val="Heading2"/>
        <w:jc w:val="both"/>
      </w:pPr>
      <w:bookmarkStart w:id="83" w:name="_Toc45837562"/>
      <w:r>
        <w:t>Results</w:t>
      </w:r>
      <w:r w:rsidR="00F40FF2">
        <w:t xml:space="preserve"> </w:t>
      </w:r>
      <w:r w:rsidR="008C1BB7">
        <w:t xml:space="preserve">and Discussion </w:t>
      </w:r>
      <w:r w:rsidR="00F40FF2">
        <w:t>– Contact Angle</w:t>
      </w:r>
      <w:bookmarkEnd w:id="83"/>
    </w:p>
    <w:p w14:paraId="07C68A02" w14:textId="4219E557" w:rsidR="00D6775E" w:rsidRDefault="0058523E" w:rsidP="00D6775E">
      <w:pPr>
        <w:spacing w:after="0" w:line="480" w:lineRule="auto"/>
        <w:jc w:val="both"/>
        <w:rPr>
          <w:lang w:val="en-US"/>
        </w:rPr>
      </w:pPr>
      <w:r>
        <w:rPr>
          <w:lang w:val="en-US"/>
        </w:rPr>
        <w:tab/>
      </w:r>
      <w:r w:rsidR="005336AE">
        <w:rPr>
          <w:lang w:val="en-US"/>
        </w:rPr>
        <w:t xml:space="preserve">It is important to evaluate the hydrophilic properties of the adhesive with nanoparticles and surfactant incorporated into it. The antibacterial properties of the nanoparticles on their own </w:t>
      </w:r>
      <w:r w:rsidR="003D3D2C">
        <w:rPr>
          <w:lang w:val="en-US"/>
        </w:rPr>
        <w:t>are</w:t>
      </w:r>
      <w:r w:rsidR="005336AE">
        <w:rPr>
          <w:lang w:val="en-US"/>
        </w:rPr>
        <w:t xml:space="preserve"> important, but in addition to this, a</w:t>
      </w:r>
      <w:r w:rsidR="00D6775E">
        <w:rPr>
          <w:lang w:val="en-US"/>
        </w:rPr>
        <w:t>n adhesive with hydrophobic properties is more desirable. If the surface exhibits more hydrophobic properties, the likelihood of bacteria infiltrating through saliva decreases significantly</w:t>
      </w:r>
      <w:r w:rsidR="00966D4F">
        <w:rPr>
          <w:lang w:val="en-US"/>
        </w:rPr>
        <w:t xml:space="preserve">; however, if the material is too hydrophobic, this will </w:t>
      </w:r>
      <w:r w:rsidR="002B5A0E">
        <w:rPr>
          <w:lang w:val="en-US"/>
        </w:rPr>
        <w:t>cause issues for</w:t>
      </w:r>
      <w:r w:rsidR="00966D4F">
        <w:rPr>
          <w:lang w:val="en-US"/>
        </w:rPr>
        <w:t xml:space="preserve"> the adhesion of the adhesive to the tooth surface. </w:t>
      </w:r>
      <w:r w:rsidR="00A32BDD">
        <w:rPr>
          <w:lang w:val="en-US"/>
        </w:rPr>
        <w:t>When the adhesive is too hydrophobic, it will not adhere to the tooth surface which could cause gaps and crevices between the tooth</w:t>
      </w:r>
      <w:r w:rsidR="00945942">
        <w:rPr>
          <w:lang w:val="en-US"/>
        </w:rPr>
        <w:t xml:space="preserve"> surface</w:t>
      </w:r>
      <w:r w:rsidR="00A32BDD">
        <w:rPr>
          <w:lang w:val="en-US"/>
        </w:rPr>
        <w:t xml:space="preserve"> and adhesive</w:t>
      </w:r>
      <w:r w:rsidR="00945942">
        <w:rPr>
          <w:lang w:val="en-US"/>
        </w:rPr>
        <w:t xml:space="preserve"> resin</w:t>
      </w:r>
      <w:r w:rsidR="00A32BDD">
        <w:rPr>
          <w:lang w:val="en-US"/>
        </w:rPr>
        <w:t xml:space="preserve">. Pathogenic bacteria could </w:t>
      </w:r>
      <w:r w:rsidR="00945942">
        <w:rPr>
          <w:lang w:val="en-US"/>
        </w:rPr>
        <w:t xml:space="preserve">infiltrate the gaps where the antibacterial adhesive is not bonded to the tooth and cause additional harm to the tooth surface leading to secondary caries. </w:t>
      </w:r>
      <w:r w:rsidR="00D6775E">
        <w:rPr>
          <w:lang w:val="en-US"/>
        </w:rPr>
        <w:t xml:space="preserve">For this reason, the contact angle of the different adhesive compositions is measured and evaluated </w:t>
      </w:r>
      <w:r w:rsidR="00747E84">
        <w:rPr>
          <w:lang w:val="en-US"/>
        </w:rPr>
        <w:t>to</w:t>
      </w:r>
      <w:r w:rsidR="00D6775E">
        <w:rPr>
          <w:lang w:val="en-US"/>
        </w:rPr>
        <w:t xml:space="preserve"> find the most </w:t>
      </w:r>
      <w:r w:rsidR="00115658">
        <w:rPr>
          <w:lang w:val="en-US"/>
        </w:rPr>
        <w:t>well-rounded</w:t>
      </w:r>
      <w:r w:rsidR="00D6775E">
        <w:rPr>
          <w:lang w:val="en-US"/>
        </w:rPr>
        <w:t xml:space="preserve"> nano composition for antibacterial purposes.</w:t>
      </w:r>
      <w:r w:rsidR="00646373">
        <w:rPr>
          <w:lang w:val="en-US"/>
        </w:rPr>
        <w:t xml:space="preserve"> </w:t>
      </w:r>
    </w:p>
    <w:p w14:paraId="78D29217" w14:textId="5C901663" w:rsidR="00F37BB4" w:rsidRPr="000B2D41" w:rsidRDefault="005336AE" w:rsidP="00D6775E">
      <w:pPr>
        <w:spacing w:line="480" w:lineRule="auto"/>
        <w:ind w:firstLine="708"/>
        <w:jc w:val="both"/>
        <w:rPr>
          <w:lang w:val="en-US"/>
        </w:rPr>
      </w:pPr>
      <w:r>
        <w:rPr>
          <w:lang w:val="en-US"/>
        </w:rPr>
        <w:t xml:space="preserve"> </w:t>
      </w:r>
      <w:r w:rsidR="00FF34F6" w:rsidRPr="00FF34F6">
        <w:rPr>
          <w:lang w:val="en-US"/>
        </w:rPr>
        <w:t>The Nanogard</w:t>
      </w:r>
      <w:r w:rsidR="00387DCB" w:rsidRPr="677E1CE1">
        <w:rPr>
          <w:rFonts w:cs="Times New Roman"/>
          <w:szCs w:val="24"/>
          <w:vertAlign w:val="superscript"/>
          <w:lang w:val="en-US"/>
        </w:rPr>
        <w:t>TM</w:t>
      </w:r>
      <w:r w:rsidR="00FF34F6" w:rsidRPr="00FF34F6">
        <w:rPr>
          <w:lang w:val="en-US"/>
        </w:rPr>
        <w:t xml:space="preserve"> powder is known to have hydrophilic properties so it was expected that the </w:t>
      </w:r>
      <w:r w:rsidR="0028100B">
        <w:rPr>
          <w:lang w:val="en-US"/>
        </w:rPr>
        <w:t xml:space="preserve">water </w:t>
      </w:r>
      <w:r w:rsidR="00FF34F6" w:rsidRPr="00FF34F6">
        <w:rPr>
          <w:lang w:val="en-US"/>
        </w:rPr>
        <w:t xml:space="preserve">droplet would spread out more over the specimen </w:t>
      </w:r>
      <w:r w:rsidR="00B32A5D">
        <w:rPr>
          <w:lang w:val="en-US"/>
        </w:rPr>
        <w:t>containing</w:t>
      </w:r>
      <w:r w:rsidR="00FF34F6" w:rsidRPr="00FF34F6">
        <w:rPr>
          <w:lang w:val="en-US"/>
        </w:rPr>
        <w:t xml:space="preserve"> Nanogard</w:t>
      </w:r>
      <w:r w:rsidR="00387DCB" w:rsidRPr="677E1CE1">
        <w:rPr>
          <w:rFonts w:cs="Times New Roman"/>
          <w:szCs w:val="24"/>
          <w:vertAlign w:val="superscript"/>
          <w:lang w:val="en-US"/>
        </w:rPr>
        <w:t>TM</w:t>
      </w:r>
      <w:r w:rsidR="001266E4">
        <w:rPr>
          <w:lang w:val="en-US"/>
        </w:rPr>
        <w:t xml:space="preserve">. This would result in a smaller contact angle </w:t>
      </w:r>
      <w:r w:rsidR="0001258B">
        <w:rPr>
          <w:lang w:val="en-US"/>
        </w:rPr>
        <w:t xml:space="preserve">reading for </w:t>
      </w:r>
      <w:r w:rsidR="00345CBC">
        <w:rPr>
          <w:lang w:val="en-US"/>
        </w:rPr>
        <w:t>the adhesive with</w:t>
      </w:r>
      <w:r w:rsidR="0001258B">
        <w:rPr>
          <w:lang w:val="en-US"/>
        </w:rPr>
        <w:t xml:space="preserve"> Nanogard</w:t>
      </w:r>
      <w:r w:rsidR="00387DCB" w:rsidRPr="677E1CE1">
        <w:rPr>
          <w:rFonts w:cs="Times New Roman"/>
          <w:szCs w:val="24"/>
          <w:vertAlign w:val="superscript"/>
          <w:lang w:val="en-US"/>
        </w:rPr>
        <w:t>TM</w:t>
      </w:r>
      <w:r w:rsidR="0001258B">
        <w:rPr>
          <w:lang w:val="en-US"/>
        </w:rPr>
        <w:t xml:space="preserve"> materials</w:t>
      </w:r>
      <w:r w:rsidR="00345CBC">
        <w:rPr>
          <w:lang w:val="en-US"/>
        </w:rPr>
        <w:t xml:space="preserve"> incorporated in it</w:t>
      </w:r>
      <w:r w:rsidR="0001258B">
        <w:rPr>
          <w:lang w:val="en-US"/>
        </w:rPr>
        <w:t>.</w:t>
      </w:r>
      <w:r w:rsidR="00FF34F6" w:rsidRPr="00FF34F6">
        <w:rPr>
          <w:lang w:val="en-US"/>
        </w:rPr>
        <w:t xml:space="preserve"> The opposite is expected for the </w:t>
      </w:r>
      <w:r w:rsidR="00C84B0B">
        <w:rPr>
          <w:rFonts w:cs="Times New Roman"/>
          <w:szCs w:val="24"/>
          <w:lang w:val="en-US"/>
        </w:rPr>
        <w:t>NanoTek</w:t>
      </w:r>
      <w:r w:rsidR="00C84B0B" w:rsidRPr="677E1CE1">
        <w:rPr>
          <w:rFonts w:cs="Times New Roman"/>
          <w:szCs w:val="24"/>
          <w:vertAlign w:val="superscript"/>
          <w:lang w:val="en-US"/>
        </w:rPr>
        <w:t>TM</w:t>
      </w:r>
      <w:r w:rsidR="00FF34F6" w:rsidRPr="00FF34F6">
        <w:rPr>
          <w:lang w:val="en-US"/>
        </w:rPr>
        <w:t xml:space="preserve"> samples which are expected to be hydrophobic</w:t>
      </w:r>
      <w:r w:rsidR="00E77859">
        <w:rPr>
          <w:lang w:val="en-US"/>
        </w:rPr>
        <w:t xml:space="preserve"> due to the organosilane coating</w:t>
      </w:r>
      <w:r w:rsidR="00FF34F6" w:rsidRPr="00FF34F6">
        <w:rPr>
          <w:lang w:val="en-US"/>
        </w:rPr>
        <w:t>.</w:t>
      </w:r>
      <w:r w:rsidR="006129C6">
        <w:rPr>
          <w:lang w:val="en-US"/>
        </w:rPr>
        <w:t xml:space="preserve"> NanoTek</w:t>
      </w:r>
      <w:r w:rsidR="006129C6" w:rsidRPr="00903D53">
        <w:rPr>
          <w:vertAlign w:val="superscript"/>
          <w:lang w:val="en-US"/>
        </w:rPr>
        <w:t>TM</w:t>
      </w:r>
      <w:r w:rsidR="006129C6">
        <w:rPr>
          <w:lang w:val="en-US"/>
        </w:rPr>
        <w:t xml:space="preserve"> was examined due to its organosilane coating.</w:t>
      </w:r>
      <w:r w:rsidR="00030A54">
        <w:rPr>
          <w:lang w:val="en-US"/>
        </w:rPr>
        <w:t xml:space="preserve"> Silanation can help to create a strong bond between the nanoparticles and the adhesive.</w:t>
      </w:r>
      <w:r w:rsidR="00FF34F6" w:rsidRPr="00FF34F6">
        <w:rPr>
          <w:lang w:val="en-US"/>
        </w:rPr>
        <w:t xml:space="preserve"> Because the DDAO surfactant has a long carbon chain, it is </w:t>
      </w:r>
      <w:r w:rsidR="00050783">
        <w:rPr>
          <w:lang w:val="en-US"/>
        </w:rPr>
        <w:t xml:space="preserve">possible for it to </w:t>
      </w:r>
      <w:r w:rsidR="00FF34F6" w:rsidRPr="00FF34F6">
        <w:rPr>
          <w:lang w:val="en-US"/>
        </w:rPr>
        <w:t>form micelles</w:t>
      </w:r>
      <w:r w:rsidR="002E7DD5">
        <w:rPr>
          <w:lang w:val="en-US"/>
        </w:rPr>
        <w:t xml:space="preserve"> that could affect the contact angle</w:t>
      </w:r>
      <w:r w:rsidR="00FF34F6" w:rsidRPr="00FF34F6">
        <w:rPr>
          <w:lang w:val="en-US"/>
        </w:rPr>
        <w:t xml:space="preserve">. </w:t>
      </w:r>
      <w:r w:rsidR="00A04B7F">
        <w:rPr>
          <w:lang w:val="en-US"/>
        </w:rPr>
        <w:t>It is possible that the surfactant could also coat the nanoparticles</w:t>
      </w:r>
      <w:r w:rsidR="009F376F">
        <w:rPr>
          <w:lang w:val="en-US"/>
        </w:rPr>
        <w:t xml:space="preserve"> </w:t>
      </w:r>
      <w:r w:rsidR="00A04B7F">
        <w:rPr>
          <w:lang w:val="en-US"/>
        </w:rPr>
        <w:t xml:space="preserve">which would improve </w:t>
      </w:r>
      <w:r w:rsidR="000D6A41">
        <w:rPr>
          <w:lang w:val="en-US"/>
        </w:rPr>
        <w:t xml:space="preserve">dispersion and bonding. </w:t>
      </w:r>
      <w:r w:rsidR="00FF34F6" w:rsidRPr="00FF34F6">
        <w:rPr>
          <w:lang w:val="en-US"/>
        </w:rPr>
        <w:t>The analysis of the wettability testing can be seen in</w:t>
      </w:r>
      <w:r w:rsidR="0006295D">
        <w:rPr>
          <w:lang w:val="en-US"/>
        </w:rPr>
        <w:t xml:space="preserve"> </w:t>
      </w:r>
      <w:r w:rsidR="0006295D">
        <w:rPr>
          <w:lang w:val="en-US"/>
        </w:rPr>
        <w:fldChar w:fldCharType="begin"/>
      </w:r>
      <w:r w:rsidR="0006295D">
        <w:rPr>
          <w:lang w:val="en-US"/>
        </w:rPr>
        <w:instrText xml:space="preserve"> REF _Ref36305222 \h </w:instrText>
      </w:r>
      <w:r w:rsidR="0006295D">
        <w:rPr>
          <w:lang w:val="en-US"/>
        </w:rPr>
      </w:r>
      <w:r w:rsidR="0006295D">
        <w:rPr>
          <w:lang w:val="en-US"/>
        </w:rPr>
        <w:fldChar w:fldCharType="separate"/>
      </w:r>
      <w:r w:rsidR="0008188F" w:rsidRPr="00F701E3">
        <w:rPr>
          <w:rFonts w:cs="Times New Roman"/>
          <w:sz w:val="22"/>
          <w:lang w:val="en-US"/>
        </w:rPr>
        <w:t xml:space="preserve">Figure </w:t>
      </w:r>
      <w:r w:rsidR="0008188F">
        <w:rPr>
          <w:rFonts w:cs="Times New Roman"/>
          <w:noProof/>
          <w:sz w:val="22"/>
          <w:lang w:val="en-US"/>
        </w:rPr>
        <w:t>17</w:t>
      </w:r>
      <w:r w:rsidR="0006295D">
        <w:rPr>
          <w:lang w:val="en-US"/>
        </w:rPr>
        <w:fldChar w:fldCharType="end"/>
      </w:r>
      <w:r w:rsidR="00AB055E">
        <w:rPr>
          <w:lang w:val="en-US"/>
        </w:rPr>
        <w:fldChar w:fldCharType="begin"/>
      </w:r>
      <w:r w:rsidR="00AB055E">
        <w:rPr>
          <w:lang w:val="en-US"/>
        </w:rPr>
        <w:instrText xml:space="preserve"> REF _Ref38393027 \h </w:instrText>
      </w:r>
      <w:r w:rsidR="00AB055E">
        <w:rPr>
          <w:lang w:val="en-US"/>
        </w:rPr>
      </w:r>
      <w:r w:rsidR="00AB055E">
        <w:rPr>
          <w:lang w:val="en-US"/>
        </w:rPr>
        <w:fldChar w:fldCharType="separate"/>
      </w:r>
      <w:r w:rsidR="0008188F" w:rsidRPr="00F701E3">
        <w:rPr>
          <w:rFonts w:cs="Times New Roman"/>
          <w:sz w:val="22"/>
          <w:lang w:val="en-US"/>
        </w:rPr>
        <w:t xml:space="preserve">Figure </w:t>
      </w:r>
      <w:r w:rsidR="0008188F">
        <w:rPr>
          <w:rFonts w:cs="Times New Roman"/>
          <w:noProof/>
          <w:sz w:val="22"/>
          <w:lang w:val="en-US"/>
        </w:rPr>
        <w:t>17</w:t>
      </w:r>
      <w:r w:rsidR="0008188F" w:rsidRPr="00F701E3">
        <w:rPr>
          <w:rFonts w:cs="Times New Roman"/>
          <w:sz w:val="22"/>
          <w:lang w:val="en-US"/>
        </w:rPr>
        <w:t xml:space="preserve"> – Contact angle from computer software</w:t>
      </w:r>
      <w:r w:rsidR="00AB055E">
        <w:rPr>
          <w:lang w:val="en-US"/>
        </w:rPr>
        <w:fldChar w:fldCharType="end"/>
      </w:r>
      <w:r w:rsidR="0006295D">
        <w:rPr>
          <w:lang w:val="en-US"/>
        </w:rPr>
        <w:t>.</w:t>
      </w:r>
    </w:p>
    <w:p w14:paraId="413B7777" w14:textId="77777777" w:rsidR="00F37BB4" w:rsidRPr="00241A81" w:rsidRDefault="00F37BB4" w:rsidP="00F37BB4">
      <w:pPr>
        <w:spacing w:line="480" w:lineRule="auto"/>
        <w:jc w:val="center"/>
        <w:rPr>
          <w:rFonts w:cs="Times New Roman"/>
          <w:szCs w:val="24"/>
          <w:lang w:val="en-US"/>
        </w:rPr>
      </w:pPr>
      <w:r>
        <w:rPr>
          <w:noProof/>
          <w:lang w:val="en-US"/>
        </w:rPr>
        <w:drawing>
          <wp:inline distT="0" distB="0" distL="0" distR="0" wp14:anchorId="01847E80" wp14:editId="6F07F349">
            <wp:extent cx="5226052" cy="2244521"/>
            <wp:effectExtent l="0" t="0" r="0" b="3810"/>
            <wp:docPr id="135311807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34">
                      <a:extLst>
                        <a:ext uri="{28A0092B-C50C-407E-A947-70E740481C1C}">
                          <a14:useLocalDpi xmlns:a14="http://schemas.microsoft.com/office/drawing/2010/main" val="0"/>
                        </a:ext>
                      </a:extLst>
                    </a:blip>
                    <a:stretch>
                      <a:fillRect/>
                    </a:stretch>
                  </pic:blipFill>
                  <pic:spPr>
                    <a:xfrm>
                      <a:off x="0" y="0"/>
                      <a:ext cx="5226052" cy="2244521"/>
                    </a:xfrm>
                    <a:prstGeom prst="rect">
                      <a:avLst/>
                    </a:prstGeom>
                  </pic:spPr>
                </pic:pic>
              </a:graphicData>
            </a:graphic>
          </wp:inline>
        </w:drawing>
      </w:r>
    </w:p>
    <w:p w14:paraId="2162D47E" w14:textId="555EB051" w:rsidR="00F37BB4" w:rsidRDefault="00F37BB4" w:rsidP="00F37BB4">
      <w:pPr>
        <w:pStyle w:val="Caption"/>
        <w:rPr>
          <w:rFonts w:cs="Times New Roman"/>
          <w:sz w:val="22"/>
          <w:szCs w:val="22"/>
          <w:lang w:val="en-US"/>
        </w:rPr>
      </w:pPr>
      <w:bookmarkStart w:id="84" w:name="_Ref36305222"/>
      <w:bookmarkStart w:id="85" w:name="_Ref38393027"/>
      <w:bookmarkStart w:id="86" w:name="_Toc45837588"/>
      <w:r w:rsidRPr="00F701E3">
        <w:rPr>
          <w:rFonts w:cs="Times New Roman"/>
          <w:sz w:val="22"/>
          <w:szCs w:val="22"/>
          <w:lang w:val="en-US"/>
        </w:rPr>
        <w:t xml:space="preserve">Figure </w:t>
      </w:r>
      <w:r w:rsidRPr="00F701E3">
        <w:rPr>
          <w:rFonts w:cs="Times New Roman"/>
          <w:sz w:val="22"/>
          <w:szCs w:val="22"/>
        </w:rPr>
        <w:fldChar w:fldCharType="begin"/>
      </w:r>
      <w:r w:rsidRPr="00F701E3">
        <w:rPr>
          <w:rFonts w:cs="Times New Roman"/>
          <w:sz w:val="22"/>
          <w:szCs w:val="22"/>
          <w:lang w:val="en-US"/>
        </w:rPr>
        <w:instrText xml:space="preserve"> SEQ Figure \* ARABIC </w:instrText>
      </w:r>
      <w:r w:rsidRPr="00F701E3">
        <w:rPr>
          <w:rFonts w:cs="Times New Roman"/>
          <w:sz w:val="22"/>
          <w:szCs w:val="22"/>
        </w:rPr>
        <w:fldChar w:fldCharType="separate"/>
      </w:r>
      <w:r w:rsidR="0008188F">
        <w:rPr>
          <w:rFonts w:cs="Times New Roman"/>
          <w:noProof/>
          <w:sz w:val="22"/>
          <w:szCs w:val="22"/>
          <w:lang w:val="en-US"/>
        </w:rPr>
        <w:t>17</w:t>
      </w:r>
      <w:r w:rsidRPr="00F701E3">
        <w:rPr>
          <w:rFonts w:cs="Times New Roman"/>
          <w:sz w:val="22"/>
          <w:szCs w:val="22"/>
        </w:rPr>
        <w:fldChar w:fldCharType="end"/>
      </w:r>
      <w:bookmarkEnd w:id="84"/>
      <w:r w:rsidRPr="00F701E3">
        <w:rPr>
          <w:rFonts w:cs="Times New Roman"/>
          <w:sz w:val="22"/>
          <w:szCs w:val="22"/>
          <w:lang w:val="en-US"/>
        </w:rPr>
        <w:t xml:space="preserve"> – Contact angle from computer software</w:t>
      </w:r>
      <w:bookmarkEnd w:id="85"/>
      <w:bookmarkEnd w:id="86"/>
    </w:p>
    <w:p w14:paraId="677EAB74" w14:textId="4E2E45D8" w:rsidR="00F37BB4" w:rsidRPr="005976DF" w:rsidRDefault="00017EF6" w:rsidP="00144ABC">
      <w:pPr>
        <w:spacing w:line="480" w:lineRule="auto"/>
        <w:rPr>
          <w:szCs w:val="24"/>
          <w:lang w:val="en-US"/>
        </w:rPr>
      </w:pPr>
      <w:r w:rsidRPr="005976DF">
        <w:rPr>
          <w:rFonts w:cs="Times New Roman"/>
          <w:szCs w:val="24"/>
          <w:lang w:val="en-US"/>
        </w:rPr>
        <w:t xml:space="preserve">Images of the </w:t>
      </w:r>
      <w:r>
        <w:rPr>
          <w:rFonts w:cs="Times New Roman"/>
          <w:szCs w:val="24"/>
          <w:lang w:val="en-US"/>
        </w:rPr>
        <w:t xml:space="preserve">water </w:t>
      </w:r>
      <w:r w:rsidRPr="005976DF">
        <w:rPr>
          <w:rFonts w:cs="Times New Roman"/>
          <w:szCs w:val="24"/>
          <w:lang w:val="en-US"/>
        </w:rPr>
        <w:t xml:space="preserve">droplet </w:t>
      </w:r>
      <w:r>
        <w:rPr>
          <w:rFonts w:cs="Times New Roman"/>
          <w:szCs w:val="24"/>
          <w:lang w:val="en-US"/>
        </w:rPr>
        <w:t>after</w:t>
      </w:r>
      <w:r w:rsidRPr="005976DF">
        <w:rPr>
          <w:rFonts w:cs="Times New Roman"/>
          <w:szCs w:val="24"/>
          <w:lang w:val="en-US"/>
        </w:rPr>
        <w:t xml:space="preserve"> analysis. Numbers in upper right corner correspond to the sample numbers shown in</w:t>
      </w:r>
      <w:r>
        <w:rPr>
          <w:rFonts w:cs="Times New Roman"/>
          <w:szCs w:val="24"/>
          <w:lang w:val="en-US"/>
        </w:rPr>
        <w:t xml:space="preserve"> </w:t>
      </w:r>
      <w:r>
        <w:rPr>
          <w:rFonts w:cs="Times New Roman"/>
          <w:szCs w:val="24"/>
          <w:lang w:val="en-US"/>
        </w:rPr>
        <w:fldChar w:fldCharType="begin"/>
      </w:r>
      <w:r>
        <w:rPr>
          <w:rFonts w:cs="Times New Roman"/>
          <w:szCs w:val="24"/>
          <w:lang w:val="en-US"/>
        </w:rPr>
        <w:instrText xml:space="preserve"> REF _Ref46955565 \h </w:instrText>
      </w:r>
      <w:r>
        <w:rPr>
          <w:rFonts w:cs="Times New Roman"/>
          <w:szCs w:val="24"/>
          <w:lang w:val="en-US"/>
        </w:rPr>
      </w:r>
      <w:r>
        <w:rPr>
          <w:rFonts w:cs="Times New Roman"/>
          <w:szCs w:val="24"/>
          <w:lang w:val="en-US"/>
        </w:rPr>
        <w:fldChar w:fldCharType="separate"/>
      </w:r>
      <w:r w:rsidR="0008188F">
        <w:t xml:space="preserve">Table </w:t>
      </w:r>
      <w:r w:rsidR="0008188F">
        <w:rPr>
          <w:noProof/>
        </w:rPr>
        <w:t>6</w:t>
      </w:r>
      <w:r>
        <w:rPr>
          <w:rFonts w:cs="Times New Roman"/>
          <w:szCs w:val="24"/>
          <w:lang w:val="en-US"/>
        </w:rPr>
        <w:fldChar w:fldCharType="end"/>
      </w:r>
      <w:r>
        <w:rPr>
          <w:rFonts w:cs="Times New Roman"/>
          <w:szCs w:val="24"/>
          <w:lang w:val="en-US"/>
        </w:rPr>
        <w:t xml:space="preserve"> and </w:t>
      </w:r>
      <w:r>
        <w:rPr>
          <w:rFonts w:cs="Times New Roman"/>
          <w:szCs w:val="24"/>
          <w:lang w:val="en-US"/>
        </w:rPr>
        <w:fldChar w:fldCharType="begin"/>
      </w:r>
      <w:r>
        <w:rPr>
          <w:rFonts w:cs="Times New Roman"/>
          <w:szCs w:val="24"/>
          <w:lang w:val="en-US"/>
        </w:rPr>
        <w:instrText xml:space="preserve"> REF _Ref38391481 \h </w:instrText>
      </w:r>
      <w:r>
        <w:rPr>
          <w:rFonts w:cs="Times New Roman"/>
          <w:szCs w:val="24"/>
          <w:lang w:val="en-US"/>
        </w:rPr>
      </w:r>
      <w:r>
        <w:rPr>
          <w:rFonts w:cs="Times New Roman"/>
          <w:szCs w:val="24"/>
          <w:lang w:val="en-US"/>
        </w:rPr>
        <w:fldChar w:fldCharType="separate"/>
      </w:r>
      <w:r w:rsidR="0008188F" w:rsidRPr="001C053C">
        <w:rPr>
          <w:lang w:val="en-US"/>
        </w:rPr>
        <w:t xml:space="preserve">Table </w:t>
      </w:r>
      <w:r w:rsidR="0008188F">
        <w:rPr>
          <w:noProof/>
          <w:lang w:val="en-US"/>
        </w:rPr>
        <w:t>9</w:t>
      </w:r>
      <w:r>
        <w:rPr>
          <w:rFonts w:cs="Times New Roman"/>
          <w:szCs w:val="24"/>
          <w:lang w:val="en-US"/>
        </w:rPr>
        <w:fldChar w:fldCharType="end"/>
      </w:r>
      <w:r>
        <w:rPr>
          <w:rFonts w:cs="Times New Roman"/>
          <w:szCs w:val="24"/>
          <w:lang w:val="en-US"/>
        </w:rPr>
        <w:t>.</w:t>
      </w:r>
    </w:p>
    <w:p w14:paraId="6CEC1019" w14:textId="7D7EA8FC" w:rsidR="00691B49" w:rsidRDefault="008260C7" w:rsidP="00691B49">
      <w:pPr>
        <w:spacing w:after="0" w:line="480" w:lineRule="auto"/>
        <w:ind w:firstLine="708"/>
        <w:jc w:val="both"/>
        <w:rPr>
          <w:lang w:val="en-US"/>
        </w:rPr>
      </w:pPr>
      <w:r>
        <w:rPr>
          <w:lang w:val="en-US"/>
        </w:rPr>
        <w:t>The specimen containing Nanogard</w:t>
      </w:r>
      <w:r w:rsidR="007C3CAB" w:rsidRPr="677E1CE1">
        <w:rPr>
          <w:rFonts w:cs="Times New Roman"/>
          <w:szCs w:val="24"/>
          <w:vertAlign w:val="superscript"/>
          <w:lang w:val="en-US"/>
        </w:rPr>
        <w:t>TM</w:t>
      </w:r>
      <w:r>
        <w:rPr>
          <w:lang w:val="en-US"/>
        </w:rPr>
        <w:t xml:space="preserve"> nanoparticles, samples</w:t>
      </w:r>
      <w:r w:rsidR="00FF34F6" w:rsidRPr="00FF34F6">
        <w:rPr>
          <w:lang w:val="en-US"/>
        </w:rPr>
        <w:t xml:space="preserve"> 2 and 4</w:t>
      </w:r>
      <w:r>
        <w:rPr>
          <w:lang w:val="en-US"/>
        </w:rPr>
        <w:t>,</w:t>
      </w:r>
      <w:r w:rsidR="00FF34F6" w:rsidRPr="00FF34F6">
        <w:rPr>
          <w:lang w:val="en-US"/>
        </w:rPr>
        <w:t xml:space="preserve"> experience</w:t>
      </w:r>
      <w:r w:rsidR="00691B49">
        <w:rPr>
          <w:lang w:val="en-US"/>
        </w:rPr>
        <w:t>d</w:t>
      </w:r>
      <w:r w:rsidR="00FF34F6" w:rsidRPr="00FF34F6">
        <w:rPr>
          <w:lang w:val="en-US"/>
        </w:rPr>
        <w:t xml:space="preserve"> a slight</w:t>
      </w:r>
      <w:r w:rsidR="00FD4411">
        <w:rPr>
          <w:lang w:val="en-US"/>
        </w:rPr>
        <w:t>ly less</w:t>
      </w:r>
      <w:r w:rsidR="00FF34F6" w:rsidRPr="00FF34F6">
        <w:rPr>
          <w:lang w:val="en-US"/>
        </w:rPr>
        <w:t xml:space="preserve"> hydroph</w:t>
      </w:r>
      <w:r w:rsidR="00FD4411">
        <w:rPr>
          <w:lang w:val="en-US"/>
        </w:rPr>
        <w:t>il</w:t>
      </w:r>
      <w:r w:rsidR="00FF34F6" w:rsidRPr="00FF34F6">
        <w:rPr>
          <w:lang w:val="en-US"/>
        </w:rPr>
        <w:t xml:space="preserve">ic response when compared to the control (sample 1). </w:t>
      </w:r>
      <w:r w:rsidR="00371CE9">
        <w:rPr>
          <w:lang w:val="en-US"/>
        </w:rPr>
        <w:t>As expected, the samples with</w:t>
      </w:r>
      <w:r w:rsidR="008A7A49">
        <w:rPr>
          <w:lang w:val="en-US"/>
        </w:rPr>
        <w:t xml:space="preserve"> specimen containing</w:t>
      </w:r>
      <w:r w:rsidR="00371CE9">
        <w:rPr>
          <w:lang w:val="en-US"/>
        </w:rPr>
        <w:t xml:space="preserve"> </w:t>
      </w:r>
      <w:r w:rsidR="00C84B0B">
        <w:rPr>
          <w:rFonts w:cs="Times New Roman"/>
          <w:szCs w:val="24"/>
          <w:lang w:val="en-US"/>
        </w:rPr>
        <w:t>NanoTek</w:t>
      </w:r>
      <w:r w:rsidR="00C84B0B" w:rsidRPr="677E1CE1">
        <w:rPr>
          <w:rFonts w:cs="Times New Roman"/>
          <w:szCs w:val="24"/>
          <w:vertAlign w:val="superscript"/>
          <w:lang w:val="en-US"/>
        </w:rPr>
        <w:t>TM</w:t>
      </w:r>
      <w:r w:rsidR="00147785">
        <w:rPr>
          <w:lang w:val="en-US"/>
        </w:rPr>
        <w:t xml:space="preserve"> </w:t>
      </w:r>
      <w:r w:rsidR="008A7A49">
        <w:rPr>
          <w:lang w:val="en-US"/>
        </w:rPr>
        <w:t>nanoparticles</w:t>
      </w:r>
      <w:r w:rsidR="00132670">
        <w:rPr>
          <w:lang w:val="en-US"/>
        </w:rPr>
        <w:t>, samples 3 and 5,</w:t>
      </w:r>
      <w:r w:rsidR="008A7A49">
        <w:rPr>
          <w:lang w:val="en-US"/>
        </w:rPr>
        <w:t xml:space="preserve"> </w:t>
      </w:r>
      <w:r w:rsidR="00FF34F6" w:rsidRPr="00FF34F6">
        <w:rPr>
          <w:lang w:val="en-US"/>
        </w:rPr>
        <w:t>have a</w:t>
      </w:r>
      <w:r w:rsidR="00132670">
        <w:rPr>
          <w:lang w:val="en-US"/>
        </w:rPr>
        <w:t xml:space="preserve"> </w:t>
      </w:r>
      <w:r w:rsidR="006D441A">
        <w:rPr>
          <w:lang w:val="en-US"/>
        </w:rPr>
        <w:t xml:space="preserve">the most </w:t>
      </w:r>
      <w:r w:rsidR="00FF34F6" w:rsidRPr="00FF34F6">
        <w:rPr>
          <w:lang w:val="en-US"/>
        </w:rPr>
        <w:t>hydrophobic response</w:t>
      </w:r>
      <w:r w:rsidR="006D441A">
        <w:rPr>
          <w:lang w:val="en-US"/>
        </w:rPr>
        <w:t xml:space="preserve"> of all the specimen</w:t>
      </w:r>
      <w:r w:rsidR="00FF34F6" w:rsidRPr="00FF34F6">
        <w:rPr>
          <w:lang w:val="en-US"/>
        </w:rPr>
        <w:t>. Sample 6 shows a hydrophilic response as it spreads out more than the control did</w:t>
      </w:r>
      <w:r w:rsidR="00E94526">
        <w:rPr>
          <w:lang w:val="en-US"/>
        </w:rPr>
        <w:t xml:space="preserve"> (</w:t>
      </w:r>
      <w:r w:rsidR="00E94526">
        <w:rPr>
          <w:lang w:val="en-US"/>
        </w:rPr>
        <w:fldChar w:fldCharType="begin"/>
      </w:r>
      <w:r w:rsidR="00E94526">
        <w:rPr>
          <w:lang w:val="en-US"/>
        </w:rPr>
        <w:instrText xml:space="preserve"> REF _Ref45573189 \h </w:instrText>
      </w:r>
      <w:r w:rsidR="00E94526">
        <w:rPr>
          <w:lang w:val="en-US"/>
        </w:rPr>
      </w:r>
      <w:r w:rsidR="00E94526">
        <w:rPr>
          <w:lang w:val="en-US"/>
        </w:rPr>
        <w:fldChar w:fldCharType="separate"/>
      </w:r>
      <w:r w:rsidR="0008188F" w:rsidRPr="007C39B4">
        <w:rPr>
          <w:lang w:val="en-US"/>
        </w:rPr>
        <w:t xml:space="preserve">Figure </w:t>
      </w:r>
      <w:r w:rsidR="0008188F">
        <w:rPr>
          <w:noProof/>
          <w:lang w:val="en-US"/>
        </w:rPr>
        <w:t>18</w:t>
      </w:r>
      <w:r w:rsidR="00E94526">
        <w:rPr>
          <w:lang w:val="en-US"/>
        </w:rPr>
        <w:fldChar w:fldCharType="end"/>
      </w:r>
      <w:r w:rsidR="00E94526">
        <w:rPr>
          <w:lang w:val="en-US"/>
        </w:rPr>
        <w:t>)</w:t>
      </w:r>
      <w:r w:rsidR="00FF34F6" w:rsidRPr="00FF34F6">
        <w:rPr>
          <w:lang w:val="en-US"/>
        </w:rPr>
        <w:t>. A more quantitative analysis can be seen in</w:t>
      </w:r>
      <w:r w:rsidR="00050783">
        <w:rPr>
          <w:lang w:val="en-US"/>
        </w:rPr>
        <w:t xml:space="preserve"> </w:t>
      </w:r>
      <w:r w:rsidR="00050783">
        <w:rPr>
          <w:lang w:val="en-US"/>
        </w:rPr>
        <w:fldChar w:fldCharType="begin"/>
      </w:r>
      <w:r w:rsidR="00050783">
        <w:rPr>
          <w:lang w:val="en-US"/>
        </w:rPr>
        <w:instrText xml:space="preserve"> REF _Ref38391481 \h </w:instrText>
      </w:r>
      <w:r w:rsidR="00050783">
        <w:rPr>
          <w:lang w:val="en-US"/>
        </w:rPr>
      </w:r>
      <w:r w:rsidR="00050783">
        <w:rPr>
          <w:lang w:val="en-US"/>
        </w:rPr>
        <w:fldChar w:fldCharType="separate"/>
      </w:r>
      <w:r w:rsidR="0008188F" w:rsidRPr="001C053C">
        <w:rPr>
          <w:lang w:val="en-US"/>
        </w:rPr>
        <w:t xml:space="preserve">Table </w:t>
      </w:r>
      <w:r w:rsidR="0008188F">
        <w:rPr>
          <w:noProof/>
          <w:lang w:val="en-US"/>
        </w:rPr>
        <w:t>9</w:t>
      </w:r>
      <w:r w:rsidR="00050783">
        <w:rPr>
          <w:lang w:val="en-US"/>
        </w:rPr>
        <w:fldChar w:fldCharType="end"/>
      </w:r>
      <w:r w:rsidR="00CB6043">
        <w:rPr>
          <w:lang w:val="en-US"/>
        </w:rPr>
        <w:t>.</w:t>
      </w:r>
      <w:r w:rsidR="00691B49">
        <w:rPr>
          <w:lang w:val="en-US"/>
        </w:rPr>
        <w:t xml:space="preserve"> Using </w:t>
      </w:r>
      <w:r w:rsidR="00691B49">
        <w:rPr>
          <w:lang w:val="en-US"/>
        </w:rPr>
        <w:fldChar w:fldCharType="begin"/>
      </w:r>
      <w:r w:rsidR="00691B49">
        <w:rPr>
          <w:lang w:val="en-US"/>
        </w:rPr>
        <w:instrText xml:space="preserve"> REF _Ref45574453 \h </w:instrText>
      </w:r>
      <w:r w:rsidR="00691B49">
        <w:rPr>
          <w:lang w:val="en-US"/>
        </w:rPr>
      </w:r>
      <w:r w:rsidR="00691B49">
        <w:rPr>
          <w:lang w:val="en-US"/>
        </w:rPr>
        <w:fldChar w:fldCharType="separate"/>
      </w:r>
      <w:r w:rsidR="0008188F" w:rsidRPr="00691B49">
        <w:rPr>
          <w:lang w:val="en-US"/>
        </w:rPr>
        <w:t xml:space="preserve">Equation </w:t>
      </w:r>
      <w:r w:rsidR="0008188F">
        <w:rPr>
          <w:noProof/>
          <w:lang w:val="en-US"/>
        </w:rPr>
        <w:t>7</w:t>
      </w:r>
      <w:r w:rsidR="00691B49">
        <w:rPr>
          <w:lang w:val="en-US"/>
        </w:rPr>
        <w:fldChar w:fldCharType="end"/>
      </w:r>
      <w:r w:rsidR="00691B49">
        <w:rPr>
          <w:lang w:val="en-US"/>
        </w:rPr>
        <w:t xml:space="preserve"> t</w:t>
      </w:r>
      <w:r w:rsidR="00691B49" w:rsidRPr="00691B49">
        <w:rPr>
          <w:lang w:val="en-US"/>
        </w:rPr>
        <w:t xml:space="preserve">he following functional form is used to describe relation between </w:t>
      </w:r>
      <w:r w:rsidR="004F4A78">
        <w:rPr>
          <w:lang w:val="en-US"/>
        </w:rPr>
        <w:t xml:space="preserve">water </w:t>
      </w:r>
      <w:r w:rsidR="00691B49" w:rsidRPr="00691B49">
        <w:rPr>
          <w:lang w:val="en-US"/>
        </w:rPr>
        <w:t xml:space="preserve">contact angle </w:t>
      </w:r>
      <w:r w:rsidR="00867808">
        <w:rPr>
          <w:lang w:val="en-US"/>
        </w:rPr>
        <w:t>(</w:t>
      </w:r>
      <w:r w:rsidR="00691B49" w:rsidRPr="00691B49">
        <w:rPr>
          <w:lang w:val="en-US"/>
        </w:rPr>
        <w:t>y</w:t>
      </w:r>
      <w:r w:rsidR="00867808">
        <w:rPr>
          <w:lang w:val="en-US"/>
        </w:rPr>
        <w:t>)</w:t>
      </w:r>
      <w:r w:rsidR="00691B49" w:rsidRPr="00691B49">
        <w:rPr>
          <w:lang w:val="en-US"/>
        </w:rPr>
        <w:t xml:space="preserve"> and </w:t>
      </w:r>
      <w:r w:rsidR="004F4A78">
        <w:rPr>
          <w:lang w:val="en-US"/>
        </w:rPr>
        <w:t>time</w:t>
      </w:r>
      <w:r w:rsidR="004F4A78" w:rsidRPr="00691B49">
        <w:rPr>
          <w:lang w:val="en-US"/>
        </w:rPr>
        <w:t xml:space="preserve"> </w:t>
      </w:r>
      <w:r w:rsidR="00867808">
        <w:rPr>
          <w:lang w:val="en-US"/>
        </w:rPr>
        <w:t>(</w:t>
      </w:r>
      <w:r w:rsidR="004F4A78">
        <w:rPr>
          <w:lang w:val="en-US"/>
        </w:rPr>
        <w:t>t</w:t>
      </w:r>
      <w:r w:rsidR="00867808">
        <w:rPr>
          <w:lang w:val="en-US"/>
        </w:rPr>
        <w:t>)</w:t>
      </w:r>
      <w:r w:rsidR="00691B49">
        <w:rPr>
          <w:lang w:val="en-US"/>
        </w:rPr>
        <w:t>.</w:t>
      </w:r>
    </w:p>
    <w:p w14:paraId="79E8FDD1" w14:textId="0FC53E42" w:rsidR="00691B49" w:rsidRDefault="00691B49" w:rsidP="00691B49">
      <w:pPr>
        <w:pStyle w:val="Caption"/>
        <w:rPr>
          <w:rFonts w:eastAsiaTheme="minorEastAsia"/>
          <w:lang w:val="en-US"/>
        </w:rPr>
      </w:pPr>
      <w:bookmarkStart w:id="87" w:name="_Ref45574453"/>
      <w:bookmarkStart w:id="88" w:name="_Ref45574413"/>
      <w:r w:rsidRPr="00691B49">
        <w:rPr>
          <w:lang w:val="en-US"/>
        </w:rPr>
        <w:t xml:space="preserve">Equation </w:t>
      </w:r>
      <w:r>
        <w:fldChar w:fldCharType="begin"/>
      </w:r>
      <w:r w:rsidRPr="00691B49">
        <w:rPr>
          <w:lang w:val="en-US"/>
        </w:rPr>
        <w:instrText xml:space="preserve"> SEQ Equation \* ARABIC </w:instrText>
      </w:r>
      <w:r>
        <w:fldChar w:fldCharType="separate"/>
      </w:r>
      <w:r w:rsidR="0008188F">
        <w:rPr>
          <w:noProof/>
          <w:lang w:val="en-US"/>
        </w:rPr>
        <w:t>7</w:t>
      </w:r>
      <w:r>
        <w:fldChar w:fldCharType="end"/>
      </w:r>
      <w:bookmarkEnd w:id="87"/>
      <w:r w:rsidRPr="00691B49">
        <w:rPr>
          <w:lang w:val="en-US"/>
        </w:rPr>
        <w:tab/>
      </w:r>
      <m:oMath>
        <m:r>
          <m:rPr>
            <m:sty m:val="b"/>
          </m:rPr>
          <w:rPr>
            <w:rFonts w:ascii="Cambria Math" w:hAnsi="Cambria Math"/>
            <w:lang w:val="en-US"/>
          </w:rPr>
          <m:t>y = α + (θ – α) exp (-t/ β)</m:t>
        </m:r>
      </m:oMath>
      <w:bookmarkEnd w:id="88"/>
    </w:p>
    <w:p w14:paraId="1ADFA40C" w14:textId="0572FF60" w:rsidR="00691B49" w:rsidRPr="00691B49" w:rsidRDefault="00691B49" w:rsidP="00691B49">
      <w:pPr>
        <w:spacing w:line="480" w:lineRule="auto"/>
        <w:rPr>
          <w:lang w:val="en-US"/>
        </w:rPr>
      </w:pPr>
      <w:r>
        <w:rPr>
          <w:lang w:val="en-US"/>
        </w:rPr>
        <w:t>Where</w:t>
      </w:r>
      <w:r w:rsidRPr="00691B49">
        <w:rPr>
          <w:lang w:val="en-US"/>
        </w:rPr>
        <w:t xml:space="preserve"> </w:t>
      </w:r>
      <w:r w:rsidRPr="00DF4E86">
        <w:rPr>
          <w:lang w:val="en-US"/>
        </w:rPr>
        <w:t>θ</w:t>
      </w:r>
      <w:r>
        <w:rPr>
          <w:lang w:val="en-US"/>
        </w:rPr>
        <w:t xml:space="preserve"> is the</w:t>
      </w:r>
      <w:r w:rsidRPr="00DF4E86">
        <w:rPr>
          <w:lang w:val="en-US"/>
        </w:rPr>
        <w:t xml:space="preserve"> contact angle at</w:t>
      </w:r>
      <w:r>
        <w:rPr>
          <w:lang w:val="en-US"/>
        </w:rPr>
        <w:t xml:space="preserve"> frame number</w:t>
      </w:r>
      <w:r w:rsidRPr="00DF4E86">
        <w:rPr>
          <w:lang w:val="en-US"/>
        </w:rPr>
        <w:t xml:space="preserve"> 0</w:t>
      </w:r>
      <w:r w:rsidR="00F254C8">
        <w:rPr>
          <w:lang w:val="en-US"/>
        </w:rPr>
        <w:t>,</w:t>
      </w:r>
      <w:r w:rsidRPr="00DF4E86">
        <w:rPr>
          <w:lang w:val="en-US"/>
        </w:rPr>
        <w:t xml:space="preserve"> α</w:t>
      </w:r>
      <w:r>
        <w:rPr>
          <w:lang w:val="en-US"/>
        </w:rPr>
        <w:t xml:space="preserve"> is the</w:t>
      </w:r>
      <w:r w:rsidRPr="00DF4E86">
        <w:rPr>
          <w:lang w:val="en-US"/>
        </w:rPr>
        <w:t xml:space="preserve"> contact angle at time infinity</w:t>
      </w:r>
      <w:r w:rsidR="00F254C8">
        <w:rPr>
          <w:lang w:val="en-US"/>
        </w:rPr>
        <w:t>,</w:t>
      </w:r>
      <w:r w:rsidRPr="00DF4E86">
        <w:rPr>
          <w:lang w:val="en-US"/>
        </w:rPr>
        <w:t xml:space="preserve"> β</w:t>
      </w:r>
      <w:r>
        <w:rPr>
          <w:lang w:val="en-US"/>
        </w:rPr>
        <w:t xml:space="preserve"> is the</w:t>
      </w:r>
      <w:r w:rsidRPr="00DF4E86">
        <w:rPr>
          <w:lang w:val="en-US"/>
        </w:rPr>
        <w:t xml:space="preserve"> exponential decay rate</w:t>
      </w:r>
      <w:r w:rsidR="00F254C8">
        <w:rPr>
          <w:lang w:val="en-US"/>
        </w:rPr>
        <w:t xml:space="preserve">, </w:t>
      </w:r>
      <w:r w:rsidR="004F4A78">
        <w:rPr>
          <w:lang w:val="en-US"/>
        </w:rPr>
        <w:t>t</w:t>
      </w:r>
      <w:r w:rsidR="00F254C8">
        <w:rPr>
          <w:lang w:val="en-US"/>
        </w:rPr>
        <w:t xml:space="preserve"> is the </w:t>
      </w:r>
      <w:r w:rsidR="004F4A78">
        <w:rPr>
          <w:lang w:val="en-US"/>
        </w:rPr>
        <w:t>time (seconds)</w:t>
      </w:r>
      <w:r w:rsidR="00F254C8">
        <w:rPr>
          <w:lang w:val="en-US"/>
        </w:rPr>
        <w:t>, and y is the contact angle</w:t>
      </w:r>
      <w:r w:rsidRPr="00DF4E86">
        <w:rPr>
          <w:lang w:val="en-US"/>
        </w:rPr>
        <w:t>.</w:t>
      </w:r>
    </w:p>
    <w:p w14:paraId="6B33271C" w14:textId="7480EEB8" w:rsidR="008A26B6" w:rsidRDefault="008A26B6" w:rsidP="008A26B6">
      <w:pPr>
        <w:pStyle w:val="Caption"/>
        <w:rPr>
          <w:lang w:val="en-US"/>
        </w:rPr>
      </w:pPr>
      <w:bookmarkStart w:id="89" w:name="_Ref38391481"/>
      <w:r w:rsidRPr="001C053C">
        <w:rPr>
          <w:lang w:val="en-US"/>
        </w:rPr>
        <w:t xml:space="preserve">Table </w:t>
      </w:r>
      <w:r w:rsidR="00A71EF1">
        <w:fldChar w:fldCharType="begin"/>
      </w:r>
      <w:r w:rsidR="00A71EF1" w:rsidRPr="001C053C">
        <w:rPr>
          <w:lang w:val="en-US"/>
        </w:rPr>
        <w:instrText xml:space="preserve"> SEQ Table \* ARABIC </w:instrText>
      </w:r>
      <w:r w:rsidR="00A71EF1">
        <w:fldChar w:fldCharType="separate"/>
      </w:r>
      <w:r w:rsidR="0008188F">
        <w:rPr>
          <w:noProof/>
          <w:lang w:val="en-US"/>
        </w:rPr>
        <w:t>9</w:t>
      </w:r>
      <w:r w:rsidR="00A71EF1">
        <w:rPr>
          <w:noProof/>
        </w:rPr>
        <w:fldChar w:fldCharType="end"/>
      </w:r>
      <w:bookmarkEnd w:id="89"/>
    </w:p>
    <w:tbl>
      <w:tblPr>
        <w:tblStyle w:val="TableGrid"/>
        <w:tblW w:w="8185" w:type="dxa"/>
        <w:jc w:val="center"/>
        <w:tblLook w:val="04A0" w:firstRow="1" w:lastRow="0" w:firstColumn="1" w:lastColumn="0" w:noHBand="0" w:noVBand="1"/>
      </w:tblPr>
      <w:tblGrid>
        <w:gridCol w:w="936"/>
        <w:gridCol w:w="2479"/>
        <w:gridCol w:w="1530"/>
        <w:gridCol w:w="1620"/>
        <w:gridCol w:w="1620"/>
      </w:tblGrid>
      <w:tr w:rsidR="00A3038A" w14:paraId="2D917614" w14:textId="77777777" w:rsidTr="00C84B0B">
        <w:trPr>
          <w:jc w:val="center"/>
        </w:trPr>
        <w:tc>
          <w:tcPr>
            <w:tcW w:w="936" w:type="dxa"/>
          </w:tcPr>
          <w:p w14:paraId="1423AD2B" w14:textId="181666C9" w:rsidR="00A3038A" w:rsidRDefault="00A3038A" w:rsidP="00A3038A">
            <w:r>
              <w:t>Sample</w:t>
            </w:r>
          </w:p>
        </w:tc>
        <w:tc>
          <w:tcPr>
            <w:tcW w:w="2479" w:type="dxa"/>
          </w:tcPr>
          <w:p w14:paraId="25656732" w14:textId="4D71BF7D" w:rsidR="00A3038A" w:rsidRDefault="00A3038A" w:rsidP="00A3038A">
            <w:r>
              <w:t>Group</w:t>
            </w:r>
          </w:p>
        </w:tc>
        <w:tc>
          <w:tcPr>
            <w:tcW w:w="1530" w:type="dxa"/>
          </w:tcPr>
          <w:p w14:paraId="0BDE037F" w14:textId="23F47897" w:rsidR="00A3038A" w:rsidRDefault="00A3038A" w:rsidP="00A3038A">
            <w:r>
              <w:t>θ</w:t>
            </w:r>
          </w:p>
        </w:tc>
        <w:tc>
          <w:tcPr>
            <w:tcW w:w="1620" w:type="dxa"/>
          </w:tcPr>
          <w:p w14:paraId="5F38CB1E" w14:textId="77777777" w:rsidR="00A3038A" w:rsidRDefault="00A3038A" w:rsidP="00A3038A">
            <w:r>
              <w:t>α</w:t>
            </w:r>
          </w:p>
        </w:tc>
        <w:tc>
          <w:tcPr>
            <w:tcW w:w="1620" w:type="dxa"/>
          </w:tcPr>
          <w:p w14:paraId="20D52FA4" w14:textId="77777777" w:rsidR="00A3038A" w:rsidRDefault="00A3038A" w:rsidP="00A3038A">
            <w:r>
              <w:t>β</w:t>
            </w:r>
          </w:p>
        </w:tc>
      </w:tr>
      <w:tr w:rsidR="00A3038A" w14:paraId="53FE1ACA" w14:textId="77777777" w:rsidTr="00C84B0B">
        <w:trPr>
          <w:jc w:val="center"/>
        </w:trPr>
        <w:tc>
          <w:tcPr>
            <w:tcW w:w="936" w:type="dxa"/>
          </w:tcPr>
          <w:p w14:paraId="058C91A6" w14:textId="2E71DBDA" w:rsidR="00A3038A" w:rsidRDefault="00A3038A" w:rsidP="00A3038A">
            <w:pPr>
              <w:jc w:val="center"/>
            </w:pPr>
            <w:r>
              <w:t>1</w:t>
            </w:r>
          </w:p>
        </w:tc>
        <w:tc>
          <w:tcPr>
            <w:tcW w:w="2479" w:type="dxa"/>
          </w:tcPr>
          <w:p w14:paraId="4B766EF3" w14:textId="1FCBF6AE" w:rsidR="00A3038A" w:rsidRDefault="00A3038A" w:rsidP="00A3038A">
            <w:r>
              <w:t>Control</w:t>
            </w:r>
          </w:p>
        </w:tc>
        <w:tc>
          <w:tcPr>
            <w:tcW w:w="1530" w:type="dxa"/>
          </w:tcPr>
          <w:p w14:paraId="7DC14AF8" w14:textId="2C8208AC" w:rsidR="00A3038A" w:rsidRDefault="00A3038A" w:rsidP="00A3038A">
            <w:r>
              <w:t xml:space="preserve">74.7 </w:t>
            </w:r>
            <w:r>
              <w:rPr>
                <w:rFonts w:cs="Times New Roman"/>
              </w:rPr>
              <w:t xml:space="preserve">± </w:t>
            </w:r>
            <w:r>
              <w:t>0.22</w:t>
            </w:r>
          </w:p>
        </w:tc>
        <w:tc>
          <w:tcPr>
            <w:tcW w:w="1620" w:type="dxa"/>
          </w:tcPr>
          <w:p w14:paraId="7B6619B4" w14:textId="695DB0EB" w:rsidR="00A3038A" w:rsidRDefault="00A3038A" w:rsidP="00A3038A">
            <w:r>
              <w:t xml:space="preserve">53.1 </w:t>
            </w:r>
            <w:r>
              <w:rPr>
                <w:rFonts w:cs="Times New Roman"/>
              </w:rPr>
              <w:t>±</w:t>
            </w:r>
            <w:r>
              <w:t xml:space="preserve"> 0.07</w:t>
            </w:r>
          </w:p>
        </w:tc>
        <w:tc>
          <w:tcPr>
            <w:tcW w:w="1620" w:type="dxa"/>
          </w:tcPr>
          <w:p w14:paraId="16F51A49" w14:textId="6BE7DDB5" w:rsidR="00A3038A" w:rsidRDefault="00A3038A" w:rsidP="00A3038A">
            <w:r>
              <w:t xml:space="preserve">227.3 </w:t>
            </w:r>
            <w:r>
              <w:rPr>
                <w:rFonts w:cs="Times New Roman"/>
              </w:rPr>
              <w:t>±</w:t>
            </w:r>
            <w:r>
              <w:t xml:space="preserve"> 4.2</w:t>
            </w:r>
          </w:p>
        </w:tc>
      </w:tr>
      <w:tr w:rsidR="00A3038A" w14:paraId="03A05018" w14:textId="77777777" w:rsidTr="00C84B0B">
        <w:trPr>
          <w:jc w:val="center"/>
        </w:trPr>
        <w:tc>
          <w:tcPr>
            <w:tcW w:w="936" w:type="dxa"/>
          </w:tcPr>
          <w:p w14:paraId="48A3D163" w14:textId="610C01D3" w:rsidR="00A3038A" w:rsidRDefault="00A3038A" w:rsidP="00A3038A">
            <w:pPr>
              <w:jc w:val="center"/>
            </w:pPr>
            <w:r>
              <w:t>2</w:t>
            </w:r>
          </w:p>
        </w:tc>
        <w:tc>
          <w:tcPr>
            <w:tcW w:w="2479" w:type="dxa"/>
          </w:tcPr>
          <w:p w14:paraId="7500F5F2" w14:textId="71A00610" w:rsidR="00A3038A" w:rsidRDefault="00A3038A" w:rsidP="00A3038A">
            <w:r>
              <w:t>Uncoated Nanogard</w:t>
            </w:r>
            <w:r w:rsidR="00387DCB" w:rsidRPr="677E1CE1">
              <w:rPr>
                <w:rFonts w:cs="Times New Roman"/>
                <w:szCs w:val="24"/>
                <w:vertAlign w:val="superscript"/>
              </w:rPr>
              <w:t>TM</w:t>
            </w:r>
          </w:p>
        </w:tc>
        <w:tc>
          <w:tcPr>
            <w:tcW w:w="1530" w:type="dxa"/>
          </w:tcPr>
          <w:p w14:paraId="546C8E17" w14:textId="4829FE08" w:rsidR="00A3038A" w:rsidRDefault="00A3038A" w:rsidP="00A3038A">
            <w:r>
              <w:t xml:space="preserve">73.6 </w:t>
            </w:r>
            <w:r>
              <w:rPr>
                <w:rFonts w:cs="Times New Roman"/>
              </w:rPr>
              <w:t xml:space="preserve">± </w:t>
            </w:r>
            <w:r>
              <w:t>0.17</w:t>
            </w:r>
          </w:p>
        </w:tc>
        <w:tc>
          <w:tcPr>
            <w:tcW w:w="1620" w:type="dxa"/>
          </w:tcPr>
          <w:p w14:paraId="6393EE8E" w14:textId="4A592314" w:rsidR="00A3038A" w:rsidRDefault="00A3038A" w:rsidP="00A3038A">
            <w:r>
              <w:t xml:space="preserve">54.8 </w:t>
            </w:r>
            <w:r>
              <w:rPr>
                <w:rFonts w:cs="Times New Roman"/>
              </w:rPr>
              <w:t>±</w:t>
            </w:r>
            <w:r>
              <w:t xml:space="preserve"> 0.15</w:t>
            </w:r>
          </w:p>
        </w:tc>
        <w:tc>
          <w:tcPr>
            <w:tcW w:w="1620" w:type="dxa"/>
          </w:tcPr>
          <w:p w14:paraId="3D33B47F" w14:textId="39314C56" w:rsidR="00A3038A" w:rsidRDefault="00A3038A" w:rsidP="00A3038A">
            <w:r>
              <w:t xml:space="preserve">471.3 </w:t>
            </w:r>
            <w:r>
              <w:rPr>
                <w:rFonts w:cs="Times New Roman"/>
              </w:rPr>
              <w:t xml:space="preserve">± </w:t>
            </w:r>
            <w:r>
              <w:t>12.4</w:t>
            </w:r>
          </w:p>
        </w:tc>
      </w:tr>
      <w:tr w:rsidR="00A3038A" w14:paraId="23F99DD2" w14:textId="77777777" w:rsidTr="00C84B0B">
        <w:trPr>
          <w:jc w:val="center"/>
        </w:trPr>
        <w:tc>
          <w:tcPr>
            <w:tcW w:w="936" w:type="dxa"/>
          </w:tcPr>
          <w:p w14:paraId="41080160" w14:textId="24AEEE5F" w:rsidR="00A3038A" w:rsidRDefault="00A3038A" w:rsidP="00A3038A">
            <w:pPr>
              <w:jc w:val="center"/>
            </w:pPr>
            <w:r>
              <w:t>3</w:t>
            </w:r>
          </w:p>
        </w:tc>
        <w:tc>
          <w:tcPr>
            <w:tcW w:w="2479" w:type="dxa"/>
          </w:tcPr>
          <w:p w14:paraId="44AEC980" w14:textId="739A511A" w:rsidR="00A3038A" w:rsidRDefault="00A3038A" w:rsidP="00A3038A">
            <w:r>
              <w:t>Uncoated</w:t>
            </w:r>
            <w:r w:rsidR="00C84B0B">
              <w:rPr>
                <w:rFonts w:cs="Times New Roman"/>
                <w:szCs w:val="24"/>
              </w:rPr>
              <w:t xml:space="preserve"> NanoTek</w:t>
            </w:r>
            <w:r w:rsidR="00C84B0B" w:rsidRPr="677E1CE1">
              <w:rPr>
                <w:rFonts w:cs="Times New Roman"/>
                <w:szCs w:val="24"/>
                <w:vertAlign w:val="superscript"/>
              </w:rPr>
              <w:t>TM</w:t>
            </w:r>
          </w:p>
        </w:tc>
        <w:tc>
          <w:tcPr>
            <w:tcW w:w="1530" w:type="dxa"/>
          </w:tcPr>
          <w:p w14:paraId="40FCE767" w14:textId="1CDAACE9" w:rsidR="00A3038A" w:rsidRDefault="00A3038A" w:rsidP="00A3038A">
            <w:r>
              <w:t xml:space="preserve">103.0 </w:t>
            </w:r>
            <w:r>
              <w:rPr>
                <w:rFonts w:cs="Times New Roman"/>
              </w:rPr>
              <w:t>±</w:t>
            </w:r>
            <w:r>
              <w:t xml:space="preserve"> 0.18</w:t>
            </w:r>
          </w:p>
        </w:tc>
        <w:tc>
          <w:tcPr>
            <w:tcW w:w="1620" w:type="dxa"/>
          </w:tcPr>
          <w:p w14:paraId="414634DB" w14:textId="58A38BD5" w:rsidR="00A3038A" w:rsidRDefault="00A3038A" w:rsidP="00A3038A">
            <w:r>
              <w:t xml:space="preserve">63.9 </w:t>
            </w:r>
            <w:r>
              <w:rPr>
                <w:rFonts w:cs="Times New Roman"/>
              </w:rPr>
              <w:t>±</w:t>
            </w:r>
            <w:r>
              <w:t xml:space="preserve"> 0.12</w:t>
            </w:r>
          </w:p>
        </w:tc>
        <w:tc>
          <w:tcPr>
            <w:tcW w:w="1620" w:type="dxa"/>
          </w:tcPr>
          <w:p w14:paraId="3D66989D" w14:textId="334A4227" w:rsidR="00A3038A" w:rsidRDefault="00A3038A" w:rsidP="00A3038A">
            <w:r>
              <w:t xml:space="preserve">400.0 </w:t>
            </w:r>
            <w:r>
              <w:rPr>
                <w:rFonts w:cs="Times New Roman"/>
              </w:rPr>
              <w:t>±</w:t>
            </w:r>
            <w:r>
              <w:t xml:space="preserve"> 4.6</w:t>
            </w:r>
          </w:p>
        </w:tc>
      </w:tr>
      <w:tr w:rsidR="00A3038A" w14:paraId="6A503C34" w14:textId="77777777" w:rsidTr="00C84B0B">
        <w:trPr>
          <w:jc w:val="center"/>
        </w:trPr>
        <w:tc>
          <w:tcPr>
            <w:tcW w:w="936" w:type="dxa"/>
          </w:tcPr>
          <w:p w14:paraId="5378ADB9" w14:textId="65FB6982" w:rsidR="00A3038A" w:rsidRDefault="00A3038A" w:rsidP="00A3038A">
            <w:pPr>
              <w:jc w:val="center"/>
            </w:pPr>
            <w:r>
              <w:t>4</w:t>
            </w:r>
          </w:p>
        </w:tc>
        <w:tc>
          <w:tcPr>
            <w:tcW w:w="2479" w:type="dxa"/>
          </w:tcPr>
          <w:p w14:paraId="675139BE" w14:textId="23159358" w:rsidR="00A3038A" w:rsidRDefault="00A3038A" w:rsidP="00A3038A">
            <w:r>
              <w:t>Coated Nanogard</w:t>
            </w:r>
            <w:r w:rsidR="00387DCB" w:rsidRPr="677E1CE1">
              <w:rPr>
                <w:rFonts w:cs="Times New Roman"/>
                <w:szCs w:val="24"/>
                <w:vertAlign w:val="superscript"/>
              </w:rPr>
              <w:t>TM</w:t>
            </w:r>
          </w:p>
        </w:tc>
        <w:tc>
          <w:tcPr>
            <w:tcW w:w="1530" w:type="dxa"/>
          </w:tcPr>
          <w:p w14:paraId="37F24189" w14:textId="5D92C5B0" w:rsidR="00A3038A" w:rsidRDefault="00A3038A" w:rsidP="00A3038A">
            <w:r>
              <w:t xml:space="preserve">74.2 </w:t>
            </w:r>
            <w:r>
              <w:rPr>
                <w:rFonts w:cs="Times New Roman"/>
              </w:rPr>
              <w:t>±</w:t>
            </w:r>
            <w:r>
              <w:t xml:space="preserve"> 0.15</w:t>
            </w:r>
          </w:p>
        </w:tc>
        <w:tc>
          <w:tcPr>
            <w:tcW w:w="1620" w:type="dxa"/>
          </w:tcPr>
          <w:p w14:paraId="63C8E55B" w14:textId="153854DB" w:rsidR="00A3038A" w:rsidRDefault="00A3038A" w:rsidP="00A3038A">
            <w:r>
              <w:t xml:space="preserve">59.2 </w:t>
            </w:r>
            <w:r>
              <w:rPr>
                <w:rFonts w:cs="Times New Roman"/>
              </w:rPr>
              <w:t>±</w:t>
            </w:r>
            <w:r>
              <w:t xml:space="preserve"> 0.30</w:t>
            </w:r>
          </w:p>
        </w:tc>
        <w:tc>
          <w:tcPr>
            <w:tcW w:w="1620" w:type="dxa"/>
          </w:tcPr>
          <w:p w14:paraId="2D13C3EE" w14:textId="42D8B3E0" w:rsidR="00A3038A" w:rsidRDefault="00A3038A" w:rsidP="00A3038A">
            <w:r>
              <w:t xml:space="preserve">719.2 </w:t>
            </w:r>
            <w:r>
              <w:rPr>
                <w:rFonts w:cs="Times New Roman"/>
              </w:rPr>
              <w:t>±</w:t>
            </w:r>
            <w:r>
              <w:t xml:space="preserve"> 33.4</w:t>
            </w:r>
          </w:p>
        </w:tc>
      </w:tr>
      <w:tr w:rsidR="00A3038A" w14:paraId="0A5F70FE" w14:textId="77777777" w:rsidTr="00C84B0B">
        <w:trPr>
          <w:jc w:val="center"/>
        </w:trPr>
        <w:tc>
          <w:tcPr>
            <w:tcW w:w="936" w:type="dxa"/>
          </w:tcPr>
          <w:p w14:paraId="17005EBB" w14:textId="790B8680" w:rsidR="00A3038A" w:rsidRDefault="00A3038A" w:rsidP="00A3038A">
            <w:pPr>
              <w:jc w:val="center"/>
            </w:pPr>
            <w:r>
              <w:t>5</w:t>
            </w:r>
          </w:p>
        </w:tc>
        <w:tc>
          <w:tcPr>
            <w:tcW w:w="2479" w:type="dxa"/>
          </w:tcPr>
          <w:p w14:paraId="22861E97" w14:textId="5C269874" w:rsidR="00A3038A" w:rsidRDefault="00A3038A" w:rsidP="00A3038A">
            <w:r>
              <w:t xml:space="preserve">Coated </w:t>
            </w:r>
            <w:r w:rsidR="00C84B0B">
              <w:rPr>
                <w:rFonts w:cs="Times New Roman"/>
                <w:szCs w:val="24"/>
              </w:rPr>
              <w:t>NanoTek</w:t>
            </w:r>
            <w:r w:rsidR="00C84B0B" w:rsidRPr="677E1CE1">
              <w:rPr>
                <w:rFonts w:cs="Times New Roman"/>
                <w:szCs w:val="24"/>
                <w:vertAlign w:val="superscript"/>
              </w:rPr>
              <w:t>TM</w:t>
            </w:r>
          </w:p>
        </w:tc>
        <w:tc>
          <w:tcPr>
            <w:tcW w:w="1530" w:type="dxa"/>
          </w:tcPr>
          <w:p w14:paraId="7DA16CB4" w14:textId="0F12107A" w:rsidR="00A3038A" w:rsidRDefault="00A3038A" w:rsidP="00A3038A">
            <w:r>
              <w:t xml:space="preserve">99.3 </w:t>
            </w:r>
            <w:r>
              <w:rPr>
                <w:rFonts w:cs="Times New Roman"/>
              </w:rPr>
              <w:t>±</w:t>
            </w:r>
            <w:r>
              <w:t xml:space="preserve"> 0.16</w:t>
            </w:r>
          </w:p>
        </w:tc>
        <w:tc>
          <w:tcPr>
            <w:tcW w:w="1620" w:type="dxa"/>
          </w:tcPr>
          <w:p w14:paraId="34D427F5" w14:textId="2D1C0D4F" w:rsidR="00A3038A" w:rsidRDefault="00A3038A" w:rsidP="00A3038A">
            <w:r>
              <w:t xml:space="preserve">66.9 </w:t>
            </w:r>
            <w:r>
              <w:rPr>
                <w:rFonts w:cs="Times New Roman"/>
              </w:rPr>
              <w:t>±</w:t>
            </w:r>
            <w:r>
              <w:t xml:space="preserve"> 0.17</w:t>
            </w:r>
          </w:p>
        </w:tc>
        <w:tc>
          <w:tcPr>
            <w:tcW w:w="1620" w:type="dxa"/>
          </w:tcPr>
          <w:p w14:paraId="4A0DB181" w14:textId="0E796CD3" w:rsidR="00A3038A" w:rsidRDefault="00A3038A" w:rsidP="00A3038A">
            <w:r>
              <w:t xml:space="preserve">525.5 </w:t>
            </w:r>
            <w:r>
              <w:rPr>
                <w:rFonts w:cs="Times New Roman"/>
              </w:rPr>
              <w:t>±</w:t>
            </w:r>
            <w:r>
              <w:t xml:space="preserve"> 8.3</w:t>
            </w:r>
          </w:p>
        </w:tc>
      </w:tr>
      <w:tr w:rsidR="00A3038A" w14:paraId="6DD24B06" w14:textId="77777777" w:rsidTr="00C84B0B">
        <w:trPr>
          <w:jc w:val="center"/>
        </w:trPr>
        <w:tc>
          <w:tcPr>
            <w:tcW w:w="936" w:type="dxa"/>
          </w:tcPr>
          <w:p w14:paraId="7996B5D9" w14:textId="4A33DA61" w:rsidR="00A3038A" w:rsidRDefault="00A3038A" w:rsidP="00A3038A">
            <w:pPr>
              <w:jc w:val="center"/>
            </w:pPr>
            <w:r>
              <w:t>6</w:t>
            </w:r>
          </w:p>
        </w:tc>
        <w:tc>
          <w:tcPr>
            <w:tcW w:w="2479" w:type="dxa"/>
          </w:tcPr>
          <w:p w14:paraId="34B60351" w14:textId="229C4B39" w:rsidR="00A3038A" w:rsidRDefault="00A3038A" w:rsidP="00A3038A">
            <w:r>
              <w:t>Surfactant (DDAO)</w:t>
            </w:r>
          </w:p>
        </w:tc>
        <w:tc>
          <w:tcPr>
            <w:tcW w:w="1530" w:type="dxa"/>
          </w:tcPr>
          <w:p w14:paraId="2F176AD7" w14:textId="674700BD" w:rsidR="00A3038A" w:rsidRDefault="00A3038A" w:rsidP="00A3038A">
            <w:r>
              <w:t xml:space="preserve">167.7 </w:t>
            </w:r>
            <w:r>
              <w:rPr>
                <w:rFonts w:cs="Times New Roman"/>
              </w:rPr>
              <w:t>±</w:t>
            </w:r>
            <w:r>
              <w:t xml:space="preserve"> 1.2</w:t>
            </w:r>
          </w:p>
        </w:tc>
        <w:tc>
          <w:tcPr>
            <w:tcW w:w="1620" w:type="dxa"/>
          </w:tcPr>
          <w:p w14:paraId="306A791F" w14:textId="28374892" w:rsidR="00A3038A" w:rsidRDefault="00A3038A" w:rsidP="00A3038A">
            <w:r>
              <w:t xml:space="preserve">45.3 </w:t>
            </w:r>
            <w:r>
              <w:rPr>
                <w:rFonts w:cs="Times New Roman"/>
              </w:rPr>
              <w:t>±</w:t>
            </w:r>
            <w:r>
              <w:t xml:space="preserve"> 0.04</w:t>
            </w:r>
          </w:p>
        </w:tc>
        <w:tc>
          <w:tcPr>
            <w:tcW w:w="1620" w:type="dxa"/>
          </w:tcPr>
          <w:p w14:paraId="7FB56AE2" w14:textId="635082F6" w:rsidR="00A3038A" w:rsidRDefault="00A3038A" w:rsidP="00A3038A">
            <w:r>
              <w:t xml:space="preserve">8.3 </w:t>
            </w:r>
            <w:r>
              <w:rPr>
                <w:rFonts w:cs="Times New Roman"/>
              </w:rPr>
              <w:t xml:space="preserve">± </w:t>
            </w:r>
            <w:r>
              <w:t>0.11</w:t>
            </w:r>
          </w:p>
        </w:tc>
      </w:tr>
    </w:tbl>
    <w:p w14:paraId="179BE2D6" w14:textId="1EB0038D" w:rsidR="008A26B6" w:rsidRDefault="00DF4E86" w:rsidP="004C6611">
      <w:pPr>
        <w:jc w:val="both"/>
        <w:rPr>
          <w:lang w:val="en-US"/>
        </w:rPr>
      </w:pPr>
      <w:r w:rsidRPr="00DF4E86">
        <w:rPr>
          <w:lang w:val="en-US"/>
        </w:rPr>
        <w:t>Estimated values for 3 shape parameters used in the exponential function</w:t>
      </w:r>
      <w:r w:rsidR="00691B49">
        <w:rPr>
          <w:lang w:val="en-US"/>
        </w:rPr>
        <w:t xml:space="preserve"> using </w:t>
      </w:r>
      <w:r w:rsidR="00691B49">
        <w:rPr>
          <w:lang w:val="en-US"/>
        </w:rPr>
        <w:fldChar w:fldCharType="begin"/>
      </w:r>
      <w:r w:rsidR="00691B49">
        <w:rPr>
          <w:lang w:val="en-US"/>
        </w:rPr>
        <w:instrText xml:space="preserve"> REF _Ref45574453 \h </w:instrText>
      </w:r>
      <w:r w:rsidR="00691B49">
        <w:rPr>
          <w:lang w:val="en-US"/>
        </w:rPr>
      </w:r>
      <w:r w:rsidR="00691B49">
        <w:rPr>
          <w:lang w:val="en-US"/>
        </w:rPr>
        <w:fldChar w:fldCharType="separate"/>
      </w:r>
      <w:r w:rsidR="0008188F" w:rsidRPr="00691B49">
        <w:rPr>
          <w:lang w:val="en-US"/>
        </w:rPr>
        <w:t xml:space="preserve">Equation </w:t>
      </w:r>
      <w:r w:rsidR="0008188F">
        <w:rPr>
          <w:noProof/>
          <w:lang w:val="en-US"/>
        </w:rPr>
        <w:t>7</w:t>
      </w:r>
      <w:r w:rsidR="00691B49">
        <w:rPr>
          <w:lang w:val="en-US"/>
        </w:rPr>
        <w:fldChar w:fldCharType="end"/>
      </w:r>
      <w:r w:rsidRPr="00DF4E86">
        <w:rPr>
          <w:lang w:val="en-US"/>
        </w:rPr>
        <w:t xml:space="preserve">. </w:t>
      </w:r>
    </w:p>
    <w:p w14:paraId="49E04074" w14:textId="50C2875E" w:rsidR="00343982" w:rsidRDefault="00B10F6A" w:rsidP="004C6611">
      <w:pPr>
        <w:jc w:val="both"/>
        <w:rPr>
          <w:lang w:val="en-US"/>
        </w:rPr>
      </w:pPr>
      <w:r>
        <w:rPr>
          <w:noProof/>
        </w:rPr>
        <w:drawing>
          <wp:inline distT="0" distB="0" distL="0" distR="0" wp14:anchorId="5AC3BDCD" wp14:editId="128E6E57">
            <wp:extent cx="5212080" cy="3956050"/>
            <wp:effectExtent l="0" t="0" r="7620" b="6350"/>
            <wp:docPr id="57" name="Chart 57">
              <a:extLst xmlns:a="http://schemas.openxmlformats.org/drawingml/2006/main">
                <a:ext uri="{FF2B5EF4-FFF2-40B4-BE49-F238E27FC236}">
                  <a16:creationId xmlns:a16="http://schemas.microsoft.com/office/drawing/2014/main" id="{D436F101-22EC-40F0-82B0-7DB114DE2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16DAC2B" w14:textId="4BEA6721" w:rsidR="007C39B4" w:rsidRPr="007C39B4" w:rsidRDefault="007C39B4" w:rsidP="007C39B4">
      <w:pPr>
        <w:pStyle w:val="Caption"/>
        <w:rPr>
          <w:lang w:val="en-US"/>
        </w:rPr>
      </w:pPr>
      <w:bookmarkStart w:id="90" w:name="_Ref45573189"/>
      <w:bookmarkStart w:id="91" w:name="_Toc45837589"/>
      <w:r w:rsidRPr="007C39B4">
        <w:rPr>
          <w:lang w:val="en-US"/>
        </w:rPr>
        <w:t xml:space="preserve">Figure </w:t>
      </w:r>
      <w:r>
        <w:fldChar w:fldCharType="begin"/>
      </w:r>
      <w:r w:rsidRPr="007C39B4">
        <w:rPr>
          <w:lang w:val="en-US"/>
        </w:rPr>
        <w:instrText xml:space="preserve"> SEQ Figure \* ARABIC </w:instrText>
      </w:r>
      <w:r>
        <w:fldChar w:fldCharType="separate"/>
      </w:r>
      <w:r w:rsidR="0008188F">
        <w:rPr>
          <w:noProof/>
          <w:lang w:val="en-US"/>
        </w:rPr>
        <w:t>18</w:t>
      </w:r>
      <w:r>
        <w:fldChar w:fldCharType="end"/>
      </w:r>
      <w:bookmarkEnd w:id="90"/>
      <w:r w:rsidRPr="007C39B4">
        <w:rPr>
          <w:lang w:val="en-US"/>
        </w:rPr>
        <w:t xml:space="preserve"> – Contact angle vs </w:t>
      </w:r>
      <w:bookmarkEnd w:id="91"/>
      <w:r w:rsidR="00BB3335">
        <w:rPr>
          <w:lang w:val="en-US"/>
        </w:rPr>
        <w:t>time</w:t>
      </w:r>
    </w:p>
    <w:p w14:paraId="6C3425EC" w14:textId="1AE3A061" w:rsidR="00EA1612" w:rsidRPr="00EA1612" w:rsidRDefault="007C39B4" w:rsidP="00EA1612">
      <w:pPr>
        <w:rPr>
          <w:lang w:val="en-US"/>
        </w:rPr>
      </w:pPr>
      <w:r>
        <w:rPr>
          <w:lang w:val="en-US"/>
        </w:rPr>
        <w:fldChar w:fldCharType="begin"/>
      </w:r>
      <w:r>
        <w:rPr>
          <w:lang w:val="en-US"/>
        </w:rPr>
        <w:instrText xml:space="preserve"> REF _Ref45573189 \h </w:instrText>
      </w:r>
      <w:r>
        <w:rPr>
          <w:lang w:val="en-US"/>
        </w:rPr>
      </w:r>
      <w:r>
        <w:rPr>
          <w:lang w:val="en-US"/>
        </w:rPr>
        <w:fldChar w:fldCharType="separate"/>
      </w:r>
      <w:r w:rsidR="0008188F" w:rsidRPr="007C39B4">
        <w:rPr>
          <w:lang w:val="en-US"/>
        </w:rPr>
        <w:t xml:space="preserve">Figure </w:t>
      </w:r>
      <w:r w:rsidR="0008188F">
        <w:rPr>
          <w:noProof/>
          <w:lang w:val="en-US"/>
        </w:rPr>
        <w:t>18</w:t>
      </w:r>
      <w:r>
        <w:rPr>
          <w:lang w:val="en-US"/>
        </w:rPr>
        <w:fldChar w:fldCharType="end"/>
      </w:r>
      <w:r>
        <w:rPr>
          <w:lang w:val="en-US"/>
        </w:rPr>
        <w:t xml:space="preserve"> demonstrates</w:t>
      </w:r>
      <w:r w:rsidR="00EA1612">
        <w:rPr>
          <w:lang w:val="en-US"/>
        </w:rPr>
        <w:t xml:space="preserve"> </w:t>
      </w:r>
      <w:r w:rsidR="00775046">
        <w:rPr>
          <w:lang w:val="en-US"/>
        </w:rPr>
        <w:t>how the contact angle of the water progresses over time.</w:t>
      </w:r>
    </w:p>
    <w:p w14:paraId="36C0AC20" w14:textId="4F69A011" w:rsidR="002666FB" w:rsidRDefault="002666FB" w:rsidP="00540500">
      <w:pPr>
        <w:spacing w:after="0" w:line="480" w:lineRule="auto"/>
        <w:ind w:firstLine="706"/>
        <w:jc w:val="both"/>
        <w:rPr>
          <w:rFonts w:cs="Times New Roman"/>
          <w:noProof/>
          <w:szCs w:val="24"/>
          <w:lang w:val="en-US" w:eastAsia="es-US"/>
        </w:rPr>
      </w:pPr>
      <w:r>
        <w:rPr>
          <w:rFonts w:cs="Times New Roman"/>
          <w:noProof/>
          <w:szCs w:val="24"/>
          <w:lang w:val="en-US" w:eastAsia="es-US"/>
        </w:rPr>
        <w:t>The control</w:t>
      </w:r>
      <w:r w:rsidR="002A3480">
        <w:rPr>
          <w:rFonts w:cs="Times New Roman"/>
          <w:noProof/>
          <w:szCs w:val="24"/>
          <w:lang w:val="en-US" w:eastAsia="es-US"/>
        </w:rPr>
        <w:t xml:space="preserve">, sample </w:t>
      </w:r>
      <w:r>
        <w:rPr>
          <w:rFonts w:cs="Times New Roman"/>
          <w:noProof/>
          <w:szCs w:val="24"/>
          <w:lang w:val="en-US" w:eastAsia="es-US"/>
        </w:rPr>
        <w:t>1</w:t>
      </w:r>
      <w:r w:rsidR="002A3480">
        <w:rPr>
          <w:rFonts w:cs="Times New Roman"/>
          <w:noProof/>
          <w:szCs w:val="24"/>
          <w:lang w:val="en-US" w:eastAsia="es-US"/>
        </w:rPr>
        <w:t>,</w:t>
      </w:r>
      <w:r w:rsidRPr="008F7024">
        <w:rPr>
          <w:rFonts w:cs="Times New Roman"/>
          <w:noProof/>
          <w:szCs w:val="24"/>
          <w:lang w:val="en-US" w:eastAsia="es-US"/>
        </w:rPr>
        <w:t xml:space="preserve"> has an initial </w:t>
      </w:r>
      <w:r w:rsidR="002E07BC">
        <w:rPr>
          <w:rFonts w:cs="Times New Roman"/>
          <w:noProof/>
          <w:szCs w:val="24"/>
          <w:lang w:val="en-US" w:eastAsia="es-US"/>
        </w:rPr>
        <w:t xml:space="preserve">water </w:t>
      </w:r>
      <w:r w:rsidRPr="008F7024">
        <w:rPr>
          <w:rFonts w:cs="Times New Roman"/>
          <w:noProof/>
          <w:szCs w:val="24"/>
          <w:lang w:val="en-US" w:eastAsia="es-US"/>
        </w:rPr>
        <w:t>contact angle of about 7</w:t>
      </w:r>
      <w:r w:rsidR="00192579">
        <w:rPr>
          <w:rFonts w:cs="Times New Roman"/>
          <w:noProof/>
          <w:szCs w:val="24"/>
          <w:lang w:val="en-US" w:eastAsia="es-US"/>
        </w:rPr>
        <w:t>5</w:t>
      </w:r>
      <w:r w:rsidRPr="008F7024">
        <w:rPr>
          <w:rFonts w:cs="Times New Roman"/>
          <w:noProof/>
          <w:szCs w:val="24"/>
          <w:lang w:val="en-US" w:eastAsia="es-US"/>
        </w:rPr>
        <w:t xml:space="preserve">° then spreads out fairly quickly over the 1 minutes testing period. </w:t>
      </w:r>
      <w:r w:rsidR="00192579">
        <w:rPr>
          <w:rFonts w:cs="Times New Roman"/>
          <w:noProof/>
          <w:szCs w:val="24"/>
          <w:lang w:val="en-US" w:eastAsia="es-US"/>
        </w:rPr>
        <w:t xml:space="preserve">The two </w:t>
      </w:r>
      <w:r w:rsidR="00B137E9">
        <w:rPr>
          <w:lang w:val="en-US"/>
        </w:rPr>
        <w:t>Nanogard</w:t>
      </w:r>
      <w:r w:rsidR="00B137E9" w:rsidRPr="677E1CE1">
        <w:rPr>
          <w:rFonts w:cs="Times New Roman"/>
          <w:szCs w:val="24"/>
          <w:vertAlign w:val="superscript"/>
          <w:lang w:val="en-US"/>
        </w:rPr>
        <w:t>TM</w:t>
      </w:r>
      <w:r w:rsidR="00192579">
        <w:rPr>
          <w:rFonts w:cs="Times New Roman"/>
          <w:noProof/>
          <w:szCs w:val="24"/>
          <w:lang w:val="en-US" w:eastAsia="es-US"/>
        </w:rPr>
        <w:t xml:space="preserve"> </w:t>
      </w:r>
      <w:r w:rsidR="003610D0">
        <w:rPr>
          <w:rFonts w:cs="Times New Roman"/>
          <w:noProof/>
          <w:szCs w:val="24"/>
          <w:lang w:val="en-US" w:eastAsia="es-US"/>
        </w:rPr>
        <w:t xml:space="preserve">specimen, </w:t>
      </w:r>
      <w:r w:rsidR="002A3480">
        <w:rPr>
          <w:rFonts w:cs="Times New Roman"/>
          <w:noProof/>
          <w:szCs w:val="24"/>
          <w:lang w:val="en-US" w:eastAsia="es-US"/>
        </w:rPr>
        <w:t>s</w:t>
      </w:r>
      <w:r w:rsidRPr="008F7024">
        <w:rPr>
          <w:rFonts w:cs="Times New Roman"/>
          <w:noProof/>
          <w:szCs w:val="24"/>
          <w:lang w:val="en-US" w:eastAsia="es-US"/>
        </w:rPr>
        <w:t>amples 2 and 4</w:t>
      </w:r>
      <w:r w:rsidR="002A3480">
        <w:rPr>
          <w:rFonts w:cs="Times New Roman"/>
          <w:noProof/>
          <w:szCs w:val="24"/>
          <w:lang w:val="en-US" w:eastAsia="es-US"/>
        </w:rPr>
        <w:t>,</w:t>
      </w:r>
      <w:r w:rsidRPr="008F7024">
        <w:rPr>
          <w:rFonts w:cs="Times New Roman"/>
          <w:noProof/>
          <w:szCs w:val="24"/>
          <w:lang w:val="en-US" w:eastAsia="es-US"/>
        </w:rPr>
        <w:t xml:space="preserve"> have an initial </w:t>
      </w:r>
      <w:r w:rsidR="002E07BC">
        <w:rPr>
          <w:rFonts w:cs="Times New Roman"/>
          <w:noProof/>
          <w:szCs w:val="24"/>
          <w:lang w:val="en-US" w:eastAsia="es-US"/>
        </w:rPr>
        <w:t xml:space="preserve">water </w:t>
      </w:r>
      <w:r w:rsidRPr="008F7024">
        <w:rPr>
          <w:rFonts w:cs="Times New Roman"/>
          <w:noProof/>
          <w:szCs w:val="24"/>
          <w:lang w:val="en-US" w:eastAsia="es-US"/>
        </w:rPr>
        <w:t>contact angle of about 75° and stays fairly constant through the 1 minute testing period</w:t>
      </w:r>
      <w:r w:rsidR="001F217A">
        <w:rPr>
          <w:rFonts w:cs="Times New Roman"/>
          <w:noProof/>
          <w:szCs w:val="24"/>
          <w:lang w:val="en-US" w:eastAsia="es-US"/>
        </w:rPr>
        <w:t xml:space="preserve"> ending around 7</w:t>
      </w:r>
      <w:r w:rsidR="001F217A" w:rsidRPr="008F7024">
        <w:rPr>
          <w:rFonts w:cs="Times New Roman"/>
          <w:noProof/>
          <w:szCs w:val="24"/>
          <w:lang w:val="en-US" w:eastAsia="es-US"/>
        </w:rPr>
        <w:t>0°</w:t>
      </w:r>
      <w:r w:rsidRPr="008F7024">
        <w:rPr>
          <w:rFonts w:cs="Times New Roman"/>
          <w:noProof/>
          <w:szCs w:val="24"/>
          <w:lang w:val="en-US" w:eastAsia="es-US"/>
        </w:rPr>
        <w:t xml:space="preserve">. </w:t>
      </w:r>
      <w:r w:rsidR="00FC2839">
        <w:rPr>
          <w:rFonts w:cs="Times New Roman"/>
          <w:noProof/>
          <w:szCs w:val="24"/>
          <w:lang w:val="en-US" w:eastAsia="es-US"/>
        </w:rPr>
        <w:t xml:space="preserve">The two specimen with </w:t>
      </w:r>
      <w:r w:rsidR="00C84B0B">
        <w:rPr>
          <w:rFonts w:cs="Times New Roman"/>
          <w:szCs w:val="24"/>
          <w:lang w:val="en-US"/>
        </w:rPr>
        <w:t>NanoTek</w:t>
      </w:r>
      <w:r w:rsidR="00C84B0B" w:rsidRPr="677E1CE1">
        <w:rPr>
          <w:rFonts w:cs="Times New Roman"/>
          <w:szCs w:val="24"/>
          <w:vertAlign w:val="superscript"/>
          <w:lang w:val="en-US"/>
        </w:rPr>
        <w:t>TM</w:t>
      </w:r>
      <w:r w:rsidR="00FC2839">
        <w:rPr>
          <w:rFonts w:cs="Times New Roman"/>
          <w:noProof/>
          <w:szCs w:val="24"/>
          <w:lang w:val="en-US" w:eastAsia="es-US"/>
        </w:rPr>
        <w:t>, s</w:t>
      </w:r>
      <w:r w:rsidRPr="008F7024">
        <w:rPr>
          <w:rFonts w:cs="Times New Roman"/>
          <w:noProof/>
          <w:szCs w:val="24"/>
          <w:lang w:val="en-US" w:eastAsia="es-US"/>
        </w:rPr>
        <w:t>amples 3 and 5</w:t>
      </w:r>
      <w:r w:rsidR="00FC2839">
        <w:rPr>
          <w:rFonts w:cs="Times New Roman"/>
          <w:noProof/>
          <w:szCs w:val="24"/>
          <w:lang w:val="en-US" w:eastAsia="es-US"/>
        </w:rPr>
        <w:t>,</w:t>
      </w:r>
      <w:r>
        <w:rPr>
          <w:rFonts w:cs="Times New Roman"/>
          <w:noProof/>
          <w:szCs w:val="24"/>
          <w:lang w:val="en-US" w:eastAsia="es-US"/>
        </w:rPr>
        <w:t xml:space="preserve"> </w:t>
      </w:r>
      <w:r w:rsidRPr="008F7024">
        <w:rPr>
          <w:rFonts w:cs="Times New Roman"/>
          <w:noProof/>
          <w:szCs w:val="24"/>
          <w:lang w:val="en-US" w:eastAsia="es-US"/>
        </w:rPr>
        <w:t xml:space="preserve">have an initial </w:t>
      </w:r>
      <w:r w:rsidR="002E07BC">
        <w:rPr>
          <w:rFonts w:cs="Times New Roman"/>
          <w:noProof/>
          <w:szCs w:val="24"/>
          <w:lang w:val="en-US" w:eastAsia="es-US"/>
        </w:rPr>
        <w:t xml:space="preserve">water </w:t>
      </w:r>
      <w:r w:rsidRPr="008F7024">
        <w:rPr>
          <w:rFonts w:cs="Times New Roman"/>
          <w:noProof/>
          <w:szCs w:val="24"/>
          <w:lang w:val="en-US" w:eastAsia="es-US"/>
        </w:rPr>
        <w:t>contact angle of about 1</w:t>
      </w:r>
      <w:r w:rsidR="00FC2839">
        <w:rPr>
          <w:rFonts w:cs="Times New Roman"/>
          <w:noProof/>
          <w:szCs w:val="24"/>
          <w:lang w:val="en-US" w:eastAsia="es-US"/>
        </w:rPr>
        <w:t>0</w:t>
      </w:r>
      <w:r w:rsidRPr="008F7024">
        <w:rPr>
          <w:rFonts w:cs="Times New Roman"/>
          <w:noProof/>
          <w:szCs w:val="24"/>
          <w:lang w:val="en-US" w:eastAsia="es-US"/>
        </w:rPr>
        <w:t>0° and spreads out through the 1 minute testing period</w:t>
      </w:r>
      <w:r w:rsidR="001F2749">
        <w:rPr>
          <w:rFonts w:cs="Times New Roman"/>
          <w:noProof/>
          <w:szCs w:val="24"/>
          <w:lang w:val="en-US" w:eastAsia="es-US"/>
        </w:rPr>
        <w:t xml:space="preserve"> to around </w:t>
      </w:r>
      <w:r w:rsidR="00210B1E">
        <w:rPr>
          <w:rFonts w:cs="Times New Roman"/>
          <w:noProof/>
          <w:szCs w:val="24"/>
          <w:lang w:val="en-US" w:eastAsia="es-US"/>
        </w:rPr>
        <w:t>7</w:t>
      </w:r>
      <w:r w:rsidR="001F217A">
        <w:rPr>
          <w:rFonts w:cs="Times New Roman"/>
          <w:noProof/>
          <w:szCs w:val="24"/>
          <w:lang w:val="en-US" w:eastAsia="es-US"/>
        </w:rPr>
        <w:t>5</w:t>
      </w:r>
      <w:r w:rsidR="001F2749" w:rsidRPr="008F7024">
        <w:rPr>
          <w:rFonts w:cs="Times New Roman"/>
          <w:noProof/>
          <w:szCs w:val="24"/>
          <w:lang w:val="en-US" w:eastAsia="es-US"/>
        </w:rPr>
        <w:t>°</w:t>
      </w:r>
      <w:r w:rsidRPr="008F7024">
        <w:rPr>
          <w:rFonts w:cs="Times New Roman"/>
          <w:noProof/>
          <w:szCs w:val="24"/>
          <w:lang w:val="en-US" w:eastAsia="es-US"/>
        </w:rPr>
        <w:t xml:space="preserve">. Sample 1-5 have a consistently have about a 70° </w:t>
      </w:r>
      <w:r w:rsidR="002E07BC">
        <w:rPr>
          <w:rFonts w:cs="Times New Roman"/>
          <w:noProof/>
          <w:szCs w:val="24"/>
          <w:lang w:val="en-US" w:eastAsia="es-US"/>
        </w:rPr>
        <w:t xml:space="preserve">water </w:t>
      </w:r>
      <w:r w:rsidRPr="008F7024">
        <w:rPr>
          <w:rFonts w:cs="Times New Roman"/>
          <w:noProof/>
          <w:szCs w:val="24"/>
          <w:lang w:val="en-US" w:eastAsia="es-US"/>
        </w:rPr>
        <w:t xml:space="preserve">contact angle at the end of the 1 minute period. </w:t>
      </w:r>
      <w:r w:rsidR="00210B1E">
        <w:rPr>
          <w:rFonts w:cs="Times New Roman"/>
          <w:noProof/>
          <w:szCs w:val="24"/>
          <w:lang w:val="en-US" w:eastAsia="es-US"/>
        </w:rPr>
        <w:t>The speciman with only surfactant, s</w:t>
      </w:r>
      <w:r w:rsidRPr="008F7024">
        <w:rPr>
          <w:rFonts w:cs="Times New Roman"/>
          <w:noProof/>
          <w:szCs w:val="24"/>
          <w:lang w:val="en-US" w:eastAsia="es-US"/>
        </w:rPr>
        <w:t>ample 6</w:t>
      </w:r>
      <w:r w:rsidR="00210B1E">
        <w:rPr>
          <w:rFonts w:cs="Times New Roman"/>
          <w:noProof/>
          <w:szCs w:val="24"/>
          <w:lang w:val="en-US" w:eastAsia="es-US"/>
        </w:rPr>
        <w:t>,</w:t>
      </w:r>
      <w:r w:rsidRPr="008F7024">
        <w:rPr>
          <w:rFonts w:cs="Times New Roman"/>
          <w:noProof/>
          <w:szCs w:val="24"/>
          <w:lang w:val="en-US" w:eastAsia="es-US"/>
        </w:rPr>
        <w:t xml:space="preserve"> starts at </w:t>
      </w:r>
      <w:r w:rsidR="004B3994">
        <w:rPr>
          <w:rFonts w:cs="Times New Roman"/>
          <w:noProof/>
          <w:szCs w:val="24"/>
          <w:lang w:val="en-US" w:eastAsia="es-US"/>
        </w:rPr>
        <w:t>over</w:t>
      </w:r>
      <w:r>
        <w:rPr>
          <w:rFonts w:cs="Times New Roman"/>
          <w:noProof/>
          <w:szCs w:val="24"/>
          <w:lang w:val="en-US" w:eastAsia="es-US"/>
        </w:rPr>
        <w:t xml:space="preserve"> 100° but spreads out to 45</w:t>
      </w:r>
      <w:r w:rsidRPr="008F7024">
        <w:rPr>
          <w:rFonts w:cs="Times New Roman"/>
          <w:noProof/>
          <w:szCs w:val="24"/>
          <w:lang w:val="en-US" w:eastAsia="es-US"/>
        </w:rPr>
        <w:t xml:space="preserve">° </w:t>
      </w:r>
      <w:r w:rsidR="002E07BC">
        <w:rPr>
          <w:rFonts w:cs="Times New Roman"/>
          <w:noProof/>
          <w:szCs w:val="24"/>
          <w:lang w:val="en-US" w:eastAsia="es-US"/>
        </w:rPr>
        <w:t xml:space="preserve">water </w:t>
      </w:r>
      <w:r w:rsidRPr="008F7024">
        <w:rPr>
          <w:rFonts w:cs="Times New Roman"/>
          <w:noProof/>
          <w:szCs w:val="24"/>
          <w:lang w:val="en-US" w:eastAsia="es-US"/>
        </w:rPr>
        <w:t>contact angle</w:t>
      </w:r>
      <w:r w:rsidR="00D57EDF">
        <w:rPr>
          <w:rFonts w:cs="Times New Roman"/>
          <w:noProof/>
          <w:szCs w:val="24"/>
          <w:lang w:val="en-US" w:eastAsia="es-US"/>
        </w:rPr>
        <w:t xml:space="preserve"> </w:t>
      </w:r>
      <w:r w:rsidR="004B3994">
        <w:rPr>
          <w:rFonts w:cs="Times New Roman"/>
          <w:noProof/>
          <w:szCs w:val="24"/>
          <w:lang w:val="en-US" w:eastAsia="es-US"/>
        </w:rPr>
        <w:t>making</w:t>
      </w:r>
      <w:r w:rsidR="00D57EDF">
        <w:rPr>
          <w:rFonts w:cs="Times New Roman"/>
          <w:noProof/>
          <w:szCs w:val="24"/>
          <w:lang w:val="en-US" w:eastAsia="es-US"/>
        </w:rPr>
        <w:t xml:space="preserve"> it the most hydrophilic specimen tested</w:t>
      </w:r>
      <w:r w:rsidRPr="008F7024">
        <w:rPr>
          <w:rFonts w:cs="Times New Roman"/>
          <w:noProof/>
          <w:szCs w:val="24"/>
          <w:lang w:val="en-US" w:eastAsia="es-US"/>
        </w:rPr>
        <w:t xml:space="preserve">. </w:t>
      </w:r>
      <w:r>
        <w:rPr>
          <w:rFonts w:cs="Times New Roman"/>
          <w:noProof/>
          <w:szCs w:val="24"/>
          <w:lang w:val="en-US" w:eastAsia="es-US"/>
        </w:rPr>
        <w:t xml:space="preserve">The contact angles are analyzed by the </w:t>
      </w:r>
      <w:r w:rsidR="005336AE">
        <w:rPr>
          <w:rFonts w:cs="Times New Roman"/>
          <w:noProof/>
          <w:szCs w:val="24"/>
          <w:lang w:val="en-US" w:eastAsia="es-US"/>
        </w:rPr>
        <w:t>SCA software</w:t>
      </w:r>
      <w:r>
        <w:rPr>
          <w:rFonts w:cs="Times New Roman"/>
          <w:noProof/>
          <w:szCs w:val="24"/>
          <w:lang w:val="en-US" w:eastAsia="es-US"/>
        </w:rPr>
        <w:t xml:space="preserve"> using the Laplace-Young fitting analysis </w:t>
      </w:r>
      <w:r w:rsidR="00540500">
        <w:rPr>
          <w:rFonts w:cs="Times New Roman"/>
          <w:noProof/>
          <w:szCs w:val="24"/>
          <w:lang w:val="en-US" w:eastAsia="es-US"/>
        </w:rPr>
        <w:t>(</w:t>
      </w:r>
      <w:r w:rsidR="007C39B4">
        <w:rPr>
          <w:rFonts w:cs="Times New Roman"/>
          <w:noProof/>
          <w:szCs w:val="24"/>
          <w:lang w:val="en-US" w:eastAsia="es-US"/>
        </w:rPr>
        <w:fldChar w:fldCharType="begin"/>
      </w:r>
      <w:r w:rsidR="007C39B4">
        <w:rPr>
          <w:rFonts w:cs="Times New Roman"/>
          <w:noProof/>
          <w:szCs w:val="24"/>
          <w:lang w:val="en-US" w:eastAsia="es-US"/>
        </w:rPr>
        <w:instrText xml:space="preserve"> REF _Ref42539187 \h </w:instrText>
      </w:r>
      <w:r w:rsidR="007C39B4">
        <w:rPr>
          <w:rFonts w:cs="Times New Roman"/>
          <w:noProof/>
          <w:szCs w:val="24"/>
          <w:lang w:val="en-US" w:eastAsia="es-US"/>
        </w:rPr>
      </w:r>
      <w:r w:rsidR="007C39B4">
        <w:rPr>
          <w:rFonts w:cs="Times New Roman"/>
          <w:noProof/>
          <w:szCs w:val="24"/>
          <w:lang w:val="en-US" w:eastAsia="es-US"/>
        </w:rPr>
        <w:fldChar w:fldCharType="separate"/>
      </w:r>
      <w:r w:rsidR="0008188F" w:rsidRPr="00FE5369">
        <w:rPr>
          <w:lang w:val="en-US"/>
        </w:rPr>
        <w:t xml:space="preserve">Equation </w:t>
      </w:r>
      <w:r w:rsidR="0008188F">
        <w:rPr>
          <w:noProof/>
          <w:lang w:val="en-US"/>
        </w:rPr>
        <w:t>6</w:t>
      </w:r>
      <w:r w:rsidR="007C39B4">
        <w:rPr>
          <w:rFonts w:cs="Times New Roman"/>
          <w:noProof/>
          <w:szCs w:val="24"/>
          <w:lang w:val="en-US" w:eastAsia="es-US"/>
        </w:rPr>
        <w:fldChar w:fldCharType="end"/>
      </w:r>
      <w:r>
        <w:rPr>
          <w:rFonts w:cs="Times New Roman"/>
          <w:noProof/>
          <w:szCs w:val="24"/>
          <w:lang w:val="en-US" w:eastAsia="es-US"/>
        </w:rPr>
        <w:t>).</w:t>
      </w:r>
    </w:p>
    <w:p w14:paraId="77E40178" w14:textId="45A51146" w:rsidR="00B137E9" w:rsidRDefault="00B137E9" w:rsidP="00540500">
      <w:pPr>
        <w:spacing w:after="0" w:line="480" w:lineRule="auto"/>
        <w:ind w:firstLine="706"/>
        <w:jc w:val="both"/>
        <w:rPr>
          <w:rFonts w:cs="Times New Roman"/>
          <w:noProof/>
          <w:szCs w:val="24"/>
          <w:lang w:val="en-US" w:eastAsia="es-US"/>
        </w:rPr>
      </w:pPr>
      <w:r w:rsidRPr="00B137E9">
        <w:rPr>
          <w:rFonts w:cs="Times New Roman"/>
          <w:noProof/>
          <w:szCs w:val="24"/>
          <w:lang w:val="en-US" w:eastAsia="es-US"/>
        </w:rPr>
        <w:t xml:space="preserve">An examination of the data in </w:t>
      </w:r>
      <w:r>
        <w:rPr>
          <w:rFonts w:cs="Times New Roman"/>
          <w:noProof/>
          <w:szCs w:val="24"/>
          <w:lang w:val="en-US" w:eastAsia="es-US"/>
        </w:rPr>
        <w:fldChar w:fldCharType="begin"/>
      </w:r>
      <w:r>
        <w:rPr>
          <w:rFonts w:cs="Times New Roman"/>
          <w:noProof/>
          <w:szCs w:val="24"/>
          <w:lang w:val="en-US" w:eastAsia="es-US"/>
        </w:rPr>
        <w:instrText xml:space="preserve"> REF _Ref38391481 \h </w:instrText>
      </w:r>
      <w:r>
        <w:rPr>
          <w:rFonts w:cs="Times New Roman"/>
          <w:noProof/>
          <w:szCs w:val="24"/>
          <w:lang w:val="en-US" w:eastAsia="es-US"/>
        </w:rPr>
      </w:r>
      <w:r>
        <w:rPr>
          <w:rFonts w:cs="Times New Roman"/>
          <w:noProof/>
          <w:szCs w:val="24"/>
          <w:lang w:val="en-US" w:eastAsia="es-US"/>
        </w:rPr>
        <w:fldChar w:fldCharType="separate"/>
      </w:r>
      <w:r w:rsidR="0008188F" w:rsidRPr="001C053C">
        <w:rPr>
          <w:lang w:val="en-US"/>
        </w:rPr>
        <w:t xml:space="preserve">Table </w:t>
      </w:r>
      <w:r w:rsidR="0008188F">
        <w:rPr>
          <w:noProof/>
          <w:lang w:val="en-US"/>
        </w:rPr>
        <w:t>9</w:t>
      </w:r>
      <w:r>
        <w:rPr>
          <w:rFonts w:cs="Times New Roman"/>
          <w:noProof/>
          <w:szCs w:val="24"/>
          <w:lang w:val="en-US" w:eastAsia="es-US"/>
        </w:rPr>
        <w:fldChar w:fldCharType="end"/>
      </w:r>
      <w:r>
        <w:rPr>
          <w:rFonts w:cs="Times New Roman"/>
          <w:noProof/>
          <w:szCs w:val="24"/>
          <w:lang w:val="en-US" w:eastAsia="es-US"/>
        </w:rPr>
        <w:t xml:space="preserve"> </w:t>
      </w:r>
      <w:r w:rsidRPr="00B137E9">
        <w:rPr>
          <w:rFonts w:cs="Times New Roman"/>
          <w:noProof/>
          <w:szCs w:val="24"/>
          <w:lang w:val="en-US" w:eastAsia="es-US"/>
        </w:rPr>
        <w:t xml:space="preserve">suggest that the </w:t>
      </w:r>
      <w:r w:rsidR="002E07BC">
        <w:rPr>
          <w:rFonts w:cs="Times New Roman"/>
          <w:noProof/>
          <w:szCs w:val="24"/>
          <w:lang w:val="en-US" w:eastAsia="es-US"/>
        </w:rPr>
        <w:t xml:space="preserve">water </w:t>
      </w:r>
      <w:r w:rsidRPr="00B137E9">
        <w:rPr>
          <w:rFonts w:cs="Times New Roman"/>
          <w:noProof/>
          <w:szCs w:val="24"/>
          <w:lang w:val="en-US" w:eastAsia="es-US"/>
        </w:rPr>
        <w:t>contact angle is dominated by the properties of the adhesive. From the control values, it appears that w</w:t>
      </w:r>
      <w:r>
        <w:rPr>
          <w:rFonts w:cs="Times New Roman"/>
          <w:noProof/>
          <w:szCs w:val="24"/>
          <w:lang w:val="en-US" w:eastAsia="es-US"/>
        </w:rPr>
        <w:t>a</w:t>
      </w:r>
      <w:r w:rsidRPr="00B137E9">
        <w:rPr>
          <w:rFonts w:cs="Times New Roman"/>
          <w:noProof/>
          <w:szCs w:val="24"/>
          <w:lang w:val="en-US" w:eastAsia="es-US"/>
        </w:rPr>
        <w:t>ter causes conformational changes with reorientation of functional groups to make the adhesive more hydrophilic.</w:t>
      </w:r>
      <w:r>
        <w:rPr>
          <w:rFonts w:cs="Times New Roman"/>
          <w:noProof/>
          <w:szCs w:val="24"/>
          <w:lang w:val="en-US" w:eastAsia="es-US"/>
        </w:rPr>
        <w:t xml:space="preserve"> </w:t>
      </w:r>
      <w:r w:rsidRPr="00B137E9">
        <w:rPr>
          <w:rFonts w:cs="Times New Roman"/>
          <w:noProof/>
          <w:szCs w:val="24"/>
          <w:lang w:val="en-US" w:eastAsia="es-US"/>
        </w:rPr>
        <w:t xml:space="preserve">Hydrophilic </w:t>
      </w:r>
      <w:r>
        <w:rPr>
          <w:lang w:val="en-US"/>
        </w:rPr>
        <w:t>Nanogard</w:t>
      </w:r>
      <w:r w:rsidRPr="677E1CE1">
        <w:rPr>
          <w:rFonts w:cs="Times New Roman"/>
          <w:szCs w:val="24"/>
          <w:vertAlign w:val="superscript"/>
          <w:lang w:val="en-US"/>
        </w:rPr>
        <w:t>TM</w:t>
      </w:r>
      <w:r w:rsidRPr="00B137E9">
        <w:rPr>
          <w:rFonts w:cs="Times New Roman"/>
          <w:noProof/>
          <w:szCs w:val="24"/>
          <w:lang w:val="en-US" w:eastAsia="es-US"/>
        </w:rPr>
        <w:t xml:space="preserve"> does little to change this result</w:t>
      </w:r>
      <w:r w:rsidR="005E0301">
        <w:rPr>
          <w:rFonts w:cs="Times New Roman"/>
          <w:noProof/>
          <w:szCs w:val="24"/>
          <w:lang w:val="en-US" w:eastAsia="es-US"/>
        </w:rPr>
        <w:t xml:space="preserve"> </w:t>
      </w:r>
      <w:r w:rsidRPr="00B137E9">
        <w:rPr>
          <w:rFonts w:cs="Times New Roman"/>
          <w:noProof/>
          <w:szCs w:val="24"/>
          <w:lang w:val="en-US" w:eastAsia="es-US"/>
        </w:rPr>
        <w:t>(Sample 2) while the presence of surfactant strongly adsorbed on the nanoparti</w:t>
      </w:r>
      <w:r w:rsidR="005E0301">
        <w:rPr>
          <w:rFonts w:cs="Times New Roman"/>
          <w:noProof/>
          <w:szCs w:val="24"/>
          <w:lang w:val="en-US" w:eastAsia="es-US"/>
        </w:rPr>
        <w:t>cle</w:t>
      </w:r>
      <w:r w:rsidRPr="00B137E9">
        <w:rPr>
          <w:rFonts w:cs="Times New Roman"/>
          <w:noProof/>
          <w:szCs w:val="24"/>
          <w:lang w:val="en-US" w:eastAsia="es-US"/>
        </w:rPr>
        <w:t>s as hemimicelles can explain a somewhat less equilibrium hydrophilicity</w:t>
      </w:r>
      <w:r w:rsidR="005E0301">
        <w:rPr>
          <w:rFonts w:cs="Times New Roman"/>
          <w:noProof/>
          <w:szCs w:val="24"/>
          <w:lang w:val="en-US" w:eastAsia="es-US"/>
        </w:rPr>
        <w:t xml:space="preserve"> </w:t>
      </w:r>
      <w:r w:rsidRPr="00B137E9">
        <w:rPr>
          <w:rFonts w:cs="Times New Roman"/>
          <w:noProof/>
          <w:szCs w:val="24"/>
          <w:lang w:val="en-US" w:eastAsia="es-US"/>
        </w:rPr>
        <w:t>(Sample 5). The hydrophobic NanoTek</w:t>
      </w:r>
      <w:r w:rsidRPr="677E1CE1">
        <w:rPr>
          <w:rFonts w:cs="Times New Roman"/>
          <w:szCs w:val="24"/>
          <w:vertAlign w:val="superscript"/>
          <w:lang w:val="en-US"/>
        </w:rPr>
        <w:t>TM</w:t>
      </w:r>
      <w:r w:rsidRPr="00B137E9">
        <w:rPr>
          <w:rFonts w:cs="Times New Roman"/>
          <w:noProof/>
          <w:szCs w:val="24"/>
          <w:lang w:val="en-US" w:eastAsia="es-US"/>
        </w:rPr>
        <w:t xml:space="preserve"> particl</w:t>
      </w:r>
      <w:r w:rsidR="005E0301">
        <w:rPr>
          <w:rFonts w:cs="Times New Roman"/>
          <w:noProof/>
          <w:szCs w:val="24"/>
          <w:lang w:val="en-US" w:eastAsia="es-US"/>
        </w:rPr>
        <w:t xml:space="preserve">es </w:t>
      </w:r>
      <w:r w:rsidRPr="00B137E9">
        <w:rPr>
          <w:rFonts w:cs="Times New Roman"/>
          <w:noProof/>
          <w:szCs w:val="24"/>
          <w:lang w:val="en-US" w:eastAsia="es-US"/>
        </w:rPr>
        <w:t>(Samples 3 and 5) resulted in higher initial and static contact angles after equilibrium. The very high initial contact angle of Sample 6 in</w:t>
      </w:r>
      <w:r w:rsidR="005E0301">
        <w:rPr>
          <w:rFonts w:cs="Times New Roman"/>
          <w:noProof/>
          <w:szCs w:val="24"/>
          <w:lang w:val="en-US" w:eastAsia="es-US"/>
        </w:rPr>
        <w:t>dic</w:t>
      </w:r>
      <w:r w:rsidRPr="00B137E9">
        <w:rPr>
          <w:rFonts w:cs="Times New Roman"/>
          <w:noProof/>
          <w:szCs w:val="24"/>
          <w:lang w:val="en-US" w:eastAsia="es-US"/>
        </w:rPr>
        <w:t xml:space="preserve">ates surface roughness was a factor while reordering of labile surfactant located the hydrophilic head group at the interface to lower the contact </w:t>
      </w:r>
      <w:r>
        <w:rPr>
          <w:rFonts w:cs="Times New Roman"/>
          <w:noProof/>
          <w:szCs w:val="24"/>
          <w:lang w:val="en-US" w:eastAsia="es-US"/>
        </w:rPr>
        <w:t>angle</w:t>
      </w:r>
      <w:r w:rsidRPr="00B137E9">
        <w:rPr>
          <w:rFonts w:cs="Times New Roman"/>
          <w:noProof/>
          <w:szCs w:val="24"/>
          <w:lang w:val="en-US" w:eastAsia="es-US"/>
        </w:rPr>
        <w:t xml:space="preserve"> below that of the control.</w:t>
      </w:r>
    </w:p>
    <w:p w14:paraId="2C7B77A2" w14:textId="16F7B9F2" w:rsidR="005170BA" w:rsidRDefault="005170BA" w:rsidP="002003DD">
      <w:pPr>
        <w:pStyle w:val="Heading2"/>
      </w:pPr>
      <w:bookmarkStart w:id="92" w:name="_Toc45837563"/>
      <w:r>
        <w:t>Results</w:t>
      </w:r>
      <w:r w:rsidR="008C1BB7">
        <w:t xml:space="preserve"> and Discussion</w:t>
      </w:r>
      <w:r>
        <w:t xml:space="preserve"> – Bioluminescence Assay</w:t>
      </w:r>
      <w:bookmarkEnd w:id="92"/>
    </w:p>
    <w:p w14:paraId="75E1CA28" w14:textId="189078A0" w:rsidR="00AC48EB" w:rsidRDefault="005336AE" w:rsidP="00273D80">
      <w:pPr>
        <w:spacing w:after="0" w:line="480" w:lineRule="auto"/>
        <w:jc w:val="both"/>
        <w:rPr>
          <w:lang w:val="en-US"/>
        </w:rPr>
      </w:pPr>
      <w:r>
        <w:rPr>
          <w:lang w:val="en-US"/>
        </w:rPr>
        <w:tab/>
      </w:r>
      <w:r w:rsidR="00105F0E">
        <w:rPr>
          <w:lang w:val="en-US"/>
        </w:rPr>
        <w:t xml:space="preserve">In order to quantify the antibacterial </w:t>
      </w:r>
      <w:r w:rsidR="00252537">
        <w:rPr>
          <w:lang w:val="en-US"/>
        </w:rPr>
        <w:t>viability of the nanoparticles and surfactant incorporated into the adhesive, a bioluminescence assay is conducted</w:t>
      </w:r>
      <w:r w:rsidR="008E44D2">
        <w:rPr>
          <w:lang w:val="en-US"/>
        </w:rPr>
        <w:t xml:space="preserve"> based on the North American firefly luciferase</w:t>
      </w:r>
      <w:r w:rsidR="00AC48EB">
        <w:rPr>
          <w:lang w:val="en-US"/>
        </w:rPr>
        <w:fldChar w:fldCharType="begin" w:fldLock="1"/>
      </w:r>
      <w:r w:rsidR="004871C8">
        <w:rPr>
          <w:lang w:val="en-US"/>
        </w:rPr>
        <w:instrText>ADDIN CSL_CITATION {"citationItems":[{"id":"ITEM-1","itemData":{"DOI":"10.1089/adt.2006.053","ISSN":"1540-658X","abstract":"Abstract: In the development of high throughput screening (HTS) as a central paradigm of drug discovery, fluorescence has generally been adopted as the favored methodology. Nevertheless, luminescence has maintained a prominent position among certain assay formats, most notably genetic reporters. Recently, there has been growing partiality for luminescent assays across a wider range of applications due to their sensitivity, broad linearity, and robustness to library compounds and complex biological samples. This trend has been fostered by the development of several new assay designs for diverse targets such as kinases, cytochrome p450s, proteases, apoptosis, and cytotoxicity. This review addresses recent progress made in the use of bioluminescent assays for HTS, highlighting new detection capabilities brought about by engineering luciferase genes, enzymes, and substrates. In genetic reporter applications, modifications to the luciferase genes have improved assay sensitivity by substantially increasing expression efficiency and enhanced response dynamics by reducing expression lifetime. The performance of assays based on detection of ATP and luciferin has been enhanced by modifications to the luciferase enzyme that increase its chemical and physical stability. Detection of ATP allows rapid analysis of cell metabolism and enzymatic processes coupled to ATP metabolism. Because luciferins are not naturally associated with mammalian physiology, assays for luciferin detection utilize synthetic derivatives designed to yield luminescence only when coupled with specific target enzymes. Finally, new methods for modulating the specific activity of luciferases are leading to the development of intracellular biosensors for dynamic detection of physiological processes.","author":[{"dropping-particle":"","family":"Fan","given":"Frank","non-dropping-particle":"","parse-names":false,"suffix":""},{"dropping-particle":"V","family":"Wood","given":"Keith","non-dropping-particle":"","parse-names":false,"suffix":""}],"container-title":"ASSAY and Drug Development Technologies","id":"ITEM-1","issue":"1","issued":{"date-parts":[["2007","2","1"]]},"note":"doi: 10.1089/adt.2006.053","page":"127-136","publisher":"Mary Ann Liebert, Inc., publishers","title":"Bioluminescent Assays for High-Throughput Screening","type":"article-journal","volume":"5"},"uris":["http://www.mendeley.com/documents/?uuid=798dd1ac-baa7-4e89-ba75-06c1dfe6bb91"]}],"mendeley":{"formattedCitation":"&lt;sup&gt;86&lt;/sup&gt;","plainTextFormattedCitation":"86","previouslyFormattedCitation":"&lt;sup&gt;86&lt;/sup&gt;"},"properties":{"noteIndex":0},"schema":"https://github.com/citation-style-language/schema/raw/master/csl-citation.json"}</w:instrText>
      </w:r>
      <w:r w:rsidR="00AC48EB">
        <w:rPr>
          <w:lang w:val="en-US"/>
        </w:rPr>
        <w:fldChar w:fldCharType="separate"/>
      </w:r>
      <w:r w:rsidR="00B01517" w:rsidRPr="00B01517">
        <w:rPr>
          <w:noProof/>
          <w:vertAlign w:val="superscript"/>
          <w:lang w:val="en-US"/>
        </w:rPr>
        <w:t>86</w:t>
      </w:r>
      <w:r w:rsidR="00AC48EB">
        <w:rPr>
          <w:lang w:val="en-US"/>
        </w:rPr>
        <w:fldChar w:fldCharType="end"/>
      </w:r>
      <w:r w:rsidR="00252537">
        <w:rPr>
          <w:lang w:val="en-US"/>
        </w:rPr>
        <w:t xml:space="preserve">. </w:t>
      </w:r>
      <w:r w:rsidR="00252537" w:rsidRPr="00903D53">
        <w:rPr>
          <w:i/>
          <w:iCs/>
          <w:lang w:val="en-US"/>
        </w:rPr>
        <w:t>Streptococcus mutans</w:t>
      </w:r>
      <w:r w:rsidR="00252537">
        <w:rPr>
          <w:lang w:val="en-US"/>
        </w:rPr>
        <w:t xml:space="preserve"> are the bacteria used to measure the antibacterial properties of the adhesives due to it being </w:t>
      </w:r>
      <w:r w:rsidR="00115658">
        <w:rPr>
          <w:lang w:val="en-US"/>
        </w:rPr>
        <w:t>a</w:t>
      </w:r>
      <w:r w:rsidR="00252537">
        <w:rPr>
          <w:lang w:val="en-US"/>
        </w:rPr>
        <w:t xml:space="preserve"> </w:t>
      </w:r>
      <w:r w:rsidR="008E44D2">
        <w:rPr>
          <w:lang w:val="en-US"/>
        </w:rPr>
        <w:t>prevalent bacterium</w:t>
      </w:r>
      <w:r w:rsidR="00252537">
        <w:rPr>
          <w:lang w:val="en-US"/>
        </w:rPr>
        <w:t xml:space="preserve"> found in the oral cavity where caries </w:t>
      </w:r>
      <w:r w:rsidR="008E44D2">
        <w:rPr>
          <w:lang w:val="en-US"/>
        </w:rPr>
        <w:t>are</w:t>
      </w:r>
      <w:r w:rsidR="00252537">
        <w:rPr>
          <w:lang w:val="en-US"/>
        </w:rPr>
        <w:t xml:space="preserve"> present. The </w:t>
      </w:r>
      <w:r w:rsidR="00252537" w:rsidRPr="00903D53">
        <w:rPr>
          <w:i/>
          <w:iCs/>
          <w:lang w:val="en-US"/>
        </w:rPr>
        <w:t>S. mutans</w:t>
      </w:r>
      <w:r w:rsidR="00252537">
        <w:rPr>
          <w:lang w:val="en-US"/>
        </w:rPr>
        <w:t xml:space="preserve"> are</w:t>
      </w:r>
      <w:r w:rsidR="00115658">
        <w:rPr>
          <w:lang w:val="en-US"/>
        </w:rPr>
        <w:t xml:space="preserve"> modified in a laboratory for use in this assay. The l</w:t>
      </w:r>
      <w:r w:rsidR="00252537">
        <w:rPr>
          <w:lang w:val="en-US"/>
        </w:rPr>
        <w:t xml:space="preserve">uciferase </w:t>
      </w:r>
      <w:r w:rsidR="00115658">
        <w:rPr>
          <w:lang w:val="en-US"/>
        </w:rPr>
        <w:t xml:space="preserve">gene is placed under control of the </w:t>
      </w:r>
      <w:r w:rsidR="00115658" w:rsidRPr="00903D53">
        <w:rPr>
          <w:i/>
          <w:iCs/>
          <w:lang w:val="en-US"/>
        </w:rPr>
        <w:t>S. mutans</w:t>
      </w:r>
      <w:r w:rsidR="00115658">
        <w:rPr>
          <w:lang w:val="en-US"/>
        </w:rPr>
        <w:t xml:space="preserve"> </w:t>
      </w:r>
      <w:r w:rsidR="00C527E3">
        <w:rPr>
          <w:lang w:val="en-US"/>
        </w:rPr>
        <w:t>lactate</w:t>
      </w:r>
      <w:r w:rsidR="00115658">
        <w:rPr>
          <w:lang w:val="en-US"/>
        </w:rPr>
        <w:t xml:space="preserve"> dehydrogenase (ldh) promoter</w:t>
      </w:r>
      <w:r w:rsidR="00115658">
        <w:rPr>
          <w:lang w:val="en-US"/>
        </w:rPr>
        <w:fldChar w:fldCharType="begin" w:fldLock="1"/>
      </w:r>
      <w:r w:rsidR="00A356D0">
        <w:rPr>
          <w:lang w:val="en-US"/>
        </w:rPr>
        <w:instrText>ADDIN CSL_CITATION {"citationItems":[{"id":"ITEM-1","itemData":{"DOI":"https://doi.org/10.1016/j.mimet.2004.11.012","ISSN":"0167-7012","abstract":"Streptococcus mutans is one of a small number of recognized pathogens that lives among the hundreds of other bacterial species which comprise the oral flora. The virulence of this organism is intimately associated with its ability to live as an attached biofilm community on the tooth surface, and consequently, there is a great interest in its biofilm lifestyle. Currently, there are no established protocols that facilitate drug screening against this organism while it is entrenched in the biofilm. Furthermore, greater complications arise when attempting to perform these experiments in a multi-species setting. In an effort to circumvent these problems, we developed a quick, real-time, and non-disruptive method to probe the metabolic status of S. mutans growing as either a planktonic culture or a biofilm community. This assay takes advantage of the proven utility of luciferase measurements for drug screening. We placed the luciferase gene under the control of the S. mutans lactate dehydrogenase promoter (ldh) and integrated the construct onto its native position on the chromosome. We found this construct to be both highly expressed (&lt;10000 cells easily detectable) and insensitive to many different growth parameters. When testing this reporter in both planktonic and biofilm cultures receiving either bacteriostatic or bactericidal antibiotics, we found the ldh–luc reporter to be a very accurate measurement of cell viability. Furthermore, we also demonstrated that this assay can generate useful information about the characteristics of intoxication caused by antibiotic activity. In addition, we modified the biofilm assay into the 96-well format and demonstrated the feasibility of high throughput drug screening of biofilm embedded S. mutans.","author":[{"dropping-particle":"","family":"Merritt","given":"Justin","non-dropping-particle":"","parse-names":false,"suffix":""},{"dropping-particle":"","family":"Kreth","given":"Jens","non-dropping-particle":"","parse-names":false,"suffix":""},{"dropping-particle":"","family":"Qi","given":"Fengxia","non-dropping-particle":"","parse-names":false,"suffix":""},{"dropping-particle":"","family":"Sullivan","given":"Richard","non-dropping-particle":"","parse-names":false,"suffix":""},{"dropping-particle":"","family":"Shi","given":"Wenyuan","non-dropping-particle":"","parse-names":false,"suffix":""}],"container-title":"Journal of Microbiological Methods","id":"ITEM-1","issue":"2","issued":{"date-parts":[["2005"]]},"page":"161-170","title":"Non-disruptive, real-time analyses of the metabolic status and viability of Streptococcus mutans cells in response to antimicrobial treatments","type":"article-journal","volume":"61"},"uris":["http://www.mendeley.com/documents/?uuid=5f7ee252-c8db-4390-9c1a-1dd59bb073c6"]}],"mendeley":{"formattedCitation":"&lt;sup&gt;84&lt;/sup&gt;","plainTextFormattedCitation":"84","previouslyFormattedCitation":"&lt;sup&gt;84&lt;/sup&gt;"},"properties":{"noteIndex":0},"schema":"https://github.com/citation-style-language/schema/raw/master/csl-citation.json"}</w:instrText>
      </w:r>
      <w:r w:rsidR="00115658">
        <w:rPr>
          <w:lang w:val="en-US"/>
        </w:rPr>
        <w:fldChar w:fldCharType="separate"/>
      </w:r>
      <w:r w:rsidR="00BF4802" w:rsidRPr="00BF4802">
        <w:rPr>
          <w:noProof/>
          <w:vertAlign w:val="superscript"/>
          <w:lang w:val="en-US"/>
        </w:rPr>
        <w:t>84</w:t>
      </w:r>
      <w:r w:rsidR="00115658">
        <w:rPr>
          <w:lang w:val="en-US"/>
        </w:rPr>
        <w:fldChar w:fldCharType="end"/>
      </w:r>
      <w:r w:rsidR="00115658">
        <w:rPr>
          <w:lang w:val="en-US"/>
        </w:rPr>
        <w:t>.</w:t>
      </w:r>
      <w:r w:rsidR="008E44D2">
        <w:rPr>
          <w:lang w:val="en-US"/>
        </w:rPr>
        <w:t xml:space="preserve"> The ldh-luc reporter system can monitor the metabolic status and viability of </w:t>
      </w:r>
      <w:r w:rsidR="008E44D2" w:rsidRPr="00903D53">
        <w:rPr>
          <w:i/>
          <w:iCs/>
          <w:lang w:val="en-US"/>
        </w:rPr>
        <w:t>S. mutans</w:t>
      </w:r>
      <w:r w:rsidR="008E44D2">
        <w:rPr>
          <w:lang w:val="en-US"/>
        </w:rPr>
        <w:t xml:space="preserve"> in biofilms. This allows any drug that affects the ldh promoter activity to be quantitatively measured in a noninvasive, high throughput manner due to nearly all the ATP pool being converted into light</w:t>
      </w:r>
      <w:r w:rsidR="00AC48EB">
        <w:rPr>
          <w:lang w:val="en-US"/>
        </w:rPr>
        <w:fldChar w:fldCharType="begin" w:fldLock="1"/>
      </w:r>
      <w:r w:rsidR="004871C8">
        <w:rPr>
          <w:lang w:val="en-US"/>
        </w:rPr>
        <w:instrText>ADDIN CSL_CITATION {"citationItems":[{"id":"ITEM-1","itemData":{"DOI":"10.1016/j.dental.2016.07.010","ISBN":"0109-5641","PMID":"27515531","abstract":"OBJECTIVE: The release of unpolymerized monomers and by-products of resin composites influences biofilm growth and confounds the measurement of metabolic activity. Current assays to measure biofilm viability have critical limitations and are typically not performed on relevant substrates. The objective of the present study was to determine the utility of firefly luciferase assay for quantification of the viability of intact biofilms on a resin composite substrate, and correlate the results with a standard method (viable colony counts). METHODS: Disk-shaped specimens of a dental resin composite were fabricated, wet-polished, UV-sterilized, and stored in water. Biofilms of Streptococcus mutans (strain UA159 modified by insertion of constitutively expressed firefly luc gene) were grown (1:500 dilution; anaerobic conditions, 24h, 37 degrees C) in two media concentrations (0.35x and 0.65x THY medium supplemented with 0.1% sucrose; n=15/group). An additional group of specimens with biofilms grown in 0.65x+sucrose media was treated with chlorhexidine gluconate solution to serve as the control group. Bioluminescence measurements of non-disrupted biofilms were obtained after addition of d-Luciferin substrate. The adherent biofilms were removed by sonication, and bioluminescence of sonicated bacteria was then measured. Viable colony counts were performed after plating sonicated bacteria on THY agar plates supplemented with spectinomycin. Bioluminescence values and cell counts were correlated using Spearman correlation tests (alpha=0.05). RESULTS: Strong positive correlations between viable colony counts and bioluminescence values, both before- and after-sonication, validated the utility of this assay. SIGNIFICANCE: A novel non-disruptive, real-time bioluminescence assay is presented for quantification of intact S. mutans biofilms grown on a resin composite, and potentially on antibacterial materials and other types of dental biomaterials.","author":[{"dropping-particle":"","family":"Esteban Florez","given":"F L","non-dropping-particle":"","parse-names":false,"suffix":""},{"dropping-particle":"","family":"Hiers","given":"R D","non-dropping-particle":"","parse-names":false,"suffix":""},{"dropping-particle":"","family":"Smart","given":"K","non-dropping-particle":"","parse-names":false,"suffix":""},{"dropping-particle":"","family":"Kreth","given":"J","non-dropping-particle":"","parse-names":false,"suffix":""},{"dropping-particle":"","family":"Qi","given":"F","non-dropping-particle":"","parse-names":false,"suffix":""},{"dropping-particle":"","family":"Merritt","given":"J","non-dropping-particle":"","parse-names":false,"suffix":""},{"dropping-particle":"","family":"Khajotia","given":"S S","non-dropping-particle":"","parse-names":false,"suffix":""}],"container-title":"Dent Mater","edition":"2016/08/16","id":"ITEM-1","issue":"10","issued":{"date-parts":[["2016"]]},"language":"eng","note":"1879-0097\nEsteban Florez, Fernando Luis\nHiers, Rochelle Denise\nSmart, Kristin\nKreth, Jens\nQi, Fengxia\nMerritt, Justin\nKhajotia, Sharukh Soli\nR01 DE018893/DE/NIDCR NIH HHS/United States\nR01 DE021726/DE/NIDCR NIH HHS/United States\nR01 DE022083/DE/NIDCR NIH HHS/United States\nR15 DE019566/DE/NIDCR NIH HHS/United States\nJournal Article\nResearch Support, N.I.H., Extramural\nEngland\nDent Mater. 2016 Oct;32(10):1263-1269. doi: 10.1016/j.dental.2016.07.010. Epub 2016 Aug 8.","page":"1263-1269","title":"Real-time assessment of Streptococcus mutans biofilm metabolism on resin composite","type":"article-journal","volume":"32"},"uris":["http://www.mendeley.com/documents/?uuid=06aa1059-c63c-4ea7-be08-d736a71f397f"]}],"mendeley":{"formattedCitation":"&lt;sup&gt;12&lt;/sup&gt;","plainTextFormattedCitation":"12","previouslyFormattedCitation":"&lt;sup&gt;12&lt;/sup&gt;"},"properties":{"noteIndex":0},"schema":"https://github.com/citation-style-language/schema/raw/master/csl-citation.json"}</w:instrText>
      </w:r>
      <w:r w:rsidR="00AC48EB">
        <w:rPr>
          <w:lang w:val="en-US"/>
        </w:rPr>
        <w:fldChar w:fldCharType="separate"/>
      </w:r>
      <w:r w:rsidR="00B01517" w:rsidRPr="00B01517">
        <w:rPr>
          <w:noProof/>
          <w:vertAlign w:val="superscript"/>
          <w:lang w:val="en-US"/>
        </w:rPr>
        <w:t>12</w:t>
      </w:r>
      <w:r w:rsidR="00AC48EB">
        <w:rPr>
          <w:lang w:val="en-US"/>
        </w:rPr>
        <w:fldChar w:fldCharType="end"/>
      </w:r>
      <w:r w:rsidR="008E44D2">
        <w:rPr>
          <w:lang w:val="en-US"/>
        </w:rPr>
        <w:t>.</w:t>
      </w:r>
    </w:p>
    <w:p w14:paraId="7C707DF1" w14:textId="61CA7A8B" w:rsidR="00BC0DF0" w:rsidRDefault="00AC48EB" w:rsidP="00273D80">
      <w:pPr>
        <w:spacing w:line="480" w:lineRule="auto"/>
        <w:jc w:val="both"/>
        <w:rPr>
          <w:lang w:val="en-US"/>
        </w:rPr>
      </w:pPr>
      <w:r>
        <w:rPr>
          <w:lang w:val="en-US"/>
        </w:rPr>
        <w:tab/>
        <w:t xml:space="preserve">The eight </w:t>
      </w:r>
      <w:r w:rsidR="003270EA">
        <w:rPr>
          <w:lang w:val="en-US"/>
        </w:rPr>
        <w:t>groups tested included 18 data points for each group. There was considerable variation in bacteria counts from week to week, but the average results across all specimen for each individual week was comparable</w:t>
      </w:r>
      <w:r w:rsidR="00D82423">
        <w:rPr>
          <w:lang w:val="en-US"/>
        </w:rPr>
        <w:t xml:space="preserve"> (</w:t>
      </w:r>
      <w:r w:rsidR="007C39B4">
        <w:rPr>
          <w:lang w:val="en-US"/>
        </w:rPr>
        <w:fldChar w:fldCharType="begin"/>
      </w:r>
      <w:r w:rsidR="007C39B4">
        <w:rPr>
          <w:lang w:val="en-US"/>
        </w:rPr>
        <w:instrText xml:space="preserve"> REF _Ref45573315 \h </w:instrText>
      </w:r>
      <w:r w:rsidR="00273D80">
        <w:rPr>
          <w:lang w:val="en-US"/>
        </w:rPr>
        <w:instrText xml:space="preserve"> \* MERGEFORMAT </w:instrText>
      </w:r>
      <w:r w:rsidR="007C39B4">
        <w:rPr>
          <w:lang w:val="en-US"/>
        </w:rPr>
      </w:r>
      <w:r w:rsidR="007C39B4">
        <w:rPr>
          <w:lang w:val="en-US"/>
        </w:rPr>
        <w:fldChar w:fldCharType="separate"/>
      </w:r>
      <w:r w:rsidR="0008188F" w:rsidRPr="007C39B4">
        <w:rPr>
          <w:lang w:val="en-US"/>
        </w:rPr>
        <w:t xml:space="preserve">Figure </w:t>
      </w:r>
      <w:r w:rsidR="0008188F">
        <w:rPr>
          <w:noProof/>
          <w:lang w:val="en-US"/>
        </w:rPr>
        <w:t>19</w:t>
      </w:r>
      <w:r w:rsidR="007C39B4">
        <w:rPr>
          <w:lang w:val="en-US"/>
        </w:rPr>
        <w:fldChar w:fldCharType="end"/>
      </w:r>
      <w:r w:rsidR="00D82423">
        <w:rPr>
          <w:lang w:val="en-US"/>
        </w:rPr>
        <w:t>)</w:t>
      </w:r>
      <w:r w:rsidR="003270EA">
        <w:rPr>
          <w:lang w:val="en-US"/>
        </w:rPr>
        <w:t xml:space="preserve">. </w:t>
      </w:r>
    </w:p>
    <w:p w14:paraId="3E415791" w14:textId="1E98B083" w:rsidR="00193892" w:rsidRDefault="00193892" w:rsidP="004C6611">
      <w:pPr>
        <w:jc w:val="both"/>
        <w:rPr>
          <w:lang w:val="en-US"/>
        </w:rPr>
      </w:pPr>
      <w:r>
        <w:rPr>
          <w:noProof/>
          <w:lang w:val="en-US"/>
        </w:rPr>
        <w:drawing>
          <wp:inline distT="0" distB="0" distL="0" distR="0" wp14:anchorId="62B8582C" wp14:editId="0CE7E3E2">
            <wp:extent cx="5346700" cy="3638550"/>
            <wp:effectExtent l="0" t="0" r="6350" b="0"/>
            <wp:docPr id="5" name="Chart 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2456226" w14:textId="581553B1" w:rsidR="007C39B4" w:rsidRPr="007C39B4" w:rsidRDefault="007C39B4" w:rsidP="007C39B4">
      <w:pPr>
        <w:pStyle w:val="Caption"/>
        <w:rPr>
          <w:lang w:val="en-US"/>
        </w:rPr>
      </w:pPr>
      <w:bookmarkStart w:id="93" w:name="_Ref45573315"/>
      <w:bookmarkStart w:id="94" w:name="_Toc45837590"/>
      <w:r w:rsidRPr="007C39B4">
        <w:rPr>
          <w:lang w:val="en-US"/>
        </w:rPr>
        <w:t xml:space="preserve">Figure </w:t>
      </w:r>
      <w:r>
        <w:fldChar w:fldCharType="begin"/>
      </w:r>
      <w:r w:rsidRPr="007C39B4">
        <w:rPr>
          <w:lang w:val="en-US"/>
        </w:rPr>
        <w:instrText xml:space="preserve"> SEQ Figure \* ARABIC </w:instrText>
      </w:r>
      <w:r>
        <w:fldChar w:fldCharType="separate"/>
      </w:r>
      <w:r w:rsidR="0008188F">
        <w:rPr>
          <w:noProof/>
          <w:lang w:val="en-US"/>
        </w:rPr>
        <w:t>19</w:t>
      </w:r>
      <w:r>
        <w:fldChar w:fldCharType="end"/>
      </w:r>
      <w:bookmarkEnd w:id="93"/>
      <w:r w:rsidRPr="007C39B4">
        <w:rPr>
          <w:lang w:val="en-US"/>
        </w:rPr>
        <w:t xml:space="preserve"> – Bacteria count vs. t</w:t>
      </w:r>
      <w:r>
        <w:rPr>
          <w:lang w:val="en-US"/>
        </w:rPr>
        <w:t>ime</w:t>
      </w:r>
      <w:bookmarkEnd w:id="94"/>
    </w:p>
    <w:p w14:paraId="1DEEE69F" w14:textId="4911FDE0" w:rsidR="00193892" w:rsidRDefault="003270EA" w:rsidP="004C6611">
      <w:pPr>
        <w:jc w:val="both"/>
        <w:rPr>
          <w:lang w:val="en-US"/>
        </w:rPr>
      </w:pPr>
      <w:r>
        <w:rPr>
          <w:lang w:val="en-US"/>
        </w:rPr>
        <w:t>Average results on biofilms’ bacteria count for 3 weeks across eight groups each having a sample size of n=18 versus time over six minutes of testing.</w:t>
      </w:r>
    </w:p>
    <w:p w14:paraId="5F95AD46" w14:textId="438276BF" w:rsidR="00D13338" w:rsidRDefault="00440F3F" w:rsidP="00FB36A3">
      <w:pPr>
        <w:spacing w:after="0" w:line="480" w:lineRule="auto"/>
        <w:jc w:val="both"/>
        <w:rPr>
          <w:lang w:val="en-US"/>
        </w:rPr>
      </w:pPr>
      <w:r>
        <w:rPr>
          <w:lang w:val="en-US"/>
        </w:rPr>
        <w:tab/>
      </w:r>
      <w:r w:rsidR="00D82423">
        <w:rPr>
          <w:lang w:val="en-US"/>
        </w:rPr>
        <w:t>The</w:t>
      </w:r>
      <w:r w:rsidR="00D13338">
        <w:rPr>
          <w:lang w:val="en-US"/>
        </w:rPr>
        <w:t xml:space="preserve"> </w:t>
      </w:r>
      <w:r w:rsidR="00060919">
        <w:rPr>
          <w:lang w:val="en-US"/>
        </w:rPr>
        <w:t>O</w:t>
      </w:r>
      <w:r w:rsidR="00D13338">
        <w:rPr>
          <w:lang w:val="en-US"/>
        </w:rPr>
        <w:t>ptibond</w:t>
      </w:r>
      <w:r w:rsidR="00D82423">
        <w:rPr>
          <w:lang w:val="en-US"/>
        </w:rPr>
        <w:t xml:space="preserve"> adhesive alone </w:t>
      </w:r>
      <w:r w:rsidR="00D13338">
        <w:rPr>
          <w:lang w:val="en-US"/>
        </w:rPr>
        <w:t>showed one of the least variances and lowest error from week to week. It appears that the addition of nanoparticles to the adhesive may have caused inconsistencies in the surface composition. When nanoparticles were incorporated to the adhesive, this may have caused an aeration in the adhesive resulting in nanosized areas for the bacteria to settle and grow in. It would need to be confirmed that the surface is completely smooth and void of air pockets that could encourage bacteria growth.</w:t>
      </w:r>
      <w:r w:rsidR="00362E9B">
        <w:rPr>
          <w:lang w:val="en-US"/>
        </w:rPr>
        <w:t xml:space="preserve"> The nanoparticles with surfactant coating showed the highest bacteria count.</w:t>
      </w:r>
    </w:p>
    <w:p w14:paraId="2605C6BB" w14:textId="01884D90" w:rsidR="008C2360" w:rsidRDefault="00523B2C" w:rsidP="00E2537D">
      <w:pPr>
        <w:spacing w:after="0" w:line="480" w:lineRule="auto"/>
        <w:ind w:firstLine="708"/>
        <w:jc w:val="both"/>
        <w:rPr>
          <w:lang w:val="en-US"/>
        </w:rPr>
      </w:pPr>
      <w:r>
        <w:rPr>
          <w:lang w:val="en-US"/>
        </w:rPr>
        <w:t xml:space="preserve">The antibacterial effects of the nanoparticles incorporated into the </w:t>
      </w:r>
      <w:r w:rsidR="00917541">
        <w:rPr>
          <w:lang w:val="en-US"/>
        </w:rPr>
        <w:t>dental adhesive was not apparent.</w:t>
      </w:r>
      <w:r w:rsidR="00747E84">
        <w:rPr>
          <w:lang w:val="en-US"/>
        </w:rPr>
        <w:t xml:space="preserve"> </w:t>
      </w:r>
      <w:r w:rsidR="00917541">
        <w:rPr>
          <w:lang w:val="en-US"/>
        </w:rPr>
        <w:t xml:space="preserve">There are several factors that could have contributed to the lack of antibacterial properties from the zinc oxide nanoparticles. </w:t>
      </w:r>
      <w:r w:rsidR="00747E84">
        <w:rPr>
          <w:lang w:val="en-US"/>
        </w:rPr>
        <w:t>It is likely that the polymer interfered with the antibacterial mechanism by causing</w:t>
      </w:r>
      <w:r w:rsidR="00917541">
        <w:rPr>
          <w:lang w:val="en-US"/>
        </w:rPr>
        <w:t xml:space="preserve"> the agglomeration of the nanoparticles in the adhesive</w:t>
      </w:r>
      <w:r w:rsidR="00747E84">
        <w:rPr>
          <w:lang w:val="en-US"/>
        </w:rPr>
        <w:t>. This</w:t>
      </w:r>
      <w:r w:rsidR="00917541">
        <w:rPr>
          <w:lang w:val="en-US"/>
        </w:rPr>
        <w:t xml:space="preserve"> did not allow for a consistent distribution of nanoparticles exposed to the surface for the </w:t>
      </w:r>
      <w:r w:rsidR="00917541" w:rsidRPr="00917541">
        <w:rPr>
          <w:i/>
          <w:iCs/>
          <w:lang w:val="en-US"/>
        </w:rPr>
        <w:t>S. mutans</w:t>
      </w:r>
      <w:r w:rsidR="00917541">
        <w:rPr>
          <w:lang w:val="en-US"/>
        </w:rPr>
        <w:t xml:space="preserve"> to encounter. </w:t>
      </w:r>
      <w:r w:rsidR="00440F3F">
        <w:rPr>
          <w:lang w:val="en-US"/>
        </w:rPr>
        <w:t>For some of the articles citing zinc oxide as antibacterial in nature, it was found that low concentration</w:t>
      </w:r>
      <w:r>
        <w:rPr>
          <w:lang w:val="en-US"/>
        </w:rPr>
        <w:t>s</w:t>
      </w:r>
      <w:r w:rsidR="00440F3F">
        <w:rPr>
          <w:lang w:val="en-US"/>
        </w:rPr>
        <w:t xml:space="preserve"> of the nanoparticles did not seem to have a significant effect on reducing the bacteria</w:t>
      </w:r>
      <w:r w:rsidR="00440F3F">
        <w:rPr>
          <w:lang w:val="en-US"/>
        </w:rPr>
        <w:fldChar w:fldCharType="begin" w:fldLock="1"/>
      </w:r>
      <w:r w:rsidR="004871C8">
        <w:rPr>
          <w:lang w:val="en-US"/>
        </w:rPr>
        <w:instrText>ADDIN CSL_CITATION {"citationItems":[{"id":"ITEM-1","itemData":{"DOI":"https://doi.org/10.1016/j.nano.2008.04.005","ISSN":"1549-9634","abstract":"Dental caries is a worldwide public health problem for which Streptococcus mutans has been identified as the possible infectious etiology. In recent years nanotechnology has permitted the development of new properties of materials. The objective of this study was to compare the bactericidal and bacteriostatic effects of nanoparticles of silver, zinc oxide, and gold on S. mutans. We used the liquid dilution method to find the minimum inhibitory concentrations (MICs) and with subcultures obtained the minimum bactericidal concentrations (MBCs). For silver the results showed an average MIC of 4.86 ± 2.71 μg/mL and MBC of 6.25 μg/mL; for zinc the MIC was 500 ± 306.18 μg/mL and MBC of 500 μg/mL; the gold nanoparticles demonstrated an effect only at an initial concentration of 197 μg/mL. We established a higher antimicrobial effect against S. mutans of silver nanoparticles at lower concentrations than gold or zinc, which would allow achieving important clinical effects with a reduced toxicity.","author":[{"dropping-particle":"","family":"Hernández-Sierra","given":"Juan Francisco","non-dropping-particle":"","parse-names":false,"suffix":""},{"dropping-particle":"","family":"Ruiz","given":"Facundo","non-dropping-particle":"","parse-names":false,"suffix":""},{"dropping-particle":"","family":"Cruz Pena","given":"Diana Corina","non-dropping-particle":"","parse-names":false,"suffix":""},{"dropping-particle":"","family":"Martínez-Gutiérrez","given":"Fidel","non-dropping-particle":"","parse-names":false,"suffix":""},{"dropping-particle":"","family":"Martínez","given":"Alberto Emilio","non-dropping-particle":"","parse-names":false,"suffix":""},{"dropping-particle":"","family":"Jesús Pozos Guillén","given":"Amaury","non-dropping-particle":"de","parse-names":false,"suffix":""},{"dropping-particle":"","family":"Tapia-Pérez","given":"Humberto","non-dropping-particle":"","parse-names":false,"suffix":""},{"dropping-particle":"","family":"Martínez Castañón","given":"Gabriel","non-dropping-particle":"","parse-names":false,"suffix":""}],"container-title":"Nanomedicine: Nanotechnology, Biology and Medicine","id":"ITEM-1","issue":"3","issued":{"date-parts":[["2008"]]},"page":"237-240","title":"The antimicrobial sensitivity of Streptococcus mutans to nanoparticles of silver, zinc oxide, and gold","type":"article-journal","volume":"4"},"uris":["http://www.mendeley.com/documents/?uuid=4ec3d748-192a-4621-8008-cd6b9432f363"]},{"id":"ITEM-2","itemData":{"DOI":"10.2147/IJN.S35347","ISSN":"1178-2013","abstract":"BACKGROUND: Nanomaterials have unique properties compared to their bulk counterparts. For this reason, nanotechnology has attracted a great deal of attention from the scientific community. Metal oxide nanomaterials like ZnO and CuO have been used industrially for several purposes, including cosmetics, paints, plastics, and textiles. A common feature that these nanoparticles exhibit is their antimicrobial behavior against pathogenic bacteria. In this report, we demonstrate the antimicrobial activity of ZnO, CuO, and Fe(2)O(3) nanoparticles against Gram-positive and Gram-negative bacteria. METHODS AND RESULTS: Nanosized particles of three metal oxides (ZnO, CuO, and Fe(2)O(3)) were synthesized by a sol-gel combustion route and characterized by X-ray diffraction, Fourier-transform infrared spectroscopy, and transmission electron microscopy techniques. X-ray diffraction results confirmed the single-phase formation of all three nanomaterials. The particle sizes were observed to be 18, 22, and 28 nm for ZnO, CuO, and Fe(2)O(3), respectively. We used these nanomaterials to evaluate their antibacterial activity against both Gram-negative (Escherichia coli and Pseudomonas aeruginosa) and Gram-positive (Staphylococcus aureus and Bacillus subtilis) bacteria. CONCLUSION: Among the three metal oxide nanomaterials, ZnO showed greatest antimicrobial activity against both Gram-positive and Gram-negative bacteria used in this study. It was observed that ZnO nanoparticles have excellent bactericidal potential, while Fe(2)O(3) nanoparticles exhibited the least bactericidal activity. The order of antibacterial activity was demonstrated to be the following: ZnO &gt; CuO &gt; Fe(2)O(3).","author":[{"dropping-particle":"","family":"Azam","given":"Ameer","non-dropping-particle":"","parse-names":false,"suffix":""},{"dropping-particle":"","family":"Ahmed","given":"Arham S","non-dropping-particle":"","parse-names":false,"suffix":""},{"dropping-particle":"","family":"Oves","given":"Mohammad","non-dropping-particle":"","parse-names":false,"suffix":""},{"dropping-particle":"","family":"Khan","given":"Mohammad S","non-dropping-particle":"","parse-names":false,"suffix":""},{"dropping-particle":"","family":"Habib","given":"Sami S","non-dropping-particle":"","parse-names":false,"suffix":""},{"dropping-particle":"","family":"Memic","given":"Adnan","non-dropping-particle":"","parse-names":false,"suffix":""}],"container-title":"International journal of nanomedicine","edition":"2012/12/05","id":"ITEM-2","issued":{"date-parts":[["2012"]]},"language":"eng","page":"6003-6009","publisher":"Dove Medical Press","title":"Antimicrobial activity of metal oxide nanoparticles against Gram-positive and Gram-negative bacteria: a comparative study","type":"article-journal","volume":"7"},"uris":["http://www.mendeley.com/documents/?uuid=77f254be-1131-4c68-9dfe-6d0bff96e1c1"]},{"id":"ITEM-3","itemData":{"DOI":"10.1116/1.2815690","ISSN":"1934-8630","author":[{"dropping-particle":"","family":"Buzea","given":"Cristina","non-dropping-particle":"","parse-names":false,"suffix":""},{"dropping-particle":"","family":"Pacheco","given":"Ivan I","non-dropping-particle":"","parse-names":false,"suffix":""},{"dropping-particle":"","family":"Robbie","given":"Kevin","non-dropping-particle":"","parse-names":false,"suffix":""}],"container-title":"Biointerphases","id":"ITEM-3","issue":"4","issued":{"date-parts":[["2007","12","1"]]},"note":"doi: 10.1116/1.2815690","page":"MR17-MR71","publisher":"American Vacuum Society","title":"Nanomaterials and nanoparticles: Sources and toxicity","type":"article-journal","volume":"2"},"uris":["http://www.mendeley.com/documents/?uuid=99471ef6-a227-4659-817a-40bdc9cfa440"]}],"mendeley":{"formattedCitation":"&lt;sup&gt;13,16,87&lt;/sup&gt;","plainTextFormattedCitation":"13,16,87","previouslyFormattedCitation":"&lt;sup&gt;13,16,87&lt;/sup&gt;"},"properties":{"noteIndex":0},"schema":"https://github.com/citation-style-language/schema/raw/master/csl-citation.json"}</w:instrText>
      </w:r>
      <w:r w:rsidR="00440F3F">
        <w:rPr>
          <w:lang w:val="en-US"/>
        </w:rPr>
        <w:fldChar w:fldCharType="separate"/>
      </w:r>
      <w:r w:rsidR="00B01517" w:rsidRPr="00B01517">
        <w:rPr>
          <w:noProof/>
          <w:vertAlign w:val="superscript"/>
          <w:lang w:val="en-US"/>
        </w:rPr>
        <w:t>13,16,87</w:t>
      </w:r>
      <w:r w:rsidR="00440F3F">
        <w:rPr>
          <w:lang w:val="en-US"/>
        </w:rPr>
        <w:fldChar w:fldCharType="end"/>
      </w:r>
      <w:r w:rsidR="00440F3F">
        <w:rPr>
          <w:lang w:val="en-US"/>
        </w:rPr>
        <w:t xml:space="preserve">. This could be a potential health hazard due to </w:t>
      </w:r>
      <w:r>
        <w:rPr>
          <w:lang w:val="en-US"/>
        </w:rPr>
        <w:t xml:space="preserve">high concentration </w:t>
      </w:r>
      <w:r w:rsidR="00440F3F">
        <w:rPr>
          <w:lang w:val="en-US"/>
        </w:rPr>
        <w:t>of meta</w:t>
      </w:r>
      <w:r w:rsidR="002908F9">
        <w:rPr>
          <w:lang w:val="en-US"/>
        </w:rPr>
        <w:t>l</w:t>
      </w:r>
      <w:r w:rsidR="00440F3F">
        <w:rPr>
          <w:lang w:val="en-US"/>
        </w:rPr>
        <w:t xml:space="preserve"> oxides necessary in dental adhesives to exhibit antibacterial effects</w:t>
      </w:r>
      <w:r w:rsidR="00917541">
        <w:rPr>
          <w:lang w:val="en-US"/>
        </w:rPr>
        <w:t xml:space="preserve">. This would not be a viable option when considering fabrication of an oral adhesive which would allow continued and extended exposure to the nanoparticles. Due to the adhesive polymerization, it is possible that the nanoparticles might be contained within the adhesive eliminating </w:t>
      </w:r>
      <w:r w:rsidR="00C07B3D">
        <w:rPr>
          <w:lang w:val="en-US"/>
        </w:rPr>
        <w:t>much of</w:t>
      </w:r>
      <w:r w:rsidR="00917541">
        <w:rPr>
          <w:lang w:val="en-US"/>
        </w:rPr>
        <w:t xml:space="preserve"> the risk associated with nanoparticles being continually present in the oral cavity. More research would need to be conducted on the toxicity of nanoparticles polymerized in dental adhesives. Changing the concentration of the nanoparticles would also change the ratio of adhesive to nanoparticles. This might cause the adhesive to gain antibacterial properties at the expense of compromising the adhesive’s mechanical properties. More research would need to be conducted on </w:t>
      </w:r>
      <w:r w:rsidR="00C07B3D">
        <w:rPr>
          <w:lang w:val="en-US"/>
        </w:rPr>
        <w:t>dispersion of the nanoparticles throughout the adhesive.</w:t>
      </w:r>
      <w:r w:rsidR="00917541">
        <w:rPr>
          <w:lang w:val="en-US"/>
        </w:rPr>
        <w:t xml:space="preserve"> </w:t>
      </w:r>
      <w:r>
        <w:rPr>
          <w:lang w:val="en-US"/>
        </w:rPr>
        <w:t>Some studies found that</w:t>
      </w:r>
      <w:r w:rsidR="00440F3F">
        <w:rPr>
          <w:lang w:val="en-US"/>
        </w:rPr>
        <w:t xml:space="preserve"> decreasing particle size of nanoparticles </w:t>
      </w:r>
      <w:r>
        <w:rPr>
          <w:lang w:val="en-US"/>
        </w:rPr>
        <w:t>resulted in</w:t>
      </w:r>
      <w:r w:rsidR="00440F3F">
        <w:rPr>
          <w:lang w:val="en-US"/>
        </w:rPr>
        <w:t xml:space="preserve"> greater bactericidal efficacy</w:t>
      </w:r>
      <w:r>
        <w:rPr>
          <w:lang w:val="en-US"/>
        </w:rPr>
        <w:fldChar w:fldCharType="begin" w:fldLock="1"/>
      </w:r>
      <w:r w:rsidR="004871C8">
        <w:rPr>
          <w:lang w:val="en-US"/>
        </w:rPr>
        <w:instrText>ADDIN CSL_CITATION {"citationItems":[{"id":"ITEM-1","itemData":{"DOI":"https://doi.org/10.1016/j.nano.2008.04.005","ISSN":"1549-9634","abstract":"Dental caries is a worldwide public health problem for which Streptococcus mutans has been identified as the possible infectious etiology. In recent years nanotechnology has permitted the development of new properties of materials. The objective of this study was to compare the bactericidal and bacteriostatic effects of nanoparticles of silver, zinc oxide, and gold on S. mutans. We used the liquid dilution method to find the minimum inhibitory concentrations (MICs) and with subcultures obtained the minimum bactericidal concentrations (MBCs). For silver the results showed an average MIC of 4.86 ± 2.71 μg/mL and MBC of 6.25 μg/mL; for zinc the MIC was 500 ± 306.18 μg/mL and MBC of 500 μg/mL; the gold nanoparticles demonstrated an effect only at an initial concentration of 197 μg/mL. We established a higher antimicrobial effect against S. mutans of silver nanoparticles at lower concentrations than gold or zinc, which would allow achieving important clinical effects with a reduced toxicity.","author":[{"dropping-particle":"","family":"Hernández-Sierra","given":"Juan Francisco","non-dropping-particle":"","parse-names":false,"suffix":""},{"dropping-particle":"","family":"Ruiz","given":"Facundo","non-dropping-particle":"","parse-names":false,"suffix":""},{"dropping-particle":"","family":"Cruz Pena","given":"Diana Corina","non-dropping-particle":"","parse-names":false,"suffix":""},{"dropping-particle":"","family":"Martínez-Gutiérrez","given":"Fidel","non-dropping-particle":"","parse-names":false,"suffix":""},{"dropping-particle":"","family":"Martínez","given":"Alberto Emilio","non-dropping-particle":"","parse-names":false,"suffix":""},{"dropping-particle":"","family":"Jesús Pozos Guillén","given":"Amaury","non-dropping-particle":"de","parse-names":false,"suffix":""},{"dropping-particle":"","family":"Tapia-Pérez","given":"Humberto","non-dropping-particle":"","parse-names":false,"suffix":""},{"dropping-particle":"","family":"Martínez Castañón","given":"Gabriel","non-dropping-particle":"","parse-names":false,"suffix":""}],"container-title":"Nanomedicine: Nanotechnology, Biology and Medicine","id":"ITEM-1","issue":"3","issued":{"date-parts":[["2008"]]},"page":"237-240","title":"The antimicrobial sensitivity of Streptococcus mutans to nanoparticles of silver, zinc oxide, and gold","type":"article-journal","volume":"4"},"uris":["http://www.mendeley.com/documents/?uuid=4ec3d748-192a-4621-8008-cd6b9432f363"]},{"id":"ITEM-2","itemData":{"DOI":"10.2147/IJN.S35347","ISSN":"1178-2013","abstract":"BACKGROUND: Nanomaterials have unique properties compared to their bulk counterparts. For this reason, nanotechnology has attracted a great deal of attention from the scientific community. Metal oxide nanomaterials like ZnO and CuO have been used industrially for several purposes, including cosmetics, paints, plastics, and textiles. A common feature that these nanoparticles exhibit is their antimicrobial behavior against pathogenic bacteria. In this report, we demonstrate the antimicrobial activity of ZnO, CuO, and Fe(2)O(3) nanoparticles against Gram-positive and Gram-negative bacteria. METHODS AND RESULTS: Nanosized particles of three metal oxides (ZnO, CuO, and Fe(2)O(3)) were synthesized by a sol-gel combustion route and characterized by X-ray diffraction, Fourier-transform infrared spectroscopy, and transmission electron microscopy techniques. X-ray diffraction results confirmed the single-phase formation of all three nanomaterials. The particle sizes were observed to be 18, 22, and 28 nm for ZnO, CuO, and Fe(2)O(3), respectively. We used these nanomaterials to evaluate their antibacterial activity against both Gram-negative (Escherichia coli and Pseudomonas aeruginosa) and Gram-positive (Staphylococcus aureus and Bacillus subtilis) bacteria. CONCLUSION: Among the three metal oxide nanomaterials, ZnO showed greatest antimicrobial activity against both Gram-positive and Gram-negative bacteria used in this study. It was observed that ZnO nanoparticles have excellent bactericidal potential, while Fe(2)O(3) nanoparticles exhibited the least bactericidal activity. The order of antibacterial activity was demonstrated to be the following: ZnO &gt; CuO &gt; Fe(2)O(3).","author":[{"dropping-particle":"","family":"Azam","given":"Ameer","non-dropping-particle":"","parse-names":false,"suffix":""},{"dropping-particle":"","family":"Ahmed","given":"Arham S","non-dropping-particle":"","parse-names":false,"suffix":""},{"dropping-particle":"","family":"Oves","given":"Mohammad","non-dropping-particle":"","parse-names":false,"suffix":""},{"dropping-particle":"","family":"Khan","given":"Mohammad S","non-dropping-particle":"","parse-names":false,"suffix":""},{"dropping-particle":"","family":"Habib","given":"Sami S","non-dropping-particle":"","parse-names":false,"suffix":""},{"dropping-particle":"","family":"Memic","given":"Adnan","non-dropping-particle":"","parse-names":false,"suffix":""}],"container-title":"International journal of nanomedicine","edition":"2012/12/05","id":"ITEM-2","issued":{"date-parts":[["2012"]]},"language":"eng","page":"6003-6009","publisher":"Dove Medical Press","title":"Antimicrobial activity of metal oxide nanoparticles against Gram-positive and Gram-negative bacteria: a comparative study","type":"article-journal","volume":"7"},"uris":["http://www.mendeley.com/documents/?uuid=77f254be-1131-4c68-9dfe-6d0bff96e1c1"]}],"mendeley":{"formattedCitation":"&lt;sup&gt;13,16&lt;/sup&gt;","plainTextFormattedCitation":"13,16","previouslyFormattedCitation":"&lt;sup&gt;13,16&lt;/sup&gt;"},"properties":{"noteIndex":0},"schema":"https://github.com/citation-style-language/schema/raw/master/csl-citation.json"}</w:instrText>
      </w:r>
      <w:r>
        <w:rPr>
          <w:lang w:val="en-US"/>
        </w:rPr>
        <w:fldChar w:fldCharType="separate"/>
      </w:r>
      <w:r w:rsidR="00B01517" w:rsidRPr="00B01517">
        <w:rPr>
          <w:noProof/>
          <w:vertAlign w:val="superscript"/>
          <w:lang w:val="en-US"/>
        </w:rPr>
        <w:t>13,16</w:t>
      </w:r>
      <w:r>
        <w:rPr>
          <w:lang w:val="en-US"/>
        </w:rPr>
        <w:fldChar w:fldCharType="end"/>
      </w:r>
      <w:r w:rsidR="00440F3F">
        <w:rPr>
          <w:lang w:val="en-US"/>
        </w:rPr>
        <w:t>.</w:t>
      </w:r>
      <w:r w:rsidR="00917541">
        <w:rPr>
          <w:lang w:val="en-US"/>
        </w:rPr>
        <w:t xml:space="preserve"> The nanoparticles used in this study may have needed to be smaller in particle size in order to exhibit quantifiable antibacterial properties.</w:t>
      </w:r>
      <w:r w:rsidR="00C07B3D">
        <w:rPr>
          <w:lang w:val="en-US"/>
        </w:rPr>
        <w:t xml:space="preserve"> Some studies have shown the increase in antibacterial properties in metal ion doped nanoparticles</w:t>
      </w:r>
      <w:r w:rsidR="00C07B3D">
        <w:rPr>
          <w:lang w:val="en-US"/>
        </w:rPr>
        <w:fldChar w:fldCharType="begin" w:fldLock="1"/>
      </w:r>
      <w:r w:rsidR="004871C8">
        <w:rPr>
          <w:lang w:val="en-US"/>
        </w:rPr>
        <w:instrText>ADDIN CSL_CITATION {"citationItems":[{"id":"ITEM-1","itemData":{"DOI":"https://doi.org/10.1016/j.msec.2018.08.060","ISSN":"0928-4931","abstract":"The development of dental adhesive resins with long-lasting antibacterial properties is a possible solution to overcome the problem of secondary caries in modern adhesive dentistry. Objectives (i) Synthesis and characterization of nitrogen-doped titanium dioxide nanoparticles (N_TiO2), (ii) topographical, compositional and wettability characterization of thin-films (unaltered and experimental) and, (iii) antibacterial efficacy of N_TiO2-containing dental adhesives against Streptococcus mutans biofilms. Materials and methods Nanoparticles were synthesized and characterized using different techniques. Specimens (diameter = 12 mm, thickness </w:instrText>
      </w:r>
      <w:r w:rsidR="004871C8">
        <w:rPr>
          <w:rFonts w:ascii="Cambria Math" w:hAnsi="Cambria Math" w:cs="Cambria Math"/>
          <w:lang w:val="en-US"/>
        </w:rPr>
        <w:instrText>≅</w:instrText>
      </w:r>
      <w:r w:rsidR="004871C8">
        <w:rPr>
          <w:rFonts w:cs="Times New Roman"/>
          <w:lang w:val="en-US"/>
        </w:rPr>
        <w:instrText> </w:instrText>
      </w:r>
      <w:r w:rsidR="004871C8">
        <w:rPr>
          <w:lang w:val="en-US"/>
        </w:rPr>
        <w:instrText>15</w:instrText>
      </w:r>
      <w:r w:rsidR="004871C8">
        <w:rPr>
          <w:rFonts w:cs="Times New Roman"/>
          <w:lang w:val="en-US"/>
        </w:rPr>
        <w:instrText> μ</w:instrText>
      </w:r>
      <w:r w:rsidR="004871C8">
        <w:rPr>
          <w:lang w:val="en-US"/>
        </w:rPr>
        <w:instrText>m) of OptiBond Solo Plus (Kerr Corp., USA) and experimental adhesives [50, 67 and 80% (v/v)] were fabricated, photopolymerized (1000 mW/cm2, 1 min) and UV-sterilized (254 nm, 800,000 μJ/cm2) for microscopy, spectroscopy, wettability and antibacterial testing. Wettability was assessed with a contact angle goniometer by dispensing water droplets (2 μL) onto four random locations of each specimen (16 drops/group). Drop profiles were recorded (1 min, 25 frames/s, 37 °C) and contact angles were calculated at time = 0 s (θINITIAL) and time = 59 s (θFINAL). Antibacterial testing was performed by growing S. mutans (UA159-ldh, JM10) biofilms for either 3 or 24 h (anaerobic conditions, 37 °C) with or without continuous light irradiation (410 ± 10 nm, 3 h = 38.75 J/cm2, 24 h = 310.07 J/cm2) against the surfaces of sterile specimens. Results N_TiO2 was successfully prepared using solvothermal methods. Doped-nanoparticles displayed higher light absorption levels when compared to undoped titania. Experimental adhesives demonstrated superior antibacterial efficacy in dark conditions. Conclusions The findings presented herein suggest that N_TiO2 is a feasible antibacterial agent against cariogenic biofilms.","author":[{"dropping-particle":"","family":"Esteban Florez","given":"Fernando Luis","non-dropping-particle":"","parse-names":false,"suffix":""},{"dropping-particle":"","family":"Hiers","given":"Rochelle Denise","non-dropping-particle":"","parse-names":false,"suffix":""},{"dropping-particle":"","family":"Larson","given":"Preston","non-dropping-particle":"","parse-names":false,"suffix":""},{"dropping-particle":"","family":"Johnson","given":"Matthew","non-dropping-particle":"","parse-names":false,"suffix":""},{"dropping-particle":"","family":"O'Rear","given":"Edgar","non-dropping-particle":"","parse-names":false,"suffix":""},{"dropping-particle":"","family":"Rondinone","given":"Adam J","non-dropping-particle":"","parse-names":false,"suffix":""},{"dropping-particle":"","family":"Khajotia","given":"Sharukh Soli","non-dropping-particle":"","parse-names":false,"suffix":""}],"container-title":"Materials Science and Engineering: C","id":"ITEM-1","issued":{"date-parts":[["2018"]]},"page":"931-943","title":"Antibacterial dental adhesive resins containing nitrogen-doped titanium dioxide nanoparticles","type":"article-journal","volume":"93"},"uris":["http://www.mendeley.com/documents/?uuid=3e5643df-cf74-4808-9f8f-cbe8f309b04a"]},{"id":"ITEM-2","itemData":{"ISSN":"2190-4286","abstract":"This paper reports the structural and optical properties and comparative photocatalytic activity of TiO2 and Ag-doped TiO2 nanoparticles against different bacterial strains under visible-light irradiation. The TiO2 and Ag-doped TiO2 photocatalysts were synthesized by acid catalyzed sol–gel technique and characterized by X-ray diffraction (XRD), transmission electron microscopy (TEM), UV–vis spectroscopy and photoluminescence (PL). The XRD pattern revealed that the annealed sample of TiO2 has both anatase and rutile phases while only an anatase phase was found in Ag-doped TiO2 nanoparticles. The decreased band-gap energy of Ag-doped TiO2 nanoparticles in comparison to TiO2 nanoparticles was investigated by UV–vis spectroscopy. The rate of recombination and transfer behaviour of the photoexcited electron–hole pairs in the semiconductors was recorded by photoluminescence. The antimicrobial activity of TiO2 and Ag-doped TiO2 nanoparticles (3% and 7%) was investigated against both gram positive (Staphylococcus aureus) and gram negative (Pseudomonas aeruginosa, Escherichia coli) bacteria. As a result, the viability of all three microorganisms was reduced to zero at 60 mg/30 mL culture in the case of both (3% and 7% doping) concentrations of Ag-doped TiO2 nanoparticles. Annealed TiO2 showed zero viability at 80 mg/30 mL whereas doped Ag-TiO2 7% showed zero viability at 40 mg/30 mL culture in the case of P. aeruginosa only.","author":[{"dropping-particle":"","family":"Gupta","given":"Kiran","non-dropping-particle":"","parse-names":false,"suffix":""},{"dropping-particle":"","family":"Singh","given":"R P","non-dropping-particle":"","parse-names":false,"suffix":""},{"dropping-particle":"","family":"Pandey","given":"Ashutosh","non-dropping-particle":"","parse-names":false,"suffix":""},{"dropping-particle":"","family":"Pandey","given":"Anjana","non-dropping-particle":"","parse-names":false,"suffix":""}],"container-title":"Beilstein Journal of Nanotechnology","id":"ITEM-2","issued":{"date-parts":[["2013"]]},"page":"345-351","title":"Photocatalytic antibacterial performance of TiO2 and Ag-doped TiO2 against S. aureus. P. aeruginosa and E. coli","type":"article-journal","volume":"4"},"uris":["http://www.mendeley.com/documents/?uuid=bcb7b2b1-c1b0-43ff-9871-843ff8c8bcf4"]},{"id":"ITEM-3","itemData":{"DOI":"10.1186/1556-276X-9-98","ISSN":"1556-276X","abstract":"To research the relationship of micro-structures and antibacterial properties of the titanium-doped ZnO powders and probe their antibacterial mechanism, titanium-doped ZnO powders with different shapes and sizes were prepared from different zinc salts by alcohothermal method. The ZnO powders were characterized by X-ray powder diffraction (XRD), Fourier transform infrared spectroscopy (FT-IR), ultraviolet-visible spectroscopy (UV-vis), scanning electron microscopy (SEM), transmission electron microscopy (TEM), and selected area electron diffraction (SAED), and the antibacterial activities of titanium-doped ZnO powders on Escherichia coli and Staphylococcus aureus were evaluated. Furthermore, the tested strains were characterized by SEM, and the electrical conductance variation trend of the bacterial suspension was characterized. The results indicate that the morphologies of the powders are different due to preparation from different zinc salts. The XRD results manifest that the samples synthesized from zinc acetate, zinc nitrate, and zinc chloride are zincite ZnO, and the sample synthesized from zinc sulfate is the mixture of ZnO, ZnTiO3, and ZnSO4 · 3Zn (OH)2 crystal. UV-vis spectra show that the absorption edges of the titanium-doped ZnO powders are red shifted to more than 400 nm which are prepared from zinc acetate, zinc nitrate, and zinc chloride. The antibacterial activity of titanium-doped ZnO powders synthesized from zinc chloride is optimal, and its minimum inhibitory concentration (MIC) and minimum bactericidal concentration (MBC) are lower than 0.25 g L−1. Likewise, when the bacteria are treated by ZnO powders synthesized from zinc chloride, the bacterial cells are damaged most seriously, and the electrical conductance increment of bacterial suspension is slightly high. It can be inferred that the antibacterial properties of the titanium-doped ZnO powders are relevant to the microstructure, particle size, and the crystal. The powders can damage the cell walls; thus, the electrolyte is leaked from cells.","author":[{"dropping-particle":"","family":"Sun","given":"Tong","non-dropping-particle":"","parse-names":false,"suffix":""},{"dropping-particle":"","family":"Hao","given":"Han","non-dropping-particle":"","parse-names":false,"suffix":""},{"dropping-particle":"","family":"Hao","given":"Wen-ting","non-dropping-particle":"","parse-names":false,"suffix":""},{"dropping-particle":"","family":"Yi","given":"Shu-min","non-dropping-particle":"","parse-names":false,"suffix":""},{"dropping-particle":"","family":"Li","given":"Xue-peng","non-dropping-particle":"","parse-names":false,"suffix":""},{"dropping-particle":"","family":"Li","given":"Jian-rong","non-dropping-particle":"","parse-names":false,"suffix":""}],"container-title":"Nanoscale Research Letters","id":"ITEM-3","issue":"1","issued":{"date-parts":[["2014"]]},"page":"98","title":"Preparation and antibacterial properties of titanium-doped ZnO from different zinc salts","type":"article-journal","volume":"9"},"uris":["http://www.mendeley.com/documents/?uuid=14aeabce-0564-47cf-854b-d25819651150"]}],"mendeley":{"formattedCitation":"&lt;sup&gt;14,15,17&lt;/sup&gt;","plainTextFormattedCitation":"14,15,17","previouslyFormattedCitation":"&lt;sup&gt;14,15,17&lt;/sup&gt;"},"properties":{"noteIndex":0},"schema":"https://github.com/citation-style-language/schema/raw/master/csl-citation.json"}</w:instrText>
      </w:r>
      <w:r w:rsidR="00C07B3D">
        <w:rPr>
          <w:lang w:val="en-US"/>
        </w:rPr>
        <w:fldChar w:fldCharType="separate"/>
      </w:r>
      <w:r w:rsidR="00B01517" w:rsidRPr="00B01517">
        <w:rPr>
          <w:noProof/>
          <w:vertAlign w:val="superscript"/>
          <w:lang w:val="en-US"/>
        </w:rPr>
        <w:t>14,15,17</w:t>
      </w:r>
      <w:r w:rsidR="00C07B3D">
        <w:rPr>
          <w:lang w:val="en-US"/>
        </w:rPr>
        <w:fldChar w:fldCharType="end"/>
      </w:r>
      <w:r w:rsidR="00C07B3D">
        <w:rPr>
          <w:lang w:val="en-US"/>
        </w:rPr>
        <w:t>.</w:t>
      </w:r>
      <w:r w:rsidR="008C2360">
        <w:rPr>
          <w:lang w:val="en-US"/>
        </w:rPr>
        <w:t xml:space="preserve"> The metal ion doped nanoparticles differ from these nanoparticles in the way they were synthesized. Metal ion doped nanoparticle</w:t>
      </w:r>
      <w:r w:rsidR="00747E84">
        <w:rPr>
          <w:lang w:val="en-US"/>
        </w:rPr>
        <w:t>s are synthesized by utilizing metal ion exchange</w:t>
      </w:r>
      <w:r w:rsidR="00C2304B">
        <w:rPr>
          <w:lang w:val="en-US"/>
        </w:rPr>
        <w:t xml:space="preserve"> methods to enhance the interfacial charge transfer at the interface</w:t>
      </w:r>
      <w:r w:rsidR="00C2304B">
        <w:rPr>
          <w:lang w:val="en-US"/>
        </w:rPr>
        <w:fldChar w:fldCharType="begin" w:fldLock="1"/>
      </w:r>
      <w:r w:rsidR="004871C8">
        <w:rPr>
          <w:lang w:val="en-US"/>
        </w:rPr>
        <w:instrText>ADDIN CSL_CITATION {"citationItems":[{"id":"ITEM-1","itemData":{"DOI":"10.1016/B978-0-12-813926-4.00001-X","ISBN":"978-0-12-813926-4","author":[{"dropping-particle":"","family":"Belver","given":"C","non-dropping-particle":"","parse-names":false,"suffix":""},{"dropping-particle":"","family":"Bedia","given":"J","non-dropping-particle":"","parse-names":false,"suffix":""},{"dropping-particle":"","family":"Gómez-Avilés","given":"Almudena","non-dropping-particle":"","parse-names":false,"suffix":""},{"dropping-particle":"","family":"Peñas-Garzón","given":"Manuel","non-dropping-particle":"","parse-names":false,"suffix":""},{"dropping-particle":"","family":"Rodriguez","given":"Juan","non-dropping-particle":"","parse-names":false,"suffix":""}],"id":"ITEM-1","issued":{"date-parts":[["2018","11","21"]]},"page":"581","title":"Semiconductor Photocatalysis For Water Purification","type":"chapter"},"uris":["http://www.mendeley.com/documents/?uuid=808bd209-34ce-4178-93fc-3e578d9394a8"]}],"mendeley":{"formattedCitation":"&lt;sup&gt;88&lt;/sup&gt;","plainTextFormattedCitation":"88","previouslyFormattedCitation":"&lt;sup&gt;88&lt;/sup&gt;"},"properties":{"noteIndex":0},"schema":"https://github.com/citation-style-language/schema/raw/master/csl-citation.json"}</w:instrText>
      </w:r>
      <w:r w:rsidR="00C2304B">
        <w:rPr>
          <w:lang w:val="en-US"/>
        </w:rPr>
        <w:fldChar w:fldCharType="separate"/>
      </w:r>
      <w:r w:rsidR="00B01517" w:rsidRPr="00B01517">
        <w:rPr>
          <w:noProof/>
          <w:vertAlign w:val="superscript"/>
          <w:lang w:val="en-US"/>
        </w:rPr>
        <w:t>88</w:t>
      </w:r>
      <w:r w:rsidR="00C2304B">
        <w:rPr>
          <w:lang w:val="en-US"/>
        </w:rPr>
        <w:fldChar w:fldCharType="end"/>
      </w:r>
      <w:r w:rsidR="00C2304B">
        <w:rPr>
          <w:lang w:val="en-US"/>
        </w:rPr>
        <w:t>.</w:t>
      </w:r>
      <w:r w:rsidR="00236344">
        <w:rPr>
          <w:lang w:val="en-US"/>
        </w:rPr>
        <w:t xml:space="preserve"> This method allows a trace of impurity element to be introduced to the chemical material to alter its properties.</w:t>
      </w:r>
    </w:p>
    <w:p w14:paraId="5D70E09A" w14:textId="7F1264DC" w:rsidR="00C07B3D" w:rsidRDefault="00D82423" w:rsidP="00D82423">
      <w:pPr>
        <w:spacing w:line="480" w:lineRule="auto"/>
        <w:ind w:firstLine="708"/>
        <w:jc w:val="both"/>
        <w:rPr>
          <w:lang w:val="en-US"/>
        </w:rPr>
      </w:pPr>
      <w:r>
        <w:rPr>
          <w:lang w:val="en-US"/>
        </w:rPr>
        <w:t xml:space="preserve"> It is possible the bacteria used in other studies (i.e. </w:t>
      </w:r>
      <w:r w:rsidRPr="00903D53">
        <w:rPr>
          <w:i/>
          <w:iCs/>
          <w:lang w:val="en-US"/>
        </w:rPr>
        <w:t>S. sobrinus</w:t>
      </w:r>
      <w:r>
        <w:rPr>
          <w:lang w:val="en-US"/>
        </w:rPr>
        <w:t xml:space="preserve"> and </w:t>
      </w:r>
      <w:r w:rsidRPr="00903D53">
        <w:rPr>
          <w:i/>
          <w:iCs/>
          <w:lang w:val="en-US"/>
        </w:rPr>
        <w:t xml:space="preserve">E. </w:t>
      </w:r>
      <w:r w:rsidR="00FB6093" w:rsidRPr="00903D53">
        <w:rPr>
          <w:i/>
          <w:iCs/>
          <w:lang w:val="en-US"/>
        </w:rPr>
        <w:t>c</w:t>
      </w:r>
      <w:r w:rsidRPr="00903D53">
        <w:rPr>
          <w:i/>
          <w:iCs/>
          <w:lang w:val="en-US"/>
        </w:rPr>
        <w:t>oli</w:t>
      </w:r>
      <w:r>
        <w:rPr>
          <w:lang w:val="en-US"/>
        </w:rPr>
        <w:t xml:space="preserve">) were more susceptible to the nanoparticles’ antibacterial properties while </w:t>
      </w:r>
      <w:r w:rsidRPr="00903D53">
        <w:rPr>
          <w:i/>
          <w:iCs/>
          <w:lang w:val="en-US"/>
        </w:rPr>
        <w:t>S. mutans</w:t>
      </w:r>
      <w:r>
        <w:rPr>
          <w:lang w:val="en-US"/>
        </w:rPr>
        <w:t xml:space="preserve"> may have been more resistant unless further action was taken, such as: metal ion doped nanoparticles or smaller nanoparticle sizes.</w:t>
      </w:r>
    </w:p>
    <w:p w14:paraId="4228F5C2" w14:textId="1AC8B4FE" w:rsidR="00737230" w:rsidRDefault="00737230" w:rsidP="002003DD">
      <w:pPr>
        <w:pStyle w:val="Heading2"/>
      </w:pPr>
      <w:bookmarkStart w:id="95" w:name="_Toc45837564"/>
      <w:r>
        <w:t xml:space="preserve">Results </w:t>
      </w:r>
      <w:r w:rsidR="008C1BB7">
        <w:t xml:space="preserve">and Discussion </w:t>
      </w:r>
      <w:r>
        <w:t>– Verification of Antibacterial Properties</w:t>
      </w:r>
      <w:bookmarkEnd w:id="95"/>
    </w:p>
    <w:p w14:paraId="346C157B" w14:textId="4D8A58B5" w:rsidR="00B52CBD" w:rsidRDefault="00B52CBD" w:rsidP="00273D80">
      <w:pPr>
        <w:spacing w:line="480" w:lineRule="auto"/>
        <w:jc w:val="both"/>
        <w:rPr>
          <w:lang w:val="en-US"/>
        </w:rPr>
      </w:pPr>
      <w:r>
        <w:rPr>
          <w:lang w:val="en-US"/>
        </w:rPr>
        <w:tab/>
      </w:r>
      <w:r w:rsidR="00C7367E">
        <w:rPr>
          <w:lang w:val="en-US"/>
        </w:rPr>
        <w:t xml:space="preserve">A minimum bactericidal count (MBC) was conducted </w:t>
      </w:r>
      <w:r w:rsidR="00F127C0">
        <w:rPr>
          <w:lang w:val="en-US"/>
        </w:rPr>
        <w:t xml:space="preserve">to evaluate the antibacterial properties of the zinc oxide nanoparticles </w:t>
      </w:r>
      <w:r w:rsidR="00A10755">
        <w:rPr>
          <w:lang w:val="en-US"/>
        </w:rPr>
        <w:t>by</w:t>
      </w:r>
      <w:r w:rsidR="00F127C0">
        <w:rPr>
          <w:lang w:val="en-US"/>
        </w:rPr>
        <w:t xml:space="preserve"> groups </w:t>
      </w:r>
      <w:r w:rsidR="00A10755">
        <w:rPr>
          <w:lang w:val="en-US"/>
        </w:rPr>
        <w:t>corresponding</w:t>
      </w:r>
      <w:r w:rsidR="00F127C0">
        <w:rPr>
          <w:lang w:val="en-US"/>
        </w:rPr>
        <w:t xml:space="preserve"> to</w:t>
      </w:r>
      <w:r w:rsidR="00050783">
        <w:rPr>
          <w:lang w:val="en-US"/>
        </w:rPr>
        <w:t xml:space="preserve"> </w:t>
      </w:r>
      <w:r w:rsidR="00050783">
        <w:rPr>
          <w:lang w:val="en-US"/>
        </w:rPr>
        <w:fldChar w:fldCharType="begin"/>
      </w:r>
      <w:r w:rsidR="00050783">
        <w:rPr>
          <w:lang w:val="en-US"/>
        </w:rPr>
        <w:instrText xml:space="preserve"> REF _Ref39405933 \h </w:instrText>
      </w:r>
      <w:r w:rsidR="00273D80">
        <w:rPr>
          <w:lang w:val="en-US"/>
        </w:rPr>
        <w:instrText xml:space="preserve"> \* MERGEFORMAT </w:instrText>
      </w:r>
      <w:r w:rsidR="00050783">
        <w:rPr>
          <w:lang w:val="en-US"/>
        </w:rPr>
      </w:r>
      <w:r w:rsidR="00050783">
        <w:rPr>
          <w:lang w:val="en-US"/>
        </w:rPr>
        <w:fldChar w:fldCharType="separate"/>
      </w:r>
      <w:r w:rsidR="0008188F" w:rsidRPr="0008188F">
        <w:rPr>
          <w:lang w:val="en-US"/>
        </w:rPr>
        <w:t xml:space="preserve">Table </w:t>
      </w:r>
      <w:r w:rsidR="0008188F" w:rsidRPr="0008188F">
        <w:rPr>
          <w:noProof/>
          <w:lang w:val="en-US"/>
        </w:rPr>
        <w:t>10</w:t>
      </w:r>
      <w:r w:rsidR="00050783">
        <w:rPr>
          <w:lang w:val="en-US"/>
        </w:rPr>
        <w:fldChar w:fldCharType="end"/>
      </w:r>
      <w:r w:rsidR="00337282">
        <w:rPr>
          <w:lang w:val="en-US"/>
        </w:rPr>
        <w:t>.</w:t>
      </w:r>
      <w:r w:rsidR="00A10755">
        <w:rPr>
          <w:lang w:val="en-US"/>
        </w:rPr>
        <w:t xml:space="preserve"> </w:t>
      </w:r>
    </w:p>
    <w:p w14:paraId="08569215" w14:textId="77777777" w:rsidR="008A5068" w:rsidRDefault="008A5068" w:rsidP="00F127C0">
      <w:pPr>
        <w:spacing w:line="480" w:lineRule="auto"/>
        <w:rPr>
          <w:lang w:val="en-US"/>
        </w:rPr>
      </w:pPr>
    </w:p>
    <w:p w14:paraId="1D70E695" w14:textId="03B3A422" w:rsidR="00337282" w:rsidRDefault="00337282" w:rsidP="00337282">
      <w:pPr>
        <w:pStyle w:val="Caption"/>
        <w:rPr>
          <w:lang w:val="en-US"/>
        </w:rPr>
      </w:pPr>
      <w:bookmarkStart w:id="96" w:name="_Ref39405933"/>
      <w:r>
        <w:t xml:space="preserve">Table </w:t>
      </w:r>
      <w:r>
        <w:fldChar w:fldCharType="begin"/>
      </w:r>
      <w:r>
        <w:instrText>SEQ Table \* ARABIC</w:instrText>
      </w:r>
      <w:r>
        <w:fldChar w:fldCharType="separate"/>
      </w:r>
      <w:r w:rsidR="0008188F">
        <w:rPr>
          <w:noProof/>
        </w:rPr>
        <w:t>10</w:t>
      </w:r>
      <w:r>
        <w:fldChar w:fldCharType="end"/>
      </w:r>
      <w:bookmarkEnd w:id="96"/>
    </w:p>
    <w:tbl>
      <w:tblPr>
        <w:tblStyle w:val="TableGrid"/>
        <w:tblW w:w="0" w:type="auto"/>
        <w:jc w:val="center"/>
        <w:tblLook w:val="04A0" w:firstRow="1" w:lastRow="0" w:firstColumn="1" w:lastColumn="0" w:noHBand="0" w:noVBand="1"/>
      </w:tblPr>
      <w:tblGrid>
        <w:gridCol w:w="1165"/>
        <w:gridCol w:w="4950"/>
      </w:tblGrid>
      <w:tr w:rsidR="00337282" w14:paraId="4FE75473" w14:textId="77777777" w:rsidTr="006941B3">
        <w:trPr>
          <w:jc w:val="center"/>
        </w:trPr>
        <w:tc>
          <w:tcPr>
            <w:tcW w:w="1165" w:type="dxa"/>
          </w:tcPr>
          <w:p w14:paraId="4C2A7ABF" w14:textId="77777777" w:rsidR="00337282" w:rsidRDefault="00337282" w:rsidP="00935F72">
            <w:pPr>
              <w:spacing w:line="480" w:lineRule="auto"/>
              <w:jc w:val="center"/>
            </w:pPr>
            <w:r>
              <w:rPr>
                <w:rFonts w:cs="Times New Roman"/>
                <w:szCs w:val="24"/>
              </w:rPr>
              <w:t>Sample</w:t>
            </w:r>
          </w:p>
        </w:tc>
        <w:tc>
          <w:tcPr>
            <w:tcW w:w="4950" w:type="dxa"/>
          </w:tcPr>
          <w:p w14:paraId="14B3C709" w14:textId="77777777" w:rsidR="00337282" w:rsidRDefault="00337282" w:rsidP="00935F72">
            <w:pPr>
              <w:spacing w:line="480" w:lineRule="auto"/>
            </w:pPr>
            <w:r>
              <w:rPr>
                <w:rFonts w:cs="Times New Roman"/>
                <w:szCs w:val="24"/>
              </w:rPr>
              <w:t>Composition</w:t>
            </w:r>
          </w:p>
        </w:tc>
      </w:tr>
      <w:tr w:rsidR="00337282" w14:paraId="578E617C" w14:textId="77777777" w:rsidTr="006941B3">
        <w:trPr>
          <w:jc w:val="center"/>
        </w:trPr>
        <w:tc>
          <w:tcPr>
            <w:tcW w:w="1165" w:type="dxa"/>
          </w:tcPr>
          <w:p w14:paraId="789F91BF" w14:textId="77777777" w:rsidR="00337282" w:rsidRDefault="00337282" w:rsidP="00935F72">
            <w:pPr>
              <w:spacing w:line="480" w:lineRule="auto"/>
              <w:jc w:val="center"/>
            </w:pPr>
            <w:r>
              <w:t>1</w:t>
            </w:r>
          </w:p>
        </w:tc>
        <w:tc>
          <w:tcPr>
            <w:tcW w:w="4950" w:type="dxa"/>
          </w:tcPr>
          <w:p w14:paraId="1CA741A7" w14:textId="77777777" w:rsidR="00337282" w:rsidRDefault="00337282" w:rsidP="00935F72">
            <w:pPr>
              <w:spacing w:line="360" w:lineRule="auto"/>
            </w:pPr>
            <w:r w:rsidRPr="0082662B">
              <w:rPr>
                <w:rFonts w:cs="Times New Roman"/>
                <w:szCs w:val="24"/>
              </w:rPr>
              <w:t>Uncoated NanoGard</w:t>
            </w:r>
            <w:r w:rsidRPr="0082662B">
              <w:rPr>
                <w:rFonts w:cs="Times New Roman"/>
                <w:szCs w:val="24"/>
                <w:vertAlign w:val="superscript"/>
              </w:rPr>
              <w:t xml:space="preserve">TM </w:t>
            </w:r>
            <w:r w:rsidRPr="0082662B">
              <w:rPr>
                <w:rFonts w:cs="Times New Roman"/>
                <w:szCs w:val="24"/>
              </w:rPr>
              <w:t>in water</w:t>
            </w:r>
          </w:p>
        </w:tc>
      </w:tr>
      <w:tr w:rsidR="00337282" w:rsidRPr="0017136F" w14:paraId="16AC134F" w14:textId="77777777" w:rsidTr="006941B3">
        <w:trPr>
          <w:jc w:val="center"/>
        </w:trPr>
        <w:tc>
          <w:tcPr>
            <w:tcW w:w="1165" w:type="dxa"/>
          </w:tcPr>
          <w:p w14:paraId="0C3EA645" w14:textId="77777777" w:rsidR="00337282" w:rsidRDefault="00337282" w:rsidP="00935F72">
            <w:pPr>
              <w:spacing w:line="480" w:lineRule="auto"/>
              <w:jc w:val="center"/>
            </w:pPr>
            <w:r>
              <w:t>2</w:t>
            </w:r>
          </w:p>
        </w:tc>
        <w:tc>
          <w:tcPr>
            <w:tcW w:w="4950" w:type="dxa"/>
          </w:tcPr>
          <w:p w14:paraId="5A7D5ED6" w14:textId="77777777" w:rsidR="00337282" w:rsidRPr="0017136F" w:rsidRDefault="00337282" w:rsidP="00935F72">
            <w:pPr>
              <w:spacing w:line="360" w:lineRule="auto"/>
              <w:rPr>
                <w:rFonts w:cs="Times New Roman"/>
                <w:szCs w:val="24"/>
              </w:rPr>
            </w:pPr>
            <w:r w:rsidRPr="0082662B">
              <w:rPr>
                <w:rFonts w:cs="Times New Roman"/>
                <w:szCs w:val="24"/>
              </w:rPr>
              <w:t>Uncoated NanoTek</w:t>
            </w:r>
            <w:r w:rsidRPr="0082662B">
              <w:rPr>
                <w:rFonts w:cs="Times New Roman"/>
                <w:szCs w:val="24"/>
                <w:vertAlign w:val="superscript"/>
              </w:rPr>
              <w:t xml:space="preserve">TM </w:t>
            </w:r>
            <w:r w:rsidRPr="0082662B">
              <w:rPr>
                <w:rFonts w:cs="Times New Roman"/>
                <w:szCs w:val="24"/>
              </w:rPr>
              <w:t>in 70% Ethanol</w:t>
            </w:r>
          </w:p>
        </w:tc>
      </w:tr>
      <w:tr w:rsidR="00337282" w:rsidRPr="0044385A" w14:paraId="7AF0302C" w14:textId="77777777" w:rsidTr="006941B3">
        <w:trPr>
          <w:jc w:val="center"/>
        </w:trPr>
        <w:tc>
          <w:tcPr>
            <w:tcW w:w="1165" w:type="dxa"/>
          </w:tcPr>
          <w:p w14:paraId="626D6FD3" w14:textId="77777777" w:rsidR="00337282" w:rsidRDefault="00337282" w:rsidP="00935F72">
            <w:pPr>
              <w:spacing w:line="480" w:lineRule="auto"/>
              <w:jc w:val="center"/>
            </w:pPr>
            <w:r>
              <w:t>3</w:t>
            </w:r>
          </w:p>
        </w:tc>
        <w:tc>
          <w:tcPr>
            <w:tcW w:w="4950" w:type="dxa"/>
          </w:tcPr>
          <w:p w14:paraId="1B67DF5A" w14:textId="77777777" w:rsidR="00337282" w:rsidRPr="0017136F" w:rsidRDefault="00337282" w:rsidP="00935F72">
            <w:pPr>
              <w:spacing w:line="360" w:lineRule="auto"/>
              <w:rPr>
                <w:rFonts w:cs="Times New Roman"/>
                <w:szCs w:val="24"/>
              </w:rPr>
            </w:pPr>
            <w:r w:rsidRPr="0082662B">
              <w:rPr>
                <w:rFonts w:cs="Times New Roman"/>
                <w:szCs w:val="24"/>
              </w:rPr>
              <w:t>DDAO Coated NanoGard</w:t>
            </w:r>
            <w:r w:rsidRPr="0082662B">
              <w:rPr>
                <w:rFonts w:cs="Times New Roman"/>
                <w:szCs w:val="24"/>
                <w:vertAlign w:val="superscript"/>
              </w:rPr>
              <w:t>TM</w:t>
            </w:r>
            <w:r w:rsidRPr="0082662B">
              <w:rPr>
                <w:rFonts w:cs="Times New Roman"/>
                <w:szCs w:val="24"/>
              </w:rPr>
              <w:t xml:space="preserve"> in 70% Ethanol</w:t>
            </w:r>
          </w:p>
        </w:tc>
      </w:tr>
      <w:tr w:rsidR="00337282" w:rsidRPr="0044385A" w14:paraId="1E35D32B" w14:textId="77777777" w:rsidTr="006941B3">
        <w:trPr>
          <w:jc w:val="center"/>
        </w:trPr>
        <w:tc>
          <w:tcPr>
            <w:tcW w:w="1165" w:type="dxa"/>
          </w:tcPr>
          <w:p w14:paraId="6B74F5D4" w14:textId="77777777" w:rsidR="00337282" w:rsidRDefault="00337282" w:rsidP="00935F72">
            <w:pPr>
              <w:spacing w:line="480" w:lineRule="auto"/>
              <w:jc w:val="center"/>
            </w:pPr>
            <w:r>
              <w:t>4</w:t>
            </w:r>
          </w:p>
        </w:tc>
        <w:tc>
          <w:tcPr>
            <w:tcW w:w="4950" w:type="dxa"/>
          </w:tcPr>
          <w:p w14:paraId="0107AAF3" w14:textId="77777777" w:rsidR="00337282" w:rsidRPr="0017136F" w:rsidRDefault="00337282" w:rsidP="00935F72">
            <w:pPr>
              <w:spacing w:line="360" w:lineRule="auto"/>
              <w:rPr>
                <w:rFonts w:cs="Times New Roman"/>
                <w:szCs w:val="24"/>
              </w:rPr>
            </w:pPr>
            <w:r w:rsidRPr="0082662B">
              <w:rPr>
                <w:rFonts w:cs="Times New Roman"/>
                <w:szCs w:val="24"/>
              </w:rPr>
              <w:t>DDAO Coated NanoTek</w:t>
            </w:r>
            <w:r w:rsidRPr="0082662B">
              <w:rPr>
                <w:rFonts w:cs="Times New Roman"/>
                <w:szCs w:val="24"/>
                <w:vertAlign w:val="superscript"/>
              </w:rPr>
              <w:t>TM</w:t>
            </w:r>
            <w:r w:rsidRPr="0082662B">
              <w:rPr>
                <w:rFonts w:cs="Times New Roman"/>
                <w:szCs w:val="24"/>
              </w:rPr>
              <w:t xml:space="preserve"> in 70% Ethanol</w:t>
            </w:r>
          </w:p>
        </w:tc>
      </w:tr>
      <w:tr w:rsidR="00337282" w:rsidRPr="0044385A" w14:paraId="53C0FC74" w14:textId="77777777" w:rsidTr="006941B3">
        <w:trPr>
          <w:jc w:val="center"/>
        </w:trPr>
        <w:tc>
          <w:tcPr>
            <w:tcW w:w="1165" w:type="dxa"/>
          </w:tcPr>
          <w:p w14:paraId="11F2D684" w14:textId="77777777" w:rsidR="00337282" w:rsidRDefault="00337282" w:rsidP="00935F72">
            <w:pPr>
              <w:spacing w:line="480" w:lineRule="auto"/>
              <w:jc w:val="center"/>
            </w:pPr>
            <w:r>
              <w:t>5</w:t>
            </w:r>
          </w:p>
        </w:tc>
        <w:tc>
          <w:tcPr>
            <w:tcW w:w="4950" w:type="dxa"/>
          </w:tcPr>
          <w:p w14:paraId="2C1C4648" w14:textId="77777777" w:rsidR="00337282" w:rsidRPr="0017136F" w:rsidRDefault="00337282" w:rsidP="00935F72">
            <w:pPr>
              <w:spacing w:line="360" w:lineRule="auto"/>
              <w:rPr>
                <w:rFonts w:cs="Times New Roman"/>
                <w:szCs w:val="24"/>
              </w:rPr>
            </w:pPr>
            <w:r w:rsidRPr="0082662B">
              <w:rPr>
                <w:rFonts w:cs="Times New Roman"/>
                <w:szCs w:val="24"/>
              </w:rPr>
              <w:t>DDAO Coated NanoGard</w:t>
            </w:r>
            <w:r w:rsidRPr="0082662B">
              <w:rPr>
                <w:rFonts w:cs="Times New Roman"/>
                <w:szCs w:val="24"/>
                <w:vertAlign w:val="superscript"/>
              </w:rPr>
              <w:t>TM</w:t>
            </w:r>
            <w:r w:rsidRPr="0082662B">
              <w:rPr>
                <w:rFonts w:cs="Times New Roman"/>
                <w:szCs w:val="24"/>
              </w:rPr>
              <w:t xml:space="preserve"> in water</w:t>
            </w:r>
          </w:p>
        </w:tc>
      </w:tr>
      <w:tr w:rsidR="00337282" w:rsidRPr="0044385A" w14:paraId="23FC2B39" w14:textId="77777777" w:rsidTr="006941B3">
        <w:trPr>
          <w:jc w:val="center"/>
        </w:trPr>
        <w:tc>
          <w:tcPr>
            <w:tcW w:w="1165" w:type="dxa"/>
          </w:tcPr>
          <w:p w14:paraId="2DA1CA7E" w14:textId="77777777" w:rsidR="00337282" w:rsidRDefault="00337282" w:rsidP="00935F72">
            <w:pPr>
              <w:spacing w:line="480" w:lineRule="auto"/>
              <w:jc w:val="center"/>
            </w:pPr>
            <w:r>
              <w:t>6</w:t>
            </w:r>
          </w:p>
        </w:tc>
        <w:tc>
          <w:tcPr>
            <w:tcW w:w="4950" w:type="dxa"/>
          </w:tcPr>
          <w:p w14:paraId="32E20590" w14:textId="77777777" w:rsidR="00337282" w:rsidRPr="0017136F" w:rsidRDefault="00337282" w:rsidP="00935F72">
            <w:pPr>
              <w:spacing w:line="360" w:lineRule="auto"/>
              <w:rPr>
                <w:rFonts w:cs="Times New Roman"/>
                <w:szCs w:val="24"/>
              </w:rPr>
            </w:pPr>
            <w:r w:rsidRPr="0082662B">
              <w:rPr>
                <w:rFonts w:cs="Times New Roman"/>
                <w:szCs w:val="24"/>
              </w:rPr>
              <w:t>DDAO Coated NanoTek</w:t>
            </w:r>
            <w:r w:rsidRPr="0082662B">
              <w:rPr>
                <w:rFonts w:cs="Times New Roman"/>
                <w:szCs w:val="24"/>
                <w:vertAlign w:val="superscript"/>
              </w:rPr>
              <w:t>TM</w:t>
            </w:r>
            <w:r w:rsidRPr="0082662B">
              <w:rPr>
                <w:rFonts w:cs="Times New Roman"/>
                <w:szCs w:val="24"/>
              </w:rPr>
              <w:t xml:space="preserve"> in water</w:t>
            </w:r>
          </w:p>
        </w:tc>
      </w:tr>
      <w:tr w:rsidR="00337282" w:rsidRPr="00337282" w14:paraId="5943F9D2" w14:textId="77777777" w:rsidTr="006941B3">
        <w:trPr>
          <w:jc w:val="center"/>
        </w:trPr>
        <w:tc>
          <w:tcPr>
            <w:tcW w:w="1165" w:type="dxa"/>
          </w:tcPr>
          <w:p w14:paraId="191A4199" w14:textId="1FD3C2C9" w:rsidR="00337282" w:rsidRDefault="00337282" w:rsidP="00935F72">
            <w:pPr>
              <w:spacing w:line="480" w:lineRule="auto"/>
              <w:jc w:val="center"/>
            </w:pPr>
            <w:r>
              <w:t>7</w:t>
            </w:r>
          </w:p>
        </w:tc>
        <w:tc>
          <w:tcPr>
            <w:tcW w:w="4950" w:type="dxa"/>
          </w:tcPr>
          <w:p w14:paraId="1F5349D4" w14:textId="676322DC" w:rsidR="00337282" w:rsidRPr="0082662B" w:rsidRDefault="00337282" w:rsidP="00935F72">
            <w:pPr>
              <w:spacing w:line="360" w:lineRule="auto"/>
              <w:rPr>
                <w:rFonts w:cs="Times New Roman"/>
                <w:szCs w:val="24"/>
              </w:rPr>
            </w:pPr>
            <w:r>
              <w:rPr>
                <w:rFonts w:cs="Times New Roman"/>
                <w:szCs w:val="24"/>
              </w:rPr>
              <w:t>DDAO only</w:t>
            </w:r>
          </w:p>
        </w:tc>
      </w:tr>
    </w:tbl>
    <w:p w14:paraId="00DA2783" w14:textId="75FEE6B8" w:rsidR="00337282" w:rsidRDefault="00337282" w:rsidP="008C2360">
      <w:pPr>
        <w:spacing w:after="0" w:line="480" w:lineRule="auto"/>
        <w:rPr>
          <w:lang w:val="en-US"/>
        </w:rPr>
      </w:pPr>
    </w:p>
    <w:p w14:paraId="2F5FDD92" w14:textId="548F84B8" w:rsidR="00A10755" w:rsidRDefault="00A10755" w:rsidP="00273D80">
      <w:pPr>
        <w:spacing w:after="0" w:line="480" w:lineRule="auto"/>
        <w:jc w:val="both"/>
        <w:rPr>
          <w:lang w:val="en-US"/>
        </w:rPr>
      </w:pPr>
      <w:r>
        <w:rPr>
          <w:lang w:val="en-US"/>
        </w:rPr>
        <w:tab/>
        <w:t>Each of the groups had 12 serial dilutions</w:t>
      </w:r>
      <w:r w:rsidR="004E129B">
        <w:rPr>
          <w:lang w:val="en-US"/>
        </w:rPr>
        <w:t xml:space="preserve"> per plate</w:t>
      </w:r>
      <w:r>
        <w:rPr>
          <w:lang w:val="en-US"/>
        </w:rPr>
        <w:t xml:space="preserve"> pictured in </w:t>
      </w:r>
      <w:r w:rsidR="003044BE">
        <w:rPr>
          <w:lang w:val="en-US"/>
        </w:rPr>
        <w:fldChar w:fldCharType="begin"/>
      </w:r>
      <w:r w:rsidR="003044BE">
        <w:rPr>
          <w:lang w:val="en-US"/>
        </w:rPr>
        <w:instrText xml:space="preserve"> REF _Ref45573377 \h </w:instrText>
      </w:r>
      <w:r w:rsidR="00273D80">
        <w:rPr>
          <w:lang w:val="en-US"/>
        </w:rPr>
        <w:instrText xml:space="preserve"> \* MERGEFORMAT </w:instrText>
      </w:r>
      <w:r w:rsidR="003044BE">
        <w:rPr>
          <w:lang w:val="en-US"/>
        </w:rPr>
      </w:r>
      <w:r w:rsidR="003044BE">
        <w:rPr>
          <w:lang w:val="en-US"/>
        </w:rPr>
        <w:fldChar w:fldCharType="separate"/>
      </w:r>
      <w:r w:rsidR="0008188F" w:rsidRPr="00672438">
        <w:rPr>
          <w:lang w:val="en-US"/>
        </w:rPr>
        <w:t xml:space="preserve">Figure </w:t>
      </w:r>
      <w:r w:rsidR="0008188F">
        <w:rPr>
          <w:noProof/>
          <w:lang w:val="en-US"/>
        </w:rPr>
        <w:t>20</w:t>
      </w:r>
      <w:r w:rsidR="003044BE">
        <w:rPr>
          <w:lang w:val="en-US"/>
        </w:rPr>
        <w:fldChar w:fldCharType="end"/>
      </w:r>
      <w:r>
        <w:rPr>
          <w:lang w:val="en-US"/>
        </w:rPr>
        <w:t xml:space="preserve">. </w:t>
      </w:r>
      <w:r w:rsidR="000A2778">
        <w:rPr>
          <w:lang w:val="en-US"/>
        </w:rPr>
        <w:t>Originally, the samples were only diluted in 15 M NaOH or 1 M HCl, but samples 1 and 5 completely dissolved in the solutions and it was determined these solutions were too harsh on the Nano</w:t>
      </w:r>
      <w:r w:rsidR="00CE1E75">
        <w:rPr>
          <w:lang w:val="en-US"/>
        </w:rPr>
        <w:t>G</w:t>
      </w:r>
      <w:r w:rsidR="000A2778">
        <w:rPr>
          <w:lang w:val="en-US"/>
        </w:rPr>
        <w:t>ard</w:t>
      </w:r>
      <w:r w:rsidR="00CE1E75" w:rsidRPr="00CE1E75">
        <w:rPr>
          <w:rFonts w:cs="Times New Roman"/>
          <w:szCs w:val="24"/>
          <w:vertAlign w:val="superscript"/>
          <w:lang w:val="en-US"/>
        </w:rPr>
        <w:t>TM</w:t>
      </w:r>
      <w:r w:rsidR="000A2778">
        <w:rPr>
          <w:lang w:val="en-US"/>
        </w:rPr>
        <w:t xml:space="preserve"> and </w:t>
      </w:r>
      <w:r w:rsidR="00CE1E75">
        <w:rPr>
          <w:lang w:val="en-US"/>
        </w:rPr>
        <w:t>a new diluent would be needed. Sodium chloride was used for NanoGard</w:t>
      </w:r>
      <w:r w:rsidR="00CE1E75" w:rsidRPr="00CE1E75">
        <w:rPr>
          <w:rFonts w:cs="Times New Roman"/>
          <w:szCs w:val="24"/>
          <w:vertAlign w:val="superscript"/>
          <w:lang w:val="en-US"/>
        </w:rPr>
        <w:t>TM</w:t>
      </w:r>
      <w:r w:rsidR="00CE1E75">
        <w:rPr>
          <w:lang w:val="en-US"/>
        </w:rPr>
        <w:t xml:space="preserve">, and the nanoparticles did not completely dissolve, but were effectively deagglomerated for the MBC. The samples needed </w:t>
      </w:r>
      <w:r w:rsidR="00AA007C">
        <w:rPr>
          <w:lang w:val="en-US"/>
        </w:rPr>
        <w:t xml:space="preserve">to </w:t>
      </w:r>
      <w:r w:rsidR="00CE1E75">
        <w:rPr>
          <w:lang w:val="en-US"/>
        </w:rPr>
        <w:t xml:space="preserve">disperse into the diluent to make </w:t>
      </w:r>
      <w:r w:rsidR="000A3C45">
        <w:rPr>
          <w:lang w:val="en-US"/>
        </w:rPr>
        <w:t>white milky solutions</w:t>
      </w:r>
      <w:r w:rsidR="00CE1E75">
        <w:rPr>
          <w:lang w:val="en-US"/>
        </w:rPr>
        <w:t>.</w:t>
      </w:r>
      <w:r w:rsidR="000A2778">
        <w:rPr>
          <w:lang w:val="en-US"/>
        </w:rPr>
        <w:t xml:space="preserve"> </w:t>
      </w:r>
    </w:p>
    <w:p w14:paraId="6F951EE8" w14:textId="7202B7D5" w:rsidR="00083C9F" w:rsidRPr="00A10755" w:rsidRDefault="00083C9F" w:rsidP="00083C9F">
      <w:pPr>
        <w:pStyle w:val="Caption"/>
        <w:rPr>
          <w:lang w:val="en-US"/>
        </w:rPr>
      </w:pPr>
      <w:bookmarkStart w:id="97" w:name="_Ref45569574"/>
      <w:bookmarkStart w:id="98" w:name="_Ref39922141"/>
      <w:r>
        <w:rPr>
          <w:noProof/>
          <w:lang w:val="en-US"/>
        </w:rPr>
        <w:drawing>
          <wp:anchor distT="0" distB="0" distL="114300" distR="114300" simplePos="0" relativeHeight="251664384" behindDoc="0" locked="0" layoutInCell="1" allowOverlap="1" wp14:anchorId="705D33EE" wp14:editId="043DEF54">
            <wp:simplePos x="0" y="0"/>
            <wp:positionH relativeFrom="margin">
              <wp:align>center</wp:align>
            </wp:positionH>
            <wp:positionV relativeFrom="paragraph">
              <wp:posOffset>183440</wp:posOffset>
            </wp:positionV>
            <wp:extent cx="5905500" cy="294068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5500" cy="2940685"/>
                    </a:xfrm>
                    <a:prstGeom prst="rect">
                      <a:avLst/>
                    </a:prstGeom>
                    <a:noFill/>
                  </pic:spPr>
                </pic:pic>
              </a:graphicData>
            </a:graphic>
            <wp14:sizeRelH relativeFrom="page">
              <wp14:pctWidth>0</wp14:pctWidth>
            </wp14:sizeRelH>
            <wp14:sizeRelV relativeFrom="page">
              <wp14:pctHeight>0</wp14:pctHeight>
            </wp14:sizeRelV>
          </wp:anchor>
        </w:drawing>
      </w:r>
      <w:r w:rsidR="00FB36A3">
        <w:rPr>
          <w:lang w:val="en-US"/>
        </w:rPr>
        <w:tab/>
      </w:r>
      <w:bookmarkEnd w:id="97"/>
      <w:bookmarkEnd w:id="98"/>
    </w:p>
    <w:p w14:paraId="62B482EB" w14:textId="458FB004" w:rsidR="007C39B4" w:rsidRDefault="007C39B4" w:rsidP="007C39B4">
      <w:pPr>
        <w:pStyle w:val="Caption"/>
        <w:rPr>
          <w:rFonts w:cs="Times New Roman"/>
          <w:szCs w:val="24"/>
          <w:lang w:val="en-US"/>
        </w:rPr>
      </w:pPr>
      <w:bookmarkStart w:id="99" w:name="_Ref45573377"/>
      <w:bookmarkStart w:id="100" w:name="_Toc45837591"/>
      <w:r w:rsidRPr="00672438">
        <w:rPr>
          <w:lang w:val="en-US"/>
        </w:rPr>
        <w:t xml:space="preserve">Figure </w:t>
      </w:r>
      <w:r w:rsidR="009E1851">
        <w:fldChar w:fldCharType="begin"/>
      </w:r>
      <w:r w:rsidR="009E1851" w:rsidRPr="00672438">
        <w:rPr>
          <w:lang w:val="en-US"/>
        </w:rPr>
        <w:instrText xml:space="preserve"> SEQ Figure \* ARABIC </w:instrText>
      </w:r>
      <w:r w:rsidR="009E1851">
        <w:fldChar w:fldCharType="separate"/>
      </w:r>
      <w:r w:rsidR="0008188F">
        <w:rPr>
          <w:noProof/>
          <w:lang w:val="en-US"/>
        </w:rPr>
        <w:t>20</w:t>
      </w:r>
      <w:r w:rsidR="009E1851">
        <w:rPr>
          <w:noProof/>
        </w:rPr>
        <w:fldChar w:fldCharType="end"/>
      </w:r>
      <w:bookmarkEnd w:id="99"/>
      <w:r w:rsidRPr="00672438">
        <w:rPr>
          <w:lang w:val="en-US"/>
        </w:rPr>
        <w:t xml:space="preserve"> </w:t>
      </w:r>
      <w:r w:rsidR="003044BE" w:rsidRPr="00672438">
        <w:rPr>
          <w:lang w:val="en-US"/>
        </w:rPr>
        <w:t>–</w:t>
      </w:r>
      <w:r w:rsidRPr="00672438">
        <w:rPr>
          <w:lang w:val="en-US"/>
        </w:rPr>
        <w:t xml:space="preserve"> MBC</w:t>
      </w:r>
      <w:r w:rsidR="003044BE" w:rsidRPr="00672438">
        <w:rPr>
          <w:lang w:val="en-US"/>
        </w:rPr>
        <w:t xml:space="preserve"> plates</w:t>
      </w:r>
      <w:bookmarkEnd w:id="100"/>
    </w:p>
    <w:p w14:paraId="46CFA3D1" w14:textId="3FC03BEF" w:rsidR="00083C9F" w:rsidRPr="00A10755" w:rsidRDefault="00083C9F" w:rsidP="00083C9F">
      <w:pPr>
        <w:rPr>
          <w:lang w:val="en-US"/>
        </w:rPr>
      </w:pPr>
      <w:r w:rsidRPr="005976DF">
        <w:rPr>
          <w:rFonts w:cs="Times New Roman"/>
          <w:szCs w:val="24"/>
          <w:lang w:val="en-US"/>
        </w:rPr>
        <w:t xml:space="preserve">Images of the </w:t>
      </w:r>
      <w:r>
        <w:rPr>
          <w:rFonts w:cs="Times New Roman"/>
          <w:szCs w:val="24"/>
          <w:lang w:val="en-US"/>
        </w:rPr>
        <w:t>MBC for all groups</w:t>
      </w:r>
      <w:r w:rsidRPr="005976DF">
        <w:rPr>
          <w:rFonts w:cs="Times New Roman"/>
          <w:szCs w:val="24"/>
          <w:lang w:val="en-US"/>
        </w:rPr>
        <w:t xml:space="preserve">. Numbers in upper </w:t>
      </w:r>
      <w:r>
        <w:rPr>
          <w:rFonts w:cs="Times New Roman"/>
          <w:szCs w:val="24"/>
          <w:lang w:val="en-US"/>
        </w:rPr>
        <w:t>left</w:t>
      </w:r>
      <w:r w:rsidRPr="005976DF">
        <w:rPr>
          <w:rFonts w:cs="Times New Roman"/>
          <w:szCs w:val="24"/>
          <w:lang w:val="en-US"/>
        </w:rPr>
        <w:t xml:space="preserve"> corner correspond to the sample numbers shown in</w:t>
      </w:r>
      <w:r>
        <w:rPr>
          <w:rFonts w:cs="Times New Roman"/>
          <w:szCs w:val="24"/>
          <w:lang w:val="en-US"/>
        </w:rPr>
        <w:t xml:space="preserve"> </w:t>
      </w:r>
      <w:r>
        <w:rPr>
          <w:rFonts w:cs="Times New Roman"/>
          <w:szCs w:val="24"/>
          <w:lang w:val="en-US"/>
        </w:rPr>
        <w:fldChar w:fldCharType="begin"/>
      </w:r>
      <w:r>
        <w:rPr>
          <w:rFonts w:cs="Times New Roman"/>
          <w:szCs w:val="24"/>
          <w:lang w:val="en-US"/>
        </w:rPr>
        <w:instrText xml:space="preserve"> REF _Ref39405933 \h </w:instrText>
      </w:r>
      <w:r>
        <w:rPr>
          <w:rFonts w:cs="Times New Roman"/>
          <w:szCs w:val="24"/>
          <w:lang w:val="en-US"/>
        </w:rPr>
      </w:r>
      <w:r>
        <w:rPr>
          <w:rFonts w:cs="Times New Roman"/>
          <w:szCs w:val="24"/>
          <w:lang w:val="en-US"/>
        </w:rPr>
        <w:fldChar w:fldCharType="separate"/>
      </w:r>
      <w:r w:rsidR="0008188F">
        <w:t xml:space="preserve">Table </w:t>
      </w:r>
      <w:r w:rsidR="0008188F">
        <w:rPr>
          <w:noProof/>
        </w:rPr>
        <w:t>10</w:t>
      </w:r>
      <w:r>
        <w:rPr>
          <w:rFonts w:cs="Times New Roman"/>
          <w:szCs w:val="24"/>
          <w:lang w:val="en-US"/>
        </w:rPr>
        <w:fldChar w:fldCharType="end"/>
      </w:r>
      <w:r>
        <w:rPr>
          <w:rFonts w:cs="Times New Roman"/>
          <w:szCs w:val="24"/>
          <w:lang w:val="en-US"/>
        </w:rPr>
        <w:t>.</w:t>
      </w:r>
    </w:p>
    <w:p w14:paraId="6A593AC9" w14:textId="6F8DFF76" w:rsidR="00FB36A3" w:rsidRDefault="00FB36A3" w:rsidP="00273D80">
      <w:pPr>
        <w:spacing w:line="480" w:lineRule="auto"/>
        <w:ind w:firstLine="708"/>
        <w:jc w:val="both"/>
        <w:rPr>
          <w:lang w:val="en-US"/>
        </w:rPr>
      </w:pPr>
      <w:r>
        <w:rPr>
          <w:lang w:val="en-US"/>
        </w:rPr>
        <w:t xml:space="preserve">None of the plates with nanoparticles showed antibacterial properties for any of the solutions against the </w:t>
      </w:r>
      <w:r w:rsidRPr="00903D53">
        <w:rPr>
          <w:i/>
          <w:iCs/>
          <w:lang w:val="en-US"/>
        </w:rPr>
        <w:t xml:space="preserve">S. </w:t>
      </w:r>
      <w:r w:rsidR="00C1256A" w:rsidRPr="00903D53">
        <w:rPr>
          <w:i/>
          <w:iCs/>
          <w:lang w:val="en-US"/>
        </w:rPr>
        <w:t>m</w:t>
      </w:r>
      <w:r w:rsidRPr="00903D53">
        <w:rPr>
          <w:i/>
          <w:iCs/>
          <w:lang w:val="en-US"/>
        </w:rPr>
        <w:t>utans</w:t>
      </w:r>
      <w:r>
        <w:rPr>
          <w:lang w:val="en-US"/>
        </w:rPr>
        <w:t>, plates 1-6. The surfactant on its own, however, did show inhibition of bacterial growth at all dilutions on plate 7. Unfortunately, this shows that these</w:t>
      </w:r>
      <w:r w:rsidR="008C2360">
        <w:rPr>
          <w:lang w:val="en-US"/>
        </w:rPr>
        <w:t xml:space="preserve"> zinc oxide</w:t>
      </w:r>
      <w:r>
        <w:rPr>
          <w:lang w:val="en-US"/>
        </w:rPr>
        <w:t xml:space="preserve"> nanoparticles do not possess a bacterial resistance to </w:t>
      </w:r>
      <w:r w:rsidRPr="00903D53">
        <w:rPr>
          <w:i/>
          <w:iCs/>
          <w:lang w:val="en-US"/>
        </w:rPr>
        <w:t>S. mutans</w:t>
      </w:r>
      <w:r>
        <w:rPr>
          <w:lang w:val="en-US"/>
        </w:rPr>
        <w:t>. It is possible that with some modifications to the synthesis of the nanoparticles that they could show antibacterial properties.</w:t>
      </w:r>
      <w:r w:rsidR="00083C9F">
        <w:rPr>
          <w:lang w:val="en-US"/>
        </w:rPr>
        <w:t xml:space="preserve"> </w:t>
      </w:r>
    </w:p>
    <w:p w14:paraId="1ED52E41" w14:textId="12A35048" w:rsidR="00A10755" w:rsidRDefault="00A10755" w:rsidP="00F127C0">
      <w:pPr>
        <w:spacing w:line="480" w:lineRule="auto"/>
        <w:rPr>
          <w:lang w:val="en-US"/>
        </w:rPr>
      </w:pPr>
    </w:p>
    <w:p w14:paraId="6CF34794" w14:textId="41A553A2" w:rsidR="009F6254" w:rsidRDefault="009F6254" w:rsidP="004C6611">
      <w:pPr>
        <w:jc w:val="both"/>
        <w:rPr>
          <w:lang w:val="en-US"/>
        </w:rPr>
      </w:pPr>
    </w:p>
    <w:p w14:paraId="1CEA0F8A" w14:textId="77777777" w:rsidR="00821604" w:rsidRPr="0058523E" w:rsidRDefault="00821604" w:rsidP="004C6611">
      <w:pPr>
        <w:jc w:val="both"/>
        <w:rPr>
          <w:lang w:val="en-US"/>
        </w:rPr>
      </w:pPr>
    </w:p>
    <w:p w14:paraId="1AEA7800" w14:textId="77777777" w:rsidR="003F775C" w:rsidRDefault="003F775C" w:rsidP="003F775C">
      <w:pPr>
        <w:rPr>
          <w:lang w:val="en-US"/>
        </w:rPr>
      </w:pPr>
    </w:p>
    <w:p w14:paraId="24DD8E3E" w14:textId="616FCAB5" w:rsidR="00985C74" w:rsidRDefault="00A10755" w:rsidP="00083C9F">
      <w:pPr>
        <w:pStyle w:val="Heading1"/>
        <w:spacing w:after="240"/>
        <w:rPr>
          <w:lang w:val="en-US"/>
        </w:rPr>
      </w:pPr>
      <w:r>
        <w:rPr>
          <w:lang w:val="en-US"/>
        </w:rPr>
        <w:br w:type="column"/>
      </w:r>
      <w:bookmarkStart w:id="101" w:name="_Toc45837565"/>
      <w:r w:rsidR="00985C74">
        <w:rPr>
          <w:lang w:val="en-US"/>
        </w:rPr>
        <w:t>Chapter 4</w:t>
      </w:r>
      <w:r w:rsidR="00004721">
        <w:rPr>
          <w:lang w:val="en-US"/>
        </w:rPr>
        <w:t xml:space="preserve"> – </w:t>
      </w:r>
      <w:r w:rsidR="00985C74">
        <w:rPr>
          <w:lang w:val="en-US"/>
        </w:rPr>
        <w:t>Conclusion</w:t>
      </w:r>
      <w:bookmarkEnd w:id="101"/>
    </w:p>
    <w:p w14:paraId="27753D29" w14:textId="7163A460" w:rsidR="00083C9F" w:rsidRPr="003044BE" w:rsidRDefault="009D6174" w:rsidP="003044BE">
      <w:pPr>
        <w:spacing w:after="240" w:line="480" w:lineRule="auto"/>
        <w:ind w:firstLine="708"/>
        <w:jc w:val="both"/>
        <w:rPr>
          <w:rFonts w:cs="Times New Roman"/>
          <w:i/>
          <w:szCs w:val="24"/>
          <w:lang w:val="en-US"/>
        </w:rPr>
      </w:pPr>
      <w:r w:rsidRPr="009D6174">
        <w:rPr>
          <w:rFonts w:cs="Times New Roman"/>
          <w:szCs w:val="24"/>
          <w:lang w:val="en-US"/>
        </w:rPr>
        <w:t>In summary, the modified-DPM is a good technique for determining contact angles on lyophilic surfaces of nanoparticles when solvents are expected to display contact angle values varying between 20</w:t>
      </w:r>
      <w:r w:rsidRPr="009D6174">
        <w:rPr>
          <w:rFonts w:cs="Times New Roman"/>
          <w:szCs w:val="24"/>
          <w:vertAlign w:val="superscript"/>
          <w:lang w:val="en-US"/>
        </w:rPr>
        <w:t>o</w:t>
      </w:r>
      <w:r w:rsidRPr="009D6174">
        <w:rPr>
          <w:rFonts w:cs="Times New Roman"/>
          <w:szCs w:val="24"/>
          <w:lang w:val="en-US"/>
        </w:rPr>
        <w:t xml:space="preserve"> and 80</w:t>
      </w:r>
      <w:r w:rsidRPr="009D6174">
        <w:rPr>
          <w:rFonts w:cs="Times New Roman"/>
          <w:szCs w:val="24"/>
          <w:vertAlign w:val="superscript"/>
          <w:lang w:val="en-US"/>
        </w:rPr>
        <w:t>o</w:t>
      </w:r>
      <w:r w:rsidRPr="009D6174">
        <w:rPr>
          <w:rFonts w:cs="Times New Roman"/>
          <w:szCs w:val="24"/>
          <w:lang w:val="en-US"/>
        </w:rPr>
        <w:t xml:space="preserve">. This method can be easily learned and uses inexpensive equipment that are typically found in surface chemistry laboratories; however, if accurate measurements using a variety of solvents are made necessary, a different technique may be necessary. </w:t>
      </w:r>
      <w:bookmarkStart w:id="102" w:name="_Hlk40271858"/>
      <w:r w:rsidRPr="009D6174">
        <w:rPr>
          <w:rFonts w:cs="Times New Roman"/>
          <w:szCs w:val="24"/>
          <w:lang w:val="en-US"/>
        </w:rPr>
        <w:t>This method is valuable due to the ability to measure the contact angle of nanoparticles with various solvents. This method can then be applied and used in the vOGC method to determine surface free energy of the nanoparticle granted the solvents meet criteria</w:t>
      </w:r>
      <w:bookmarkEnd w:id="102"/>
      <w:r w:rsidRPr="009D6174">
        <w:rPr>
          <w:rFonts w:cs="Times New Roman"/>
          <w:szCs w:val="24"/>
          <w:lang w:val="en-US"/>
        </w:rPr>
        <w:t xml:space="preserve">. The greatest impediment to use of the modified-DPM is identification of solvents that fit the criteria required for the adequate use of the modified-DPM. It is difficult to predict which solvents will fit the criteria before testing the solvent on the test surface. The most promising way to determine reference and test solvent compatibility is by using the parameter defined by </w:t>
      </w:r>
      <w:r w:rsidR="00FE5369">
        <w:rPr>
          <w:rFonts w:cs="Times New Roman"/>
          <w:szCs w:val="24"/>
          <w:lang w:val="en-US"/>
        </w:rPr>
        <w:fldChar w:fldCharType="begin"/>
      </w:r>
      <w:r w:rsidR="00FE5369">
        <w:rPr>
          <w:rFonts w:cs="Times New Roman"/>
          <w:szCs w:val="24"/>
          <w:lang w:val="en-US"/>
        </w:rPr>
        <w:instrText xml:space="preserve"> REF _Ref42539041 \h </w:instrText>
      </w:r>
      <w:r w:rsidR="00FE5369">
        <w:rPr>
          <w:rFonts w:cs="Times New Roman"/>
          <w:szCs w:val="24"/>
          <w:lang w:val="en-US"/>
        </w:rPr>
      </w:r>
      <w:r w:rsidR="00FE5369">
        <w:rPr>
          <w:rFonts w:cs="Times New Roman"/>
          <w:szCs w:val="24"/>
          <w:lang w:val="en-US"/>
        </w:rPr>
        <w:fldChar w:fldCharType="separate"/>
      </w:r>
      <w:r w:rsidR="0008188F" w:rsidRPr="00FE5369">
        <w:rPr>
          <w:lang w:val="en-US"/>
        </w:rPr>
        <w:t xml:space="preserve">Equation </w:t>
      </w:r>
      <w:r w:rsidR="0008188F">
        <w:rPr>
          <w:noProof/>
          <w:lang w:val="en-US"/>
        </w:rPr>
        <w:t>5</w:t>
      </w:r>
      <w:r w:rsidR="00FE5369">
        <w:rPr>
          <w:rFonts w:cs="Times New Roman"/>
          <w:szCs w:val="24"/>
          <w:lang w:val="en-US"/>
        </w:rPr>
        <w:fldChar w:fldCharType="end"/>
      </w:r>
      <w:r w:rsidR="00FE5369">
        <w:rPr>
          <w:rFonts w:cs="Times New Roman"/>
          <w:szCs w:val="24"/>
          <w:lang w:val="en-US"/>
        </w:rPr>
        <w:t>.</w:t>
      </w:r>
      <w:r w:rsidR="003044BE">
        <w:rPr>
          <w:rFonts w:cs="Times New Roman"/>
          <w:i/>
          <w:szCs w:val="24"/>
          <w:lang w:val="en-US"/>
        </w:rPr>
        <w:t xml:space="preserve"> </w:t>
      </w:r>
      <w:r w:rsidRPr="009D6174">
        <w:rPr>
          <w:rFonts w:cs="Times New Roman"/>
          <w:iCs/>
          <w:szCs w:val="24"/>
          <w:lang w:val="en-US"/>
        </w:rPr>
        <w:t xml:space="preserve">If the value from </w:t>
      </w:r>
      <w:r w:rsidR="00FE5369">
        <w:rPr>
          <w:rFonts w:cs="Times New Roman"/>
          <w:iCs/>
          <w:szCs w:val="24"/>
          <w:lang w:val="en-US"/>
        </w:rPr>
        <w:fldChar w:fldCharType="begin"/>
      </w:r>
      <w:r w:rsidR="00FE5369">
        <w:rPr>
          <w:rFonts w:cs="Times New Roman"/>
          <w:iCs/>
          <w:szCs w:val="24"/>
          <w:lang w:val="en-US"/>
        </w:rPr>
        <w:instrText xml:space="preserve"> REF _Ref42539041 \h </w:instrText>
      </w:r>
      <w:r w:rsidR="00FE5369">
        <w:rPr>
          <w:rFonts w:cs="Times New Roman"/>
          <w:iCs/>
          <w:szCs w:val="24"/>
          <w:lang w:val="en-US"/>
        </w:rPr>
      </w:r>
      <w:r w:rsidR="00FE5369">
        <w:rPr>
          <w:rFonts w:cs="Times New Roman"/>
          <w:iCs/>
          <w:szCs w:val="24"/>
          <w:lang w:val="en-US"/>
        </w:rPr>
        <w:fldChar w:fldCharType="separate"/>
      </w:r>
      <w:r w:rsidR="0008188F" w:rsidRPr="00FE5369">
        <w:rPr>
          <w:lang w:val="en-US"/>
        </w:rPr>
        <w:t xml:space="preserve">Equation </w:t>
      </w:r>
      <w:r w:rsidR="0008188F">
        <w:rPr>
          <w:noProof/>
          <w:lang w:val="en-US"/>
        </w:rPr>
        <w:t>5</w:t>
      </w:r>
      <w:r w:rsidR="00FE5369">
        <w:rPr>
          <w:rFonts w:cs="Times New Roman"/>
          <w:iCs/>
          <w:szCs w:val="24"/>
          <w:lang w:val="en-US"/>
        </w:rPr>
        <w:fldChar w:fldCharType="end"/>
      </w:r>
      <w:r w:rsidR="00133877">
        <w:rPr>
          <w:rFonts w:cs="Times New Roman"/>
          <w:iCs/>
          <w:szCs w:val="24"/>
          <w:lang w:val="en-US"/>
        </w:rPr>
        <w:t xml:space="preserve"> </w:t>
      </w:r>
      <w:r w:rsidRPr="009D6174">
        <w:rPr>
          <w:rFonts w:cs="Times New Roman"/>
          <w:iCs/>
          <w:szCs w:val="24"/>
          <w:lang w:val="en-US"/>
        </w:rPr>
        <w:t>is ≤ 1, it is very likely that the reference and test solvents are compatible and will give a quantitative contact angle measurement when using the DPM.</w:t>
      </w:r>
    </w:p>
    <w:p w14:paraId="5D2C11F5" w14:textId="766B4D8F" w:rsidR="00083C9F" w:rsidRPr="00E370E7" w:rsidRDefault="00083C9F" w:rsidP="00083C9F">
      <w:pPr>
        <w:spacing w:after="240" w:line="480" w:lineRule="auto"/>
        <w:ind w:firstLine="708"/>
        <w:jc w:val="both"/>
        <w:rPr>
          <w:rFonts w:cs="Times New Roman"/>
          <w:szCs w:val="24"/>
          <w:lang w:val="en-US"/>
        </w:rPr>
      </w:pPr>
      <w:r>
        <w:rPr>
          <w:rFonts w:cs="Times New Roman"/>
          <w:szCs w:val="24"/>
          <w:lang w:val="en-US"/>
        </w:rPr>
        <w:t>NanoTek</w:t>
      </w:r>
      <w:r w:rsidRPr="00083C9F">
        <w:rPr>
          <w:rFonts w:cs="Times New Roman"/>
          <w:szCs w:val="24"/>
          <w:vertAlign w:val="superscript"/>
          <w:lang w:val="en-US"/>
        </w:rPr>
        <w:t>TM</w:t>
      </w:r>
      <w:r>
        <w:rPr>
          <w:rFonts w:cs="Times New Roman"/>
          <w:szCs w:val="24"/>
          <w:lang w:val="en-US"/>
        </w:rPr>
        <w:t xml:space="preserve"> and NanoGard</w:t>
      </w:r>
      <w:r w:rsidRPr="00083C9F">
        <w:rPr>
          <w:rFonts w:cs="Times New Roman"/>
          <w:szCs w:val="24"/>
          <w:vertAlign w:val="superscript"/>
          <w:lang w:val="en-US"/>
        </w:rPr>
        <w:t>TM</w:t>
      </w:r>
      <w:r>
        <w:rPr>
          <w:rFonts w:cs="Times New Roman"/>
          <w:szCs w:val="24"/>
          <w:lang w:val="en-US"/>
        </w:rPr>
        <w:t xml:space="preserve"> do not appear to possess antibacterial properties against S. mutans.</w:t>
      </w:r>
      <w:r w:rsidR="00402349">
        <w:rPr>
          <w:rFonts w:cs="Times New Roman"/>
          <w:szCs w:val="24"/>
          <w:lang w:val="en-US"/>
        </w:rPr>
        <w:t xml:space="preserve"> In contrast, </w:t>
      </w:r>
      <w:r w:rsidR="00836E00">
        <w:rPr>
          <w:rFonts w:cs="Times New Roman"/>
          <w:szCs w:val="24"/>
          <w:lang w:val="en-US"/>
        </w:rPr>
        <w:t xml:space="preserve">some studies have </w:t>
      </w:r>
      <w:r w:rsidR="00402349">
        <w:rPr>
          <w:rFonts w:cs="Times New Roman"/>
          <w:szCs w:val="24"/>
          <w:lang w:val="en-US"/>
        </w:rPr>
        <w:t>found that zinc oxide does possess antimicrobial properties</w:t>
      </w:r>
      <w:r w:rsidR="005E0301">
        <w:rPr>
          <w:rFonts w:cs="Times New Roman"/>
          <w:szCs w:val="24"/>
          <w:lang w:val="en-US"/>
        </w:rPr>
        <w:t xml:space="preserve"> against </w:t>
      </w:r>
      <w:r w:rsidR="005E0301" w:rsidRPr="00903D53">
        <w:rPr>
          <w:rFonts w:cs="Times New Roman"/>
          <w:i/>
          <w:iCs/>
          <w:szCs w:val="24"/>
          <w:lang w:val="en-US"/>
        </w:rPr>
        <w:t>S. mutans</w:t>
      </w:r>
      <w:r w:rsidR="005E0301">
        <w:rPr>
          <w:rFonts w:cs="Times New Roman"/>
          <w:szCs w:val="24"/>
          <w:lang w:val="en-US"/>
        </w:rPr>
        <w:t xml:space="preserve"> and other bacteria</w:t>
      </w:r>
      <w:r w:rsidR="00EF4342">
        <w:rPr>
          <w:rFonts w:cs="Times New Roman"/>
          <w:szCs w:val="24"/>
          <w:lang w:val="en-US"/>
        </w:rPr>
        <w:fldChar w:fldCharType="begin" w:fldLock="1"/>
      </w:r>
      <w:r w:rsidR="004871C8">
        <w:rPr>
          <w:rFonts w:cs="Times New Roman"/>
          <w:szCs w:val="24"/>
          <w:lang w:val="en-US"/>
        </w:rPr>
        <w:instrText>ADDIN CSL_CITATION {"citationItems":[{"id":"ITEM-1","itemData":{"DOI":"https://doi.org/10.1016/j.nano.2008.04.005","ISSN":"1549-9634","abstract":"Dental caries is a worldwide public health problem for which Streptococcus mutans has been identified as the possible infectious etiology. In recent years nanotechnology has permitted the development of new properties of materials. The objective of this study was to compare the bactericidal and bacteriostatic effects of nanoparticles of silver, zinc oxide, and gold on S. mutans. We used the liquid dilution method to find the minimum inhibitory concentrations (MICs) and with subcultures obtained the minimum bactericidal concentrations (MBCs). For silver the results showed an average MIC of 4.86 ± 2.71 μg/mL and MBC of 6.25 μg/mL; for zinc the MIC was 500 ± 306.18 μg/mL and MBC of 500 μg/mL; the gold nanoparticles demonstrated an effect only at an initial concentration of 197 μg/mL. We established a higher antimicrobial effect against S. mutans of silver nanoparticles at lower concentrations than gold or zinc, which would allow achieving important clinical effects with a reduced toxicity.","author":[{"dropping-particle":"","family":"Hernández-Sierra","given":"Juan Francisco","non-dropping-particle":"","parse-names":false,"suffix":""},{"dropping-particle":"","family":"Ruiz","given":"Facundo","non-dropping-particle":"","parse-names":false,"suffix":""},{"dropping-particle":"","family":"Cruz Pena","given":"Diana Corina","non-dropping-particle":"","parse-names":false,"suffix":""},{"dropping-particle":"","family":"Martínez-Gutiérrez","given":"Fidel","non-dropping-particle":"","parse-names":false,"suffix":""},{"dropping-particle":"","family":"Martínez","given":"Alberto Emilio","non-dropping-particle":"","parse-names":false,"suffix":""},{"dropping-particle":"","family":"Jesús Pozos Guillén","given":"Amaury","non-dropping-particle":"de","parse-names":false,"suffix":""},{"dropping-particle":"","family":"Tapia-Pérez","given":"Humberto","non-dropping-particle":"","parse-names":false,"suffix":""},{"dropping-particle":"","family":"Martínez Castañón","given":"Gabriel","non-dropping-particle":"","parse-names":false,"suffix":""}],"container-title":"Nanomedicine: Nanotechnology, Biology and Medicine","id":"ITEM-1","issue":"3","issued":{"date-parts":[["2008"]]},"page":"237-240","title":"The antimicrobial sensitivity of Streptococcus mutans to nanoparticles of silver, zinc oxide, and gold","type":"article-journal","volume":"4"},"uris":["http://www.mendeley.com/documents/?uuid=4ec3d748-192a-4621-8008-cd6b9432f363"]},{"id":"ITEM-2","itemData":{"DOI":"10.1002/jbm.b.31620","ISSN":"1552-4973","abstract":"Abstract The resin-based dental composites commonly used in restorations result in more plaque accumulation than other materials. Bacterial biofilm growth contributes to secondary caries and failure of resin-based dental composites. Methods to inhibit biofilm growth on dental composites have been sought for several decades. It is demonstrated here that zinc oxide nanoparticles (ZnO-NPs) blended at 10% (w/w) fraction into dental composites display antimicrobial activity and reduce growth of bacterial biofilms by roughly 80% for a single-species model dental biofilm. Antibacterial effectiveness of ZnO-NPs was assessed against Streptococcus sobrinus ATCC 27352 grown both planktonically and as biofilms on composites. Direct contact inhibition was observed by scanning electron microscopy and confocal laser scanning microscopy while biofilm formation was quantified by viable counts. An 80% reduction in bacterial counts was observed with 10% ZnO-NP-containing composites compared with their unmodified counterpart, indicating a statistically significant suppression of biofilm growth. Although, 20% of the bacterial population survived and could form a biofilm layer again, 10% ZnO-NP-containing composites maintained at least some inhibitory activity even after the third generation of biofilm growth. Microscopy demonstrated continuous biofilm formation for unmodified composites after 1-day growth, but only sparsely distributed biofilms formed on 10% ZnO-NP-containing composites. The minimum inhibitory concentration of ZnO-NPs suspended in S. sobrinus planktonic culture was 50 ?g mL?1. ZnO-NP-containing composites (10%) qualitatively showed less biofilm after 1-day-anaerobic growth of a three-species initial colonizer biofilm after being compared with unmodified composites, but did not significantly reduce growth after 3 days. ? 2010 Wiley Periodicals, Inc. J Biomed Mater Res Part B: Appl Biomater, 2010.","author":[{"dropping-particle":"","family":"Aydin Sevinç","given":"Berdan","non-dropping-particle":"","parse-names":false,"suffix":""},{"dropping-particle":"","family":"Hanley","given":"Luke","non-dropping-particle":"","parse-names":false,"suffix":""}],"container-title":"Journal of Biomedical Materials Research Part B: Applied Biomaterials","id":"ITEM-2","issue":"1","issued":{"date-parts":[["2010","7","1"]]},"note":"doi: 10.1002/jbm.b.31620","page":"22-31","publisher":"John Wiley &amp; Sons, Ltd","title":"Antibacterial activity of dental composites containing zinc oxide nanoparticles","type":"article-journal","volume":"94B"},"uris":["http://www.mendeley.com/documents/?uuid=874c7877-deb5-48d9-af87-35c96abc5739"]},{"id":"ITEM-3","itemData":{"DOI":"10.5395/rde.2014.39.2.109","author":[{"dropping-particle":"","family":"Kasraei","given":"Shahin","non-dropping-particle":"","parse-names":false,"suffix":""},{"dropping-particle":"","family":"Sami","given":"Lida","non-dropping-particle":"","parse-names":false,"suffix":""},{"dropping-particle":"","family":"Hendi","given":"Seyedeh Sareh","non-dropping-particle":"","parse-names":false,"suffix":""},{"dropping-particle":"","family":"Alikhani","given":"Mohammad","non-dropping-particle":"","parse-names":false,"suffix":""},{"dropping-particle":"","family":"Rezaei-Soufi","given":"Loghman","non-dropping-particle":"","parse-names":false,"suffix":""},{"dropping-particle":"","family":"Khamverdi","given":"Zahra","non-dropping-particle":"","parse-names":false,"suffix":""}],"container-title":"Restorative dentistry &amp; endodontics","id":"ITEM-3","issued":{"date-parts":[["2014","5","1"]]},"page":"109-114","title":"Antibacterial properties of composite resins incorporating silver and zinc oxide nanoparticles on Streptococcus mutans and Lactobacillus","type":"article-journal","volume":"39"},"uris":["http://www.mendeley.com/documents/?uuid=3d9243c5-71b9-4c08-a0ee-71048b3c6d0f"]}],"mendeley":{"formattedCitation":"&lt;sup&gt;1,13,18&lt;/sup&gt;","plainTextFormattedCitation":"1,13,18","previouslyFormattedCitation":"&lt;sup&gt;1,13,18&lt;/sup&gt;"},"properties":{"noteIndex":0},"schema":"https://github.com/citation-style-language/schema/raw/master/csl-citation.json"}</w:instrText>
      </w:r>
      <w:r w:rsidR="00EF4342">
        <w:rPr>
          <w:rFonts w:cs="Times New Roman"/>
          <w:szCs w:val="24"/>
          <w:lang w:val="en-US"/>
        </w:rPr>
        <w:fldChar w:fldCharType="separate"/>
      </w:r>
      <w:r w:rsidR="00B01517" w:rsidRPr="00B01517">
        <w:rPr>
          <w:rFonts w:cs="Times New Roman"/>
          <w:noProof/>
          <w:szCs w:val="24"/>
          <w:vertAlign w:val="superscript"/>
          <w:lang w:val="en-US"/>
        </w:rPr>
        <w:t>1,13,18</w:t>
      </w:r>
      <w:r w:rsidR="00EF4342">
        <w:rPr>
          <w:rFonts w:cs="Times New Roman"/>
          <w:szCs w:val="24"/>
          <w:lang w:val="en-US"/>
        </w:rPr>
        <w:fldChar w:fldCharType="end"/>
      </w:r>
      <w:r w:rsidR="00402349">
        <w:rPr>
          <w:rFonts w:cs="Times New Roman"/>
          <w:szCs w:val="24"/>
          <w:lang w:val="en-US"/>
        </w:rPr>
        <w:t xml:space="preserve">. These properties may not have been expressed due to the addition of the nanoparticles to the adhesive. </w:t>
      </w:r>
      <w:r>
        <w:rPr>
          <w:rFonts w:cs="Times New Roman"/>
          <w:szCs w:val="24"/>
          <w:lang w:val="en-US"/>
        </w:rPr>
        <w:t xml:space="preserve">The </w:t>
      </w:r>
      <w:r w:rsidR="00E370E7">
        <w:rPr>
          <w:rFonts w:cs="Times New Roman"/>
          <w:szCs w:val="24"/>
          <w:lang w:val="en-US"/>
        </w:rPr>
        <w:t xml:space="preserve">adhesive with </w:t>
      </w:r>
      <w:r>
        <w:rPr>
          <w:rFonts w:cs="Times New Roman"/>
          <w:szCs w:val="24"/>
          <w:lang w:val="en-US"/>
        </w:rPr>
        <w:t>NanoGard</w:t>
      </w:r>
      <w:r w:rsidRPr="00083C9F">
        <w:rPr>
          <w:rFonts w:cs="Times New Roman"/>
          <w:szCs w:val="24"/>
          <w:vertAlign w:val="superscript"/>
          <w:lang w:val="en-US"/>
        </w:rPr>
        <w:t>TM</w:t>
      </w:r>
      <w:r>
        <w:rPr>
          <w:rFonts w:cs="Times New Roman"/>
          <w:szCs w:val="24"/>
          <w:lang w:val="en-US"/>
        </w:rPr>
        <w:t xml:space="preserve"> did show the slight hydrophilic properties that were expected while the</w:t>
      </w:r>
      <w:r w:rsidR="00E370E7">
        <w:rPr>
          <w:rFonts w:cs="Times New Roman"/>
          <w:szCs w:val="24"/>
          <w:lang w:val="en-US"/>
        </w:rPr>
        <w:t xml:space="preserve"> adhesive with</w:t>
      </w:r>
      <w:r>
        <w:rPr>
          <w:rFonts w:cs="Times New Roman"/>
          <w:szCs w:val="24"/>
          <w:lang w:val="en-US"/>
        </w:rPr>
        <w:t xml:space="preserve"> NanoTek</w:t>
      </w:r>
      <w:r w:rsidRPr="00083C9F">
        <w:rPr>
          <w:rFonts w:cs="Times New Roman"/>
          <w:szCs w:val="24"/>
          <w:vertAlign w:val="superscript"/>
          <w:lang w:val="en-US"/>
        </w:rPr>
        <w:t>TM</w:t>
      </w:r>
      <w:r>
        <w:rPr>
          <w:rFonts w:cs="Times New Roman"/>
          <w:szCs w:val="24"/>
          <w:vertAlign w:val="superscript"/>
          <w:lang w:val="en-US"/>
        </w:rPr>
        <w:t xml:space="preserve"> </w:t>
      </w:r>
      <w:r>
        <w:rPr>
          <w:rFonts w:cs="Times New Roman"/>
          <w:szCs w:val="24"/>
          <w:lang w:val="en-US"/>
        </w:rPr>
        <w:t>sho</w:t>
      </w:r>
      <w:r w:rsidR="005E0301">
        <w:rPr>
          <w:rFonts w:cs="Times New Roman"/>
          <w:szCs w:val="24"/>
          <w:lang w:val="en-US"/>
        </w:rPr>
        <w:t>wed less hydrophilic character</w:t>
      </w:r>
      <w:r>
        <w:rPr>
          <w:rFonts w:cs="Times New Roman"/>
          <w:szCs w:val="24"/>
          <w:lang w:val="en-US"/>
        </w:rPr>
        <w:t>. The addition of the DDAO to the NanoGard</w:t>
      </w:r>
      <w:r w:rsidRPr="00083C9F">
        <w:rPr>
          <w:rFonts w:cs="Times New Roman"/>
          <w:szCs w:val="24"/>
          <w:vertAlign w:val="superscript"/>
          <w:lang w:val="en-US"/>
        </w:rPr>
        <w:t>TM</w:t>
      </w:r>
      <w:r>
        <w:rPr>
          <w:rFonts w:cs="Times New Roman"/>
          <w:szCs w:val="24"/>
          <w:vertAlign w:val="superscript"/>
          <w:lang w:val="en-US"/>
        </w:rPr>
        <w:t xml:space="preserve"> </w:t>
      </w:r>
      <w:r>
        <w:rPr>
          <w:rFonts w:cs="Times New Roman"/>
          <w:szCs w:val="24"/>
          <w:lang w:val="en-US"/>
        </w:rPr>
        <w:t xml:space="preserve">suggests that the hydrophilicity of the two compounds might be influenced by their interactions. </w:t>
      </w:r>
      <w:r w:rsidR="00E370E7">
        <w:rPr>
          <w:rFonts w:cs="Times New Roman"/>
          <w:szCs w:val="24"/>
          <w:lang w:val="en-US"/>
        </w:rPr>
        <w:t>Reduced hydrophilicity of adhesive samples with DDAO and NanoGard</w:t>
      </w:r>
      <w:r w:rsidR="00E370E7" w:rsidRPr="00E370E7">
        <w:rPr>
          <w:rFonts w:cs="Times New Roman"/>
          <w:szCs w:val="24"/>
          <w:vertAlign w:val="superscript"/>
          <w:lang w:val="en-US"/>
        </w:rPr>
        <w:t>TM</w:t>
      </w:r>
      <w:r w:rsidR="00E370E7">
        <w:rPr>
          <w:rFonts w:cs="Times New Roman"/>
          <w:szCs w:val="24"/>
          <w:lang w:val="en-US"/>
        </w:rPr>
        <w:t xml:space="preserve"> may have been the result of hemimicelle formation on the nanoparticles.</w:t>
      </w:r>
    </w:p>
    <w:p w14:paraId="18C061D1" w14:textId="77777777" w:rsidR="00083C9F" w:rsidRPr="00083C9F" w:rsidRDefault="00083C9F" w:rsidP="00083C9F">
      <w:pPr>
        <w:rPr>
          <w:lang w:val="en-US"/>
        </w:rPr>
      </w:pPr>
    </w:p>
    <w:p w14:paraId="3F2FDCDC" w14:textId="7DD22B1C" w:rsidR="00985C74" w:rsidRDefault="00985C74" w:rsidP="00985C74">
      <w:pPr>
        <w:rPr>
          <w:lang w:val="en-US"/>
        </w:rPr>
      </w:pPr>
    </w:p>
    <w:p w14:paraId="02CCC803" w14:textId="0521D1DE" w:rsidR="009C4BE6" w:rsidRDefault="009C4BE6" w:rsidP="00985C74">
      <w:pPr>
        <w:rPr>
          <w:lang w:val="en-US"/>
        </w:rPr>
      </w:pPr>
    </w:p>
    <w:p w14:paraId="7D7CDCA8" w14:textId="3A2A13E8" w:rsidR="009C4BE6" w:rsidRDefault="009C4BE6" w:rsidP="00985C74">
      <w:pPr>
        <w:rPr>
          <w:lang w:val="en-US"/>
        </w:rPr>
      </w:pPr>
    </w:p>
    <w:p w14:paraId="7B4A71C9" w14:textId="71FC294C" w:rsidR="009C4BE6" w:rsidRDefault="009C4BE6" w:rsidP="00985C74">
      <w:pPr>
        <w:rPr>
          <w:lang w:val="en-US"/>
        </w:rPr>
      </w:pPr>
    </w:p>
    <w:p w14:paraId="1541E557" w14:textId="6AB7B67E" w:rsidR="00A674D0" w:rsidRDefault="00A10755" w:rsidP="00A674D0">
      <w:pPr>
        <w:pStyle w:val="Heading1"/>
        <w:spacing w:line="480" w:lineRule="auto"/>
        <w:rPr>
          <w:lang w:val="en-US"/>
        </w:rPr>
      </w:pPr>
      <w:r>
        <w:rPr>
          <w:lang w:val="en-US"/>
        </w:rPr>
        <w:br w:type="column"/>
      </w:r>
      <w:bookmarkStart w:id="103" w:name="_Toc45837566"/>
      <w:r w:rsidR="009C4BE6">
        <w:rPr>
          <w:lang w:val="en-US"/>
        </w:rPr>
        <w:t>Chapter 5 – Future Work Suggestions</w:t>
      </w:r>
      <w:bookmarkEnd w:id="103"/>
    </w:p>
    <w:p w14:paraId="1363DFD1" w14:textId="3FE70BE8" w:rsidR="00967DC5" w:rsidRDefault="00967DC5" w:rsidP="00273D80">
      <w:pPr>
        <w:spacing w:line="480" w:lineRule="auto"/>
        <w:jc w:val="both"/>
        <w:rPr>
          <w:lang w:val="en-US"/>
        </w:rPr>
      </w:pPr>
      <w:r>
        <w:rPr>
          <w:lang w:val="en-US"/>
        </w:rPr>
        <w:tab/>
      </w:r>
      <w:r w:rsidR="00836E00">
        <w:rPr>
          <w:lang w:val="en-US"/>
        </w:rPr>
        <w:t>In the future</w:t>
      </w:r>
      <w:r>
        <w:rPr>
          <w:lang w:val="en-US"/>
        </w:rPr>
        <w:t xml:space="preserve">, the wettability of the nanoparticles </w:t>
      </w:r>
      <w:r w:rsidR="00836E00">
        <w:rPr>
          <w:lang w:val="en-US"/>
        </w:rPr>
        <w:t>could be</w:t>
      </w:r>
      <w:r>
        <w:rPr>
          <w:lang w:val="en-US"/>
        </w:rPr>
        <w:t xml:space="preserve"> tested on a wider range of solvents. Finding more solvents that meet the criteria described in Chapter 2 is critical to gathering useful data using the DPM. Once more and reliable data is obtained, the surface free energy values of the zinc oxide should be evaluated again. This might show the ability to use this method to find surface free energies of nanoparticles in a cost and time effective manner.</w:t>
      </w:r>
      <w:r w:rsidR="00836E00">
        <w:rPr>
          <w:lang w:val="en-US"/>
        </w:rPr>
        <w:t xml:space="preserve"> However, the limited range of the DPM between 20 and 80 degrees severely limits the solvents available for testing which may not provide reliable results for surface energy analysis.</w:t>
      </w:r>
    </w:p>
    <w:p w14:paraId="24E0E5D4" w14:textId="4DFFB588" w:rsidR="00A674D0" w:rsidRPr="00A674D0" w:rsidRDefault="00A674D0" w:rsidP="00273D80">
      <w:pPr>
        <w:spacing w:line="480" w:lineRule="auto"/>
        <w:ind w:firstLine="708"/>
        <w:jc w:val="both"/>
        <w:rPr>
          <w:lang w:val="en-US"/>
        </w:rPr>
      </w:pPr>
      <w:r>
        <w:rPr>
          <w:lang w:val="en-US"/>
        </w:rPr>
        <w:t>It is possible antimicrobial properties would have been more readily observed on metal doped nanoparticles.</w:t>
      </w:r>
      <w:r w:rsidR="00967DC5">
        <w:rPr>
          <w:lang w:val="en-US"/>
        </w:rPr>
        <w:t xml:space="preserve"> I would recommend trying the antibacterial testing again on newly synthesized nanoparticles that have been metal doped. I would suggest confirming that nanoparticles are dispersed evenly when adding them to the dental resin. It is important to minimize agglomerates and prevent the gathering of nanoparticles on the inside of the adhesive resin.</w:t>
      </w:r>
    </w:p>
    <w:p w14:paraId="64D3FFD5" w14:textId="72B8D7F1" w:rsidR="00877E02" w:rsidRPr="00241A81" w:rsidRDefault="00877E02" w:rsidP="008C1BB7">
      <w:pPr>
        <w:pStyle w:val="Heading1"/>
        <w:rPr>
          <w:rFonts w:cs="Times New Roman"/>
          <w:szCs w:val="24"/>
          <w:lang w:val="en-US"/>
        </w:rPr>
      </w:pPr>
      <w:r w:rsidRPr="00241A81">
        <w:rPr>
          <w:rFonts w:cs="Times New Roman"/>
          <w:szCs w:val="24"/>
          <w:lang w:val="en-US"/>
        </w:rPr>
        <w:br w:type="column"/>
      </w:r>
      <w:bookmarkStart w:id="104" w:name="_Toc45837567"/>
      <w:r w:rsidRPr="00241A81">
        <w:rPr>
          <w:rFonts w:cs="Times New Roman"/>
          <w:szCs w:val="24"/>
          <w:lang w:val="en-US"/>
        </w:rPr>
        <w:t>References</w:t>
      </w:r>
      <w:bookmarkEnd w:id="104"/>
    </w:p>
    <w:p w14:paraId="43AF5E4B" w14:textId="0D309653" w:rsidR="0004327C" w:rsidRPr="00E563E8" w:rsidRDefault="00B405AB" w:rsidP="0004327C">
      <w:pPr>
        <w:widowControl w:val="0"/>
        <w:autoSpaceDE w:val="0"/>
        <w:autoSpaceDN w:val="0"/>
        <w:adjustRightInd w:val="0"/>
        <w:spacing w:line="240" w:lineRule="auto"/>
        <w:ind w:left="640" w:hanging="640"/>
        <w:rPr>
          <w:rFonts w:cs="Times New Roman"/>
          <w:noProof/>
          <w:szCs w:val="24"/>
          <w:lang w:val="en-US"/>
        </w:rPr>
      </w:pPr>
      <w:r>
        <w:rPr>
          <w:rFonts w:cs="Times New Roman"/>
          <w:szCs w:val="24"/>
          <w:lang w:val="en-US"/>
        </w:rPr>
        <w:fldChar w:fldCharType="begin" w:fldLock="1"/>
      </w:r>
      <w:r>
        <w:rPr>
          <w:rFonts w:cs="Times New Roman"/>
          <w:szCs w:val="24"/>
          <w:lang w:val="en-US"/>
        </w:rPr>
        <w:instrText xml:space="preserve">ADDIN Mendeley Bibliography CSL_BIBLIOGRAPHY </w:instrText>
      </w:r>
      <w:r>
        <w:rPr>
          <w:rFonts w:cs="Times New Roman"/>
          <w:szCs w:val="24"/>
          <w:lang w:val="en-US"/>
        </w:rPr>
        <w:fldChar w:fldCharType="separate"/>
      </w:r>
      <w:r w:rsidR="0004327C" w:rsidRPr="00E563E8">
        <w:rPr>
          <w:rFonts w:cs="Times New Roman"/>
          <w:noProof/>
          <w:szCs w:val="24"/>
          <w:lang w:val="en-US"/>
        </w:rPr>
        <w:t xml:space="preserve">1. </w:t>
      </w:r>
      <w:r w:rsidR="0004327C" w:rsidRPr="00E563E8">
        <w:rPr>
          <w:rFonts w:cs="Times New Roman"/>
          <w:noProof/>
          <w:szCs w:val="24"/>
          <w:lang w:val="en-US"/>
        </w:rPr>
        <w:tab/>
        <w:t xml:space="preserve">Aydin Sevinç B, Hanley L. Antibacterial activity of dental composites containing zinc oxide nanoparticles. </w:t>
      </w:r>
      <w:r w:rsidR="0004327C" w:rsidRPr="00E563E8">
        <w:rPr>
          <w:rFonts w:cs="Times New Roman"/>
          <w:i/>
          <w:iCs/>
          <w:noProof/>
          <w:szCs w:val="24"/>
          <w:lang w:val="en-US"/>
        </w:rPr>
        <w:t>J Biomed Mater Res Part B Appl Biomater</w:t>
      </w:r>
      <w:r w:rsidR="0004327C" w:rsidRPr="00E563E8">
        <w:rPr>
          <w:rFonts w:cs="Times New Roman"/>
          <w:noProof/>
          <w:szCs w:val="24"/>
          <w:lang w:val="en-US"/>
        </w:rPr>
        <w:t>. 2010;94B(1):22-31. doi:10.1002/jbm.b.31620</w:t>
      </w:r>
    </w:p>
    <w:p w14:paraId="39C14C5F"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 </w:t>
      </w:r>
      <w:r w:rsidRPr="00E563E8">
        <w:rPr>
          <w:rFonts w:cs="Times New Roman"/>
          <w:noProof/>
          <w:szCs w:val="24"/>
          <w:lang w:val="en-US"/>
        </w:rPr>
        <w:tab/>
        <w:t xml:space="preserve">Khushbu Y, Satyam P. Dental Caries: A Microbiological Approach. </w:t>
      </w:r>
      <w:r w:rsidRPr="00E563E8">
        <w:rPr>
          <w:rFonts w:cs="Times New Roman"/>
          <w:i/>
          <w:iCs/>
          <w:noProof/>
          <w:szCs w:val="24"/>
          <w:lang w:val="en-US"/>
        </w:rPr>
        <w:t>J Clin Infect Dis Pract</w:t>
      </w:r>
      <w:r w:rsidRPr="00E563E8">
        <w:rPr>
          <w:rFonts w:cs="Times New Roman"/>
          <w:noProof/>
          <w:szCs w:val="24"/>
          <w:lang w:val="en-US"/>
        </w:rPr>
        <w:t>. 2017;2:1-15.</w:t>
      </w:r>
    </w:p>
    <w:p w14:paraId="479BAC4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 </w:t>
      </w:r>
      <w:r w:rsidRPr="00E563E8">
        <w:rPr>
          <w:rFonts w:cs="Times New Roman"/>
          <w:noProof/>
          <w:szCs w:val="24"/>
          <w:lang w:val="en-US"/>
        </w:rPr>
        <w:tab/>
        <w:t xml:space="preserve">Dye BA, Hsu KLC, Afful J. Prevalence and Measurement of Dental Caries in Young Children. </w:t>
      </w:r>
      <w:r w:rsidRPr="00E563E8">
        <w:rPr>
          <w:rFonts w:cs="Times New Roman"/>
          <w:i/>
          <w:iCs/>
          <w:noProof/>
          <w:szCs w:val="24"/>
          <w:lang w:val="en-US"/>
        </w:rPr>
        <w:t>Pediatr Dent</w:t>
      </w:r>
      <w:r w:rsidRPr="00E563E8">
        <w:rPr>
          <w:rFonts w:cs="Times New Roman"/>
          <w:noProof/>
          <w:szCs w:val="24"/>
          <w:lang w:val="en-US"/>
        </w:rPr>
        <w:t>. 2015;37(3):200-216.</w:t>
      </w:r>
    </w:p>
    <w:p w14:paraId="3A2D22D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 </w:t>
      </w:r>
      <w:r w:rsidRPr="00E563E8">
        <w:rPr>
          <w:rFonts w:cs="Times New Roman"/>
          <w:noProof/>
          <w:szCs w:val="24"/>
          <w:lang w:val="en-US"/>
        </w:rPr>
        <w:tab/>
        <w:t xml:space="preserve">Berdan AS, Luke H. Antibacterial activity of dental composites containing zinc oxide nanoparticles. </w:t>
      </w:r>
      <w:r w:rsidRPr="00E563E8">
        <w:rPr>
          <w:rFonts w:cs="Times New Roman"/>
          <w:i/>
          <w:iCs/>
          <w:noProof/>
          <w:szCs w:val="24"/>
          <w:lang w:val="en-US"/>
        </w:rPr>
        <w:t>J Biomed Mater Res Part B Appl Biomater</w:t>
      </w:r>
      <w:r w:rsidRPr="00E563E8">
        <w:rPr>
          <w:rFonts w:cs="Times New Roman"/>
          <w:noProof/>
          <w:szCs w:val="24"/>
          <w:lang w:val="en-US"/>
        </w:rPr>
        <w:t>. 2010;94B(1):22-31. doi:doi:10.1002/jbm.b.31620</w:t>
      </w:r>
    </w:p>
    <w:p w14:paraId="709E8664"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 </w:t>
      </w:r>
      <w:r w:rsidRPr="00E563E8">
        <w:rPr>
          <w:rFonts w:cs="Times New Roman"/>
          <w:noProof/>
          <w:szCs w:val="24"/>
          <w:lang w:val="en-US"/>
        </w:rPr>
        <w:tab/>
        <w:t xml:space="preserve">Shen M, Liang G, Gu A, Yuan L. Development of high performance dental resin composites with outstanding antibacterial activity, high mechanical properties and low polymerization shrinkage based on a SiO2 hybridized tetrapod-like zinc oxide whisker with C-C bonds. </w:t>
      </w:r>
      <w:r w:rsidRPr="00E563E8">
        <w:rPr>
          <w:rFonts w:cs="Times New Roman"/>
          <w:i/>
          <w:iCs/>
          <w:noProof/>
          <w:szCs w:val="24"/>
          <w:lang w:val="en-US"/>
        </w:rPr>
        <w:t>RSC Adv</w:t>
      </w:r>
      <w:r w:rsidRPr="00E563E8">
        <w:rPr>
          <w:rFonts w:cs="Times New Roman"/>
          <w:noProof/>
          <w:szCs w:val="24"/>
          <w:lang w:val="en-US"/>
        </w:rPr>
        <w:t>. 2016;6(61):56353-56364. doi:10.1039/C6RA13498J</w:t>
      </w:r>
    </w:p>
    <w:p w14:paraId="0C96A6F0"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 </w:t>
      </w:r>
      <w:r w:rsidRPr="00E563E8">
        <w:rPr>
          <w:rFonts w:cs="Times New Roman"/>
          <w:noProof/>
          <w:szCs w:val="24"/>
          <w:lang w:val="en-US"/>
        </w:rPr>
        <w:tab/>
        <w:t xml:space="preserve">Featherstone JDB. The Continuum of Dental Caries—Evidence for a Dynamic Disease Process. </w:t>
      </w:r>
      <w:r w:rsidRPr="00E563E8">
        <w:rPr>
          <w:rFonts w:cs="Times New Roman"/>
          <w:i/>
          <w:iCs/>
          <w:noProof/>
          <w:szCs w:val="24"/>
          <w:lang w:val="en-US"/>
        </w:rPr>
        <w:t>J Dent Res</w:t>
      </w:r>
      <w:r w:rsidRPr="00E563E8">
        <w:rPr>
          <w:rFonts w:cs="Times New Roman"/>
          <w:noProof/>
          <w:szCs w:val="24"/>
          <w:lang w:val="en-US"/>
        </w:rPr>
        <w:t>. 2004;83(1_suppl):39-42. doi:10.1177/154405910408301s08</w:t>
      </w:r>
    </w:p>
    <w:p w14:paraId="0A8EFB5D"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 </w:t>
      </w:r>
      <w:r w:rsidRPr="00E563E8">
        <w:rPr>
          <w:rFonts w:cs="Times New Roman"/>
          <w:noProof/>
          <w:szCs w:val="24"/>
          <w:lang w:val="en-US"/>
        </w:rPr>
        <w:tab/>
        <w:t xml:space="preserve">Marsh PD. Dental plaque as a biofilm and a microbial community - implications for health and disease. </w:t>
      </w:r>
      <w:r w:rsidRPr="00E563E8">
        <w:rPr>
          <w:rFonts w:cs="Times New Roman"/>
          <w:i/>
          <w:iCs/>
          <w:noProof/>
          <w:szCs w:val="24"/>
          <w:lang w:val="en-US"/>
        </w:rPr>
        <w:t>BMC Oral Health</w:t>
      </w:r>
      <w:r w:rsidRPr="00E563E8">
        <w:rPr>
          <w:rFonts w:cs="Times New Roman"/>
          <w:noProof/>
          <w:szCs w:val="24"/>
          <w:lang w:val="en-US"/>
        </w:rPr>
        <w:t>. 2006;6 Suppl 1(Suppl 1):S14-S14. doi:10.1186/1472-6831-6-S1-S14</w:t>
      </w:r>
    </w:p>
    <w:p w14:paraId="2A4DDEC7"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8. </w:t>
      </w:r>
      <w:r w:rsidRPr="00E563E8">
        <w:rPr>
          <w:rFonts w:cs="Times New Roman"/>
          <w:noProof/>
          <w:szCs w:val="24"/>
          <w:lang w:val="en-US"/>
        </w:rPr>
        <w:tab/>
        <w:t xml:space="preserve">Sheiham A, James WPT. Diet and Dental Caries: The Pivotal Role of Free Sugars Reemphasized. </w:t>
      </w:r>
      <w:r w:rsidRPr="00E563E8">
        <w:rPr>
          <w:rFonts w:cs="Times New Roman"/>
          <w:i/>
          <w:iCs/>
          <w:noProof/>
          <w:szCs w:val="24"/>
          <w:lang w:val="en-US"/>
        </w:rPr>
        <w:t>J Dent Res</w:t>
      </w:r>
      <w:r w:rsidRPr="00E563E8">
        <w:rPr>
          <w:rFonts w:cs="Times New Roman"/>
          <w:noProof/>
          <w:szCs w:val="24"/>
          <w:lang w:val="en-US"/>
        </w:rPr>
        <w:t>. 2015;94(10):1341-1347. doi:10.1177/0022034515590377</w:t>
      </w:r>
    </w:p>
    <w:p w14:paraId="0868306B"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9. </w:t>
      </w:r>
      <w:r w:rsidRPr="00E563E8">
        <w:rPr>
          <w:rFonts w:cs="Times New Roman"/>
          <w:noProof/>
          <w:szCs w:val="24"/>
          <w:lang w:val="en-US"/>
        </w:rPr>
        <w:tab/>
        <w:t xml:space="preserve">Steindorff MM, Lehl H, Winkel A, Stiesch M. Innovative approaches to regenerate teeth by tissue engineering. </w:t>
      </w:r>
      <w:r w:rsidRPr="00E563E8">
        <w:rPr>
          <w:rFonts w:cs="Times New Roman"/>
          <w:i/>
          <w:iCs/>
          <w:noProof/>
          <w:szCs w:val="24"/>
          <w:lang w:val="en-US"/>
        </w:rPr>
        <w:t>Arch Oral Biol</w:t>
      </w:r>
      <w:r w:rsidRPr="00E563E8">
        <w:rPr>
          <w:rFonts w:cs="Times New Roman"/>
          <w:noProof/>
          <w:szCs w:val="24"/>
          <w:lang w:val="en-US"/>
        </w:rPr>
        <w:t>. 2014;59(2):158-166. doi:10.1016/j.archoralbio.2013.11.005</w:t>
      </w:r>
    </w:p>
    <w:p w14:paraId="20162E39"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10. </w:t>
      </w:r>
      <w:r w:rsidRPr="00E563E8">
        <w:rPr>
          <w:rFonts w:cs="Times New Roman"/>
          <w:noProof/>
          <w:szCs w:val="24"/>
          <w:lang w:val="en-US"/>
        </w:rPr>
        <w:tab/>
        <w:t xml:space="preserve">van Manen EH, Zhang W, Walboomers XF, et al. The influence of electrospun fibre scaffold orientation and nano-hydroxyapatite content on the development of tooth bud stem cells in vitro. </w:t>
      </w:r>
      <w:r w:rsidRPr="00E563E8">
        <w:rPr>
          <w:rFonts w:cs="Times New Roman"/>
          <w:i/>
          <w:iCs/>
          <w:noProof/>
          <w:szCs w:val="24"/>
          <w:lang w:val="en-US"/>
        </w:rPr>
        <w:t>Odontology</w:t>
      </w:r>
      <w:r w:rsidRPr="00E563E8">
        <w:rPr>
          <w:rFonts w:cs="Times New Roman"/>
          <w:noProof/>
          <w:szCs w:val="24"/>
          <w:lang w:val="en-US"/>
        </w:rPr>
        <w:t>. 2014;102(1):14-21. doi:10.1007/s10266-012-0087-9</w:t>
      </w:r>
    </w:p>
    <w:p w14:paraId="0DF800C6"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11. </w:t>
      </w:r>
      <w:r w:rsidRPr="00E563E8">
        <w:rPr>
          <w:rFonts w:cs="Times New Roman"/>
          <w:noProof/>
          <w:szCs w:val="24"/>
          <w:lang w:val="en-US"/>
        </w:rPr>
        <w:tab/>
        <w:t xml:space="preserve">Devínsky F, Kopecka-Leitmanová A, Šeršeň F, Balgavý P. Cut-off Effect in Antimicrobial Activity and in Membrane Perturbation Efficiency of the Homologous Series of N,N-Dimethylalkylamine Oxides†. </w:t>
      </w:r>
      <w:r w:rsidRPr="00E563E8">
        <w:rPr>
          <w:rFonts w:cs="Times New Roman"/>
          <w:i/>
          <w:iCs/>
          <w:noProof/>
          <w:szCs w:val="24"/>
          <w:lang w:val="en-US"/>
        </w:rPr>
        <w:t>J Pharm Pharmacol</w:t>
      </w:r>
      <w:r w:rsidRPr="00E563E8">
        <w:rPr>
          <w:rFonts w:cs="Times New Roman"/>
          <w:noProof/>
          <w:szCs w:val="24"/>
          <w:lang w:val="en-US"/>
        </w:rPr>
        <w:t>. 1990;42(11):790-794. doi:10.1111/j.2042-7158.1990.tb07022.x</w:t>
      </w:r>
    </w:p>
    <w:p w14:paraId="7E426B04" w14:textId="77777777" w:rsidR="0004327C" w:rsidRPr="0004327C" w:rsidRDefault="0004327C" w:rsidP="0004327C">
      <w:pPr>
        <w:widowControl w:val="0"/>
        <w:autoSpaceDE w:val="0"/>
        <w:autoSpaceDN w:val="0"/>
        <w:adjustRightInd w:val="0"/>
        <w:spacing w:line="240" w:lineRule="auto"/>
        <w:ind w:left="640" w:hanging="640"/>
        <w:rPr>
          <w:rFonts w:cs="Times New Roman"/>
          <w:noProof/>
          <w:szCs w:val="24"/>
        </w:rPr>
      </w:pPr>
      <w:r w:rsidRPr="00E563E8">
        <w:rPr>
          <w:rFonts w:cs="Times New Roman"/>
          <w:noProof/>
          <w:szCs w:val="24"/>
          <w:lang w:val="en-US"/>
        </w:rPr>
        <w:t xml:space="preserve">12. </w:t>
      </w:r>
      <w:r w:rsidRPr="00E563E8">
        <w:rPr>
          <w:rFonts w:cs="Times New Roman"/>
          <w:noProof/>
          <w:szCs w:val="24"/>
          <w:lang w:val="en-US"/>
        </w:rPr>
        <w:tab/>
        <w:t xml:space="preserve">Esteban Florez FL, Hiers RD, Smart K, et al. Real-time assessment of Streptococcus mutans biofilm metabolism on resin composite. </w:t>
      </w:r>
      <w:r w:rsidRPr="0004327C">
        <w:rPr>
          <w:rFonts w:cs="Times New Roman"/>
          <w:i/>
          <w:iCs/>
          <w:noProof/>
          <w:szCs w:val="24"/>
        </w:rPr>
        <w:t>Dent Mater</w:t>
      </w:r>
      <w:r w:rsidRPr="0004327C">
        <w:rPr>
          <w:rFonts w:cs="Times New Roman"/>
          <w:noProof/>
          <w:szCs w:val="24"/>
        </w:rPr>
        <w:t>. 2016;32(10):1263-1269. doi:10.1016/j.dental.2016.07.010</w:t>
      </w:r>
    </w:p>
    <w:p w14:paraId="5510766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04327C">
        <w:rPr>
          <w:rFonts w:cs="Times New Roman"/>
          <w:noProof/>
          <w:szCs w:val="24"/>
        </w:rPr>
        <w:t xml:space="preserve">13. </w:t>
      </w:r>
      <w:r w:rsidRPr="0004327C">
        <w:rPr>
          <w:rFonts w:cs="Times New Roman"/>
          <w:noProof/>
          <w:szCs w:val="24"/>
        </w:rPr>
        <w:tab/>
        <w:t xml:space="preserve">Hernández-Sierra JF, Ruiz F, Cruz Pena DC, et al. </w:t>
      </w:r>
      <w:r w:rsidRPr="00E563E8">
        <w:rPr>
          <w:rFonts w:cs="Times New Roman"/>
          <w:noProof/>
          <w:szCs w:val="24"/>
          <w:lang w:val="en-US"/>
        </w:rPr>
        <w:t xml:space="preserve">The antimicrobial sensitivity of Streptococcus mutans to nanoparticles of silver, zinc oxide, and gold. </w:t>
      </w:r>
      <w:r w:rsidRPr="00E563E8">
        <w:rPr>
          <w:rFonts w:cs="Times New Roman"/>
          <w:i/>
          <w:iCs/>
          <w:noProof/>
          <w:szCs w:val="24"/>
          <w:lang w:val="en-US"/>
        </w:rPr>
        <w:t>Nanomedicine Nanotechnology, Biol Med</w:t>
      </w:r>
      <w:r w:rsidRPr="00E563E8">
        <w:rPr>
          <w:rFonts w:cs="Times New Roman"/>
          <w:noProof/>
          <w:szCs w:val="24"/>
          <w:lang w:val="en-US"/>
        </w:rPr>
        <w:t>. 2008;4(3):237-240. doi:https://doi.org/10.1016/j.nano.2008.04.005</w:t>
      </w:r>
    </w:p>
    <w:p w14:paraId="739B5AA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14. </w:t>
      </w:r>
      <w:r w:rsidRPr="00E563E8">
        <w:rPr>
          <w:rFonts w:cs="Times New Roman"/>
          <w:noProof/>
          <w:szCs w:val="24"/>
          <w:lang w:val="en-US"/>
        </w:rPr>
        <w:tab/>
        <w:t xml:space="preserve">Gupta K, Singh RP, Pandey A, Pandey A. Photocatalytic antibacterial performance of TiO2 and Ag-doped TiO2 against S. aureus. P. aeruginosa and E. coli. </w:t>
      </w:r>
      <w:r w:rsidRPr="00E563E8">
        <w:rPr>
          <w:rFonts w:cs="Times New Roman"/>
          <w:i/>
          <w:iCs/>
          <w:noProof/>
          <w:szCs w:val="24"/>
          <w:lang w:val="en-US"/>
        </w:rPr>
        <w:t>Beilstein J Nanotechnol</w:t>
      </w:r>
      <w:r w:rsidRPr="00E563E8">
        <w:rPr>
          <w:rFonts w:cs="Times New Roman"/>
          <w:noProof/>
          <w:szCs w:val="24"/>
          <w:lang w:val="en-US"/>
        </w:rPr>
        <w:t>. 2013;4:345-351.</w:t>
      </w:r>
    </w:p>
    <w:p w14:paraId="29F1C7EF"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15. </w:t>
      </w:r>
      <w:r w:rsidRPr="00E563E8">
        <w:rPr>
          <w:rFonts w:cs="Times New Roman"/>
          <w:noProof/>
          <w:szCs w:val="24"/>
          <w:lang w:val="en-US"/>
        </w:rPr>
        <w:tab/>
        <w:t xml:space="preserve">Esteban Florez FL, Hiers RD, Larson P, et al. Antibacterial dental adhesive resins containing nitrogen-doped titanium dioxide nanoparticles. </w:t>
      </w:r>
      <w:r w:rsidRPr="00E563E8">
        <w:rPr>
          <w:rFonts w:cs="Times New Roman"/>
          <w:i/>
          <w:iCs/>
          <w:noProof/>
          <w:szCs w:val="24"/>
          <w:lang w:val="en-US"/>
        </w:rPr>
        <w:t>Mater Sci Eng C</w:t>
      </w:r>
      <w:r w:rsidRPr="00E563E8">
        <w:rPr>
          <w:rFonts w:cs="Times New Roman"/>
          <w:noProof/>
          <w:szCs w:val="24"/>
          <w:lang w:val="en-US"/>
        </w:rPr>
        <w:t>. 2018;93:931-943. doi:https://doi.org/10.1016/j.msec.2018.08.060</w:t>
      </w:r>
    </w:p>
    <w:p w14:paraId="3B8FDAB1"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16. </w:t>
      </w:r>
      <w:r w:rsidRPr="00E563E8">
        <w:rPr>
          <w:rFonts w:cs="Times New Roman"/>
          <w:noProof/>
          <w:szCs w:val="24"/>
          <w:lang w:val="en-US"/>
        </w:rPr>
        <w:tab/>
        <w:t xml:space="preserve">Azam A, Ahmed AS, Oves M, Khan MS, Habib SS, Memic A. Antimicrobial activity of metal oxide nanoparticles against Gram-positive and Gram-negative bacteria: a comparative study. </w:t>
      </w:r>
      <w:r w:rsidRPr="00E563E8">
        <w:rPr>
          <w:rFonts w:cs="Times New Roman"/>
          <w:i/>
          <w:iCs/>
          <w:noProof/>
          <w:szCs w:val="24"/>
          <w:lang w:val="en-US"/>
        </w:rPr>
        <w:t>Int J Nanomedicine</w:t>
      </w:r>
      <w:r w:rsidRPr="00E563E8">
        <w:rPr>
          <w:rFonts w:cs="Times New Roman"/>
          <w:noProof/>
          <w:szCs w:val="24"/>
          <w:lang w:val="en-US"/>
        </w:rPr>
        <w:t>. 2012;7:6003-6009. doi:10.2147/IJN.S35347</w:t>
      </w:r>
    </w:p>
    <w:p w14:paraId="18C57AFD"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17. </w:t>
      </w:r>
      <w:r w:rsidRPr="00E563E8">
        <w:rPr>
          <w:rFonts w:cs="Times New Roman"/>
          <w:noProof/>
          <w:szCs w:val="24"/>
          <w:lang w:val="en-US"/>
        </w:rPr>
        <w:tab/>
        <w:t xml:space="preserve">Sun T, Hao H, Hao W, Yi S, Li X, Li J. Preparation and antibacterial properties of titanium-doped ZnO from different zinc salts. </w:t>
      </w:r>
      <w:r w:rsidRPr="00E563E8">
        <w:rPr>
          <w:rFonts w:cs="Times New Roman"/>
          <w:i/>
          <w:iCs/>
          <w:noProof/>
          <w:szCs w:val="24"/>
          <w:lang w:val="en-US"/>
        </w:rPr>
        <w:t>Nanoscale Res Lett</w:t>
      </w:r>
      <w:r w:rsidRPr="00E563E8">
        <w:rPr>
          <w:rFonts w:cs="Times New Roman"/>
          <w:noProof/>
          <w:szCs w:val="24"/>
          <w:lang w:val="en-US"/>
        </w:rPr>
        <w:t>. 2014;9(1):98. doi:10.1186/1556-276X-9-98</w:t>
      </w:r>
    </w:p>
    <w:p w14:paraId="6B0C08B6"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18. </w:t>
      </w:r>
      <w:r w:rsidRPr="00E563E8">
        <w:rPr>
          <w:rFonts w:cs="Times New Roman"/>
          <w:noProof/>
          <w:szCs w:val="24"/>
          <w:lang w:val="en-US"/>
        </w:rPr>
        <w:tab/>
        <w:t xml:space="preserve">Kasraei S, Sami L, Hendi SS, Alikhani M, Rezaei-Soufi L, Khamverdi Z. Antibacterial properties of composite resins incorporating silver and zinc oxide nanoparticles on Streptococcus mutans and Lactobacillus. </w:t>
      </w:r>
      <w:r w:rsidRPr="00E563E8">
        <w:rPr>
          <w:rFonts w:cs="Times New Roman"/>
          <w:i/>
          <w:iCs/>
          <w:noProof/>
          <w:szCs w:val="24"/>
          <w:lang w:val="en-US"/>
        </w:rPr>
        <w:t>Restor Dent Endod</w:t>
      </w:r>
      <w:r w:rsidRPr="00E563E8">
        <w:rPr>
          <w:rFonts w:cs="Times New Roman"/>
          <w:noProof/>
          <w:szCs w:val="24"/>
          <w:lang w:val="en-US"/>
        </w:rPr>
        <w:t>. 2014;39:109-114. doi:10.5395/rde.2014.39.2.109</w:t>
      </w:r>
    </w:p>
    <w:p w14:paraId="47B70EED"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19. </w:t>
      </w:r>
      <w:r w:rsidRPr="00E563E8">
        <w:rPr>
          <w:rFonts w:cs="Times New Roman"/>
          <w:noProof/>
          <w:szCs w:val="24"/>
          <w:lang w:val="en-US"/>
        </w:rPr>
        <w:tab/>
        <w:t xml:space="preserve">Lemire JA, Harrison JJ, Turner RJ. Antimicrobial activity of metals: mechanisms, molecular targets and applications. </w:t>
      </w:r>
      <w:r w:rsidRPr="00E563E8">
        <w:rPr>
          <w:rFonts w:cs="Times New Roman"/>
          <w:i/>
          <w:iCs/>
          <w:noProof/>
          <w:szCs w:val="24"/>
          <w:lang w:val="en-US"/>
        </w:rPr>
        <w:t>Nat Rev Microbiol</w:t>
      </w:r>
      <w:r w:rsidRPr="00E563E8">
        <w:rPr>
          <w:rFonts w:cs="Times New Roman"/>
          <w:noProof/>
          <w:szCs w:val="24"/>
          <w:lang w:val="en-US"/>
        </w:rPr>
        <w:t>. 2013;11(6):371-384. doi:10.1038/nrmicro3028</w:t>
      </w:r>
    </w:p>
    <w:p w14:paraId="54C467A6"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20. </w:t>
      </w:r>
      <w:r w:rsidRPr="00E563E8">
        <w:rPr>
          <w:rFonts w:cs="Times New Roman"/>
          <w:noProof/>
          <w:szCs w:val="24"/>
          <w:lang w:val="en-US"/>
        </w:rPr>
        <w:tab/>
        <w:t xml:space="preserve">Imlay JA. Pathways of Oxidative Damage. </w:t>
      </w:r>
      <w:r w:rsidRPr="00E563E8">
        <w:rPr>
          <w:rFonts w:cs="Times New Roman"/>
          <w:i/>
          <w:iCs/>
          <w:noProof/>
          <w:szCs w:val="24"/>
          <w:lang w:val="en-US"/>
        </w:rPr>
        <w:t>Annu Rev Microbiol</w:t>
      </w:r>
      <w:r w:rsidRPr="00E563E8">
        <w:rPr>
          <w:rFonts w:cs="Times New Roman"/>
          <w:noProof/>
          <w:szCs w:val="24"/>
          <w:lang w:val="en-US"/>
        </w:rPr>
        <w:t>. 2003;57(1):395-418. doi:10.1146/annurev.micro.57.030502.090938</w:t>
      </w:r>
    </w:p>
    <w:p w14:paraId="0DC92512"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21. </w:t>
      </w:r>
      <w:r w:rsidRPr="00E563E8">
        <w:rPr>
          <w:rFonts w:cs="Times New Roman"/>
          <w:noProof/>
          <w:szCs w:val="24"/>
          <w:lang w:val="en-US"/>
        </w:rPr>
        <w:tab/>
        <w:t xml:space="preserve">Applerot G, Perkas N, Amirian G, Girshevitz O, Gedanken A. Coating of glass with ZnO via ultrasonic irradiation and a study of its antibacterial properties. </w:t>
      </w:r>
      <w:r w:rsidRPr="00E563E8">
        <w:rPr>
          <w:rFonts w:cs="Times New Roman"/>
          <w:i/>
          <w:iCs/>
          <w:noProof/>
          <w:szCs w:val="24"/>
          <w:lang w:val="en-US"/>
        </w:rPr>
        <w:t>Appl Surf Sci</w:t>
      </w:r>
      <w:r w:rsidRPr="00E563E8">
        <w:rPr>
          <w:rFonts w:cs="Times New Roman"/>
          <w:noProof/>
          <w:szCs w:val="24"/>
          <w:lang w:val="en-US"/>
        </w:rPr>
        <w:t>. 2009;256(3, Supplement):S3-S8. doi:https://doi.org/10.1016/j.apsusc.2009.04.198</w:t>
      </w:r>
    </w:p>
    <w:p w14:paraId="789FEE3D"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22. </w:t>
      </w:r>
      <w:r w:rsidRPr="00E563E8">
        <w:rPr>
          <w:rFonts w:cs="Times New Roman"/>
          <w:noProof/>
          <w:szCs w:val="24"/>
          <w:lang w:val="en-US"/>
        </w:rPr>
        <w:tab/>
        <w:t xml:space="preserve">Jiao L, Lin F, Cao S, et al. Preparation, characterization, antimicrobial and cytotoxicity studies of copper/zinc- loaded montmorillonite. </w:t>
      </w:r>
      <w:r w:rsidRPr="00E563E8">
        <w:rPr>
          <w:rFonts w:cs="Times New Roman"/>
          <w:i/>
          <w:iCs/>
          <w:noProof/>
          <w:szCs w:val="24"/>
          <w:lang w:val="en-US"/>
        </w:rPr>
        <w:t>J Anim Sci Biotechnol</w:t>
      </w:r>
      <w:r w:rsidRPr="00E563E8">
        <w:rPr>
          <w:rFonts w:cs="Times New Roman"/>
          <w:noProof/>
          <w:szCs w:val="24"/>
          <w:lang w:val="en-US"/>
        </w:rPr>
        <w:t>. 2017;8(1):27. doi:10.1186/s40104-017-0156-6</w:t>
      </w:r>
    </w:p>
    <w:p w14:paraId="2A839E09" w14:textId="77777777" w:rsidR="0004327C" w:rsidRPr="0004327C" w:rsidRDefault="0004327C" w:rsidP="0004327C">
      <w:pPr>
        <w:widowControl w:val="0"/>
        <w:autoSpaceDE w:val="0"/>
        <w:autoSpaceDN w:val="0"/>
        <w:adjustRightInd w:val="0"/>
        <w:spacing w:line="240" w:lineRule="auto"/>
        <w:ind w:left="640" w:hanging="640"/>
        <w:rPr>
          <w:rFonts w:cs="Times New Roman"/>
          <w:noProof/>
          <w:szCs w:val="24"/>
        </w:rPr>
      </w:pPr>
      <w:r w:rsidRPr="00E563E8">
        <w:rPr>
          <w:rFonts w:cs="Times New Roman"/>
          <w:noProof/>
          <w:szCs w:val="24"/>
          <w:lang w:val="en-US"/>
        </w:rPr>
        <w:t xml:space="preserve">23. </w:t>
      </w:r>
      <w:r w:rsidRPr="00E563E8">
        <w:rPr>
          <w:rFonts w:cs="Times New Roman"/>
          <w:noProof/>
          <w:szCs w:val="24"/>
          <w:lang w:val="en-US"/>
        </w:rPr>
        <w:tab/>
        <w:t xml:space="preserve">Sharma V, Singh P, Pandey AK, Dhawan A. Induction of oxidative stress, DNA damage and apoptosis in mouse liver after sub-acute oral exposure to zinc oxide nanoparticles. </w:t>
      </w:r>
      <w:r w:rsidRPr="0004327C">
        <w:rPr>
          <w:rFonts w:cs="Times New Roman"/>
          <w:i/>
          <w:iCs/>
          <w:noProof/>
          <w:szCs w:val="24"/>
        </w:rPr>
        <w:t>Mutat Res Toxicol Environ Mutagen</w:t>
      </w:r>
      <w:r w:rsidRPr="0004327C">
        <w:rPr>
          <w:rFonts w:cs="Times New Roman"/>
          <w:noProof/>
          <w:szCs w:val="24"/>
        </w:rPr>
        <w:t>. 2012;745(1):84-91. doi:https://doi.org/10.1016/j.mrgentox.2011.12.009</w:t>
      </w:r>
    </w:p>
    <w:p w14:paraId="16528D1F"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24. </w:t>
      </w:r>
      <w:r w:rsidRPr="00E563E8">
        <w:rPr>
          <w:rFonts w:cs="Times New Roman"/>
          <w:noProof/>
          <w:szCs w:val="24"/>
          <w:lang w:val="en-US"/>
        </w:rPr>
        <w:tab/>
        <w:t xml:space="preserve">Li C-H, Shen C-C, Cheng Y-W, et al. Organ biodistribution, clearance, and genotoxicity of orally administered zinc oxide nanoparticles in mice. </w:t>
      </w:r>
      <w:r w:rsidRPr="00E563E8">
        <w:rPr>
          <w:rFonts w:cs="Times New Roman"/>
          <w:i/>
          <w:iCs/>
          <w:noProof/>
          <w:szCs w:val="24"/>
          <w:lang w:val="en-US"/>
        </w:rPr>
        <w:t>Nanotoxicology</w:t>
      </w:r>
      <w:r w:rsidRPr="00E563E8">
        <w:rPr>
          <w:rFonts w:cs="Times New Roman"/>
          <w:noProof/>
          <w:szCs w:val="24"/>
          <w:lang w:val="en-US"/>
        </w:rPr>
        <w:t>. 2012;6(7):746-756. doi:10.3109/17435390.2011.620717</w:t>
      </w:r>
    </w:p>
    <w:p w14:paraId="77FCAD8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25. </w:t>
      </w:r>
      <w:r w:rsidRPr="00E563E8">
        <w:rPr>
          <w:rFonts w:cs="Times New Roman"/>
          <w:noProof/>
          <w:szCs w:val="24"/>
          <w:lang w:val="en-US"/>
        </w:rPr>
        <w:tab/>
        <w:t xml:space="preserve">Bundy KJ, Butler MF, Hochman RF. An investigation of the bacteriostatic properties of pure metals. </w:t>
      </w:r>
      <w:r w:rsidRPr="00E563E8">
        <w:rPr>
          <w:rFonts w:cs="Times New Roman"/>
          <w:i/>
          <w:iCs/>
          <w:noProof/>
          <w:szCs w:val="24"/>
          <w:lang w:val="en-US"/>
        </w:rPr>
        <w:t>J Biomed Mater Res</w:t>
      </w:r>
      <w:r w:rsidRPr="00E563E8">
        <w:rPr>
          <w:rFonts w:cs="Times New Roman"/>
          <w:noProof/>
          <w:szCs w:val="24"/>
          <w:lang w:val="en-US"/>
        </w:rPr>
        <w:t>. 1980;14(5):653-663. doi:10.1002/jbm.820140511</w:t>
      </w:r>
    </w:p>
    <w:p w14:paraId="339A415A"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26. </w:t>
      </w:r>
      <w:r w:rsidRPr="00E563E8">
        <w:rPr>
          <w:rFonts w:cs="Times New Roman"/>
          <w:noProof/>
          <w:szCs w:val="24"/>
          <w:lang w:val="en-US"/>
        </w:rPr>
        <w:tab/>
        <w:t xml:space="preserve">He X, Hartlieb E, Rothmund L, et al. Intracellular uptake and toxicity of three different Titanium particles. </w:t>
      </w:r>
      <w:r w:rsidRPr="00E563E8">
        <w:rPr>
          <w:rFonts w:cs="Times New Roman"/>
          <w:i/>
          <w:iCs/>
          <w:noProof/>
          <w:szCs w:val="24"/>
          <w:lang w:val="en-US"/>
        </w:rPr>
        <w:t>Dent Mater</w:t>
      </w:r>
      <w:r w:rsidRPr="00E563E8">
        <w:rPr>
          <w:rFonts w:cs="Times New Roman"/>
          <w:noProof/>
          <w:szCs w:val="24"/>
          <w:lang w:val="en-US"/>
        </w:rPr>
        <w:t>. 2015;31(6):734-744. doi:https://doi.org/10.1016/j.dental.2015.03.017</w:t>
      </w:r>
    </w:p>
    <w:p w14:paraId="3FC9F8C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27. </w:t>
      </w:r>
      <w:r w:rsidRPr="00E563E8">
        <w:rPr>
          <w:rFonts w:cs="Times New Roman"/>
          <w:noProof/>
          <w:szCs w:val="24"/>
          <w:lang w:val="en-US"/>
        </w:rPr>
        <w:tab/>
        <w:t xml:space="preserve">Mohammadi S, Mohammadi P, Hosseinkhani S, Shipour R. Antifungal Activity of TiO2 nanoparticles and EDTA on Candida albicans Biofilms. </w:t>
      </w:r>
      <w:r w:rsidRPr="00E563E8">
        <w:rPr>
          <w:rFonts w:cs="Times New Roman"/>
          <w:i/>
          <w:iCs/>
          <w:noProof/>
          <w:szCs w:val="24"/>
          <w:lang w:val="en-US"/>
        </w:rPr>
        <w:t>Infect Epidemiol Med</w:t>
      </w:r>
      <w:r w:rsidRPr="00E563E8">
        <w:rPr>
          <w:rFonts w:cs="Times New Roman"/>
          <w:noProof/>
          <w:szCs w:val="24"/>
          <w:lang w:val="en-US"/>
        </w:rPr>
        <w:t>. 2013;1:33-38.</w:t>
      </w:r>
    </w:p>
    <w:p w14:paraId="4259D764"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28. </w:t>
      </w:r>
      <w:r w:rsidRPr="00E563E8">
        <w:rPr>
          <w:rFonts w:cs="Times New Roman"/>
          <w:noProof/>
          <w:szCs w:val="24"/>
          <w:lang w:val="en-US"/>
        </w:rPr>
        <w:tab/>
        <w:t xml:space="preserve">Dizaj SM, Lotfipour F, Barzegar-Jalali M, Zarrintan MH, Adibkia K. Antimicrobial activity of the metals and metal oxide nanoparticles. </w:t>
      </w:r>
      <w:r w:rsidRPr="00E563E8">
        <w:rPr>
          <w:rFonts w:cs="Times New Roman"/>
          <w:i/>
          <w:iCs/>
          <w:noProof/>
          <w:szCs w:val="24"/>
          <w:lang w:val="en-US"/>
        </w:rPr>
        <w:t>Mater Sci Eng C</w:t>
      </w:r>
      <w:r w:rsidRPr="00E563E8">
        <w:rPr>
          <w:rFonts w:cs="Times New Roman"/>
          <w:noProof/>
          <w:szCs w:val="24"/>
          <w:lang w:val="en-US"/>
        </w:rPr>
        <w:t>. 2014;44:278-284. doi:https://doi.org/10.1016/j.msec.2014.08.031</w:t>
      </w:r>
    </w:p>
    <w:p w14:paraId="0BA8DCCA"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29. </w:t>
      </w:r>
      <w:r w:rsidRPr="00E563E8">
        <w:rPr>
          <w:rFonts w:cs="Times New Roman"/>
          <w:noProof/>
          <w:szCs w:val="24"/>
          <w:lang w:val="en-US"/>
        </w:rPr>
        <w:tab/>
        <w:t xml:space="preserve">Yu JC, Ho W, Lin J, Yip H, Wong PK. Photocatalytic Activity, Antibacterial Effect, and Photoinduced Hydrophilicity of TiO2 Films Coated on a Stainless Steel Substrate. </w:t>
      </w:r>
      <w:r w:rsidRPr="00E563E8">
        <w:rPr>
          <w:rFonts w:cs="Times New Roman"/>
          <w:i/>
          <w:iCs/>
          <w:noProof/>
          <w:szCs w:val="24"/>
          <w:lang w:val="en-US"/>
        </w:rPr>
        <w:t>Environ Sci Technol</w:t>
      </w:r>
      <w:r w:rsidRPr="00E563E8">
        <w:rPr>
          <w:rFonts w:cs="Times New Roman"/>
          <w:noProof/>
          <w:szCs w:val="24"/>
          <w:lang w:val="en-US"/>
        </w:rPr>
        <w:t>. 2003;37(10):2296-2301. doi:10.1021/es0259483</w:t>
      </w:r>
    </w:p>
    <w:p w14:paraId="682AF378" w14:textId="77777777" w:rsidR="0004327C" w:rsidRPr="0004327C" w:rsidRDefault="0004327C" w:rsidP="0004327C">
      <w:pPr>
        <w:widowControl w:val="0"/>
        <w:autoSpaceDE w:val="0"/>
        <w:autoSpaceDN w:val="0"/>
        <w:adjustRightInd w:val="0"/>
        <w:spacing w:line="240" w:lineRule="auto"/>
        <w:ind w:left="640" w:hanging="640"/>
        <w:rPr>
          <w:rFonts w:cs="Times New Roman"/>
          <w:noProof/>
          <w:szCs w:val="24"/>
        </w:rPr>
      </w:pPr>
      <w:r w:rsidRPr="00E563E8">
        <w:rPr>
          <w:rFonts w:cs="Times New Roman"/>
          <w:noProof/>
          <w:szCs w:val="24"/>
          <w:lang w:val="en-US"/>
        </w:rPr>
        <w:t xml:space="preserve">30. </w:t>
      </w:r>
      <w:r w:rsidRPr="00E563E8">
        <w:rPr>
          <w:rFonts w:cs="Times New Roman"/>
          <w:noProof/>
          <w:szCs w:val="24"/>
          <w:lang w:val="en-US"/>
        </w:rPr>
        <w:tab/>
        <w:t xml:space="preserve">Rincón A-G, Pulgarin C. Effect of pH, inorganic ions, organic matter and H2O2 on E. coli K12 photocatalytic inactivation by TiO2: Implications in solar water disinfection. </w:t>
      </w:r>
      <w:r w:rsidRPr="0004327C">
        <w:rPr>
          <w:rFonts w:cs="Times New Roman"/>
          <w:i/>
          <w:iCs/>
          <w:noProof/>
          <w:szCs w:val="24"/>
        </w:rPr>
        <w:t>Appl Catal B Environ</w:t>
      </w:r>
      <w:r w:rsidRPr="0004327C">
        <w:rPr>
          <w:rFonts w:cs="Times New Roman"/>
          <w:noProof/>
          <w:szCs w:val="24"/>
        </w:rPr>
        <w:t>. 2004;51(4):283-302. doi:https://doi.org/10.1016/j.apcatb.2004.03.007</w:t>
      </w:r>
    </w:p>
    <w:p w14:paraId="52CB2460"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04327C">
        <w:rPr>
          <w:rFonts w:cs="Times New Roman"/>
          <w:noProof/>
          <w:szCs w:val="24"/>
        </w:rPr>
        <w:t xml:space="preserve">31. </w:t>
      </w:r>
      <w:r w:rsidRPr="0004327C">
        <w:rPr>
          <w:rFonts w:cs="Times New Roman"/>
          <w:noProof/>
          <w:szCs w:val="24"/>
        </w:rPr>
        <w:tab/>
        <w:t xml:space="preserve">Besinis A, De Peralta T, Handy RD. </w:t>
      </w:r>
      <w:r w:rsidRPr="00E563E8">
        <w:rPr>
          <w:rFonts w:cs="Times New Roman"/>
          <w:noProof/>
          <w:szCs w:val="24"/>
          <w:lang w:val="en-US"/>
        </w:rPr>
        <w:t xml:space="preserve">The antibacterial effects of silver, titanium dioxide and silica dioxide nanoparticles compared to the dental disinfectant chlorhexidine on Streptococcus mutans using a suite of bioassays. </w:t>
      </w:r>
      <w:r w:rsidRPr="00E563E8">
        <w:rPr>
          <w:rFonts w:cs="Times New Roman"/>
          <w:i/>
          <w:iCs/>
          <w:noProof/>
          <w:szCs w:val="24"/>
          <w:lang w:val="en-US"/>
        </w:rPr>
        <w:t>Nanotoxicology</w:t>
      </w:r>
      <w:r w:rsidRPr="00E563E8">
        <w:rPr>
          <w:rFonts w:cs="Times New Roman"/>
          <w:noProof/>
          <w:szCs w:val="24"/>
          <w:lang w:val="en-US"/>
        </w:rPr>
        <w:t>. 2014;8(1):1-16. doi:10.3109/17435390.2012.742935</w:t>
      </w:r>
    </w:p>
    <w:p w14:paraId="563F5249"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32. </w:t>
      </w:r>
      <w:r w:rsidRPr="00E563E8">
        <w:rPr>
          <w:rFonts w:cs="Times New Roman"/>
          <w:noProof/>
          <w:szCs w:val="24"/>
          <w:lang w:val="en-US"/>
        </w:rPr>
        <w:tab/>
        <w:t xml:space="preserve">Allahverdiyev AM, Abamor ES, Bagirova M, Rafailovich M. Antimicrobial effects of TiO2 and Ag2O nanoparticles against drug-resistant bacteria and leishmania parasites. </w:t>
      </w:r>
      <w:r w:rsidRPr="00E563E8">
        <w:rPr>
          <w:rFonts w:cs="Times New Roman"/>
          <w:i/>
          <w:iCs/>
          <w:noProof/>
          <w:szCs w:val="24"/>
          <w:lang w:val="en-US"/>
        </w:rPr>
        <w:t>Future Microbiol</w:t>
      </w:r>
      <w:r w:rsidRPr="00E563E8">
        <w:rPr>
          <w:rFonts w:cs="Times New Roman"/>
          <w:noProof/>
          <w:szCs w:val="24"/>
          <w:lang w:val="en-US"/>
        </w:rPr>
        <w:t>. 2011;6(8):933-940. doi:10.2217/fmb.11.78</w:t>
      </w:r>
    </w:p>
    <w:p w14:paraId="5644AB6F"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33. </w:t>
      </w:r>
      <w:r w:rsidRPr="00E563E8">
        <w:rPr>
          <w:rFonts w:cs="Times New Roman"/>
          <w:noProof/>
          <w:szCs w:val="24"/>
          <w:lang w:val="en-US"/>
        </w:rPr>
        <w:tab/>
        <w:t xml:space="preserve">Zaleska A. Doped-TiO2: A Review. </w:t>
      </w:r>
      <w:r w:rsidRPr="00E563E8">
        <w:rPr>
          <w:rFonts w:cs="Times New Roman"/>
          <w:i/>
          <w:iCs/>
          <w:noProof/>
          <w:szCs w:val="24"/>
          <w:lang w:val="en-US"/>
        </w:rPr>
        <w:t>Recent Patents Eng</w:t>
      </w:r>
      <w:r w:rsidRPr="00E563E8">
        <w:rPr>
          <w:rFonts w:cs="Times New Roman"/>
          <w:noProof/>
          <w:szCs w:val="24"/>
          <w:lang w:val="en-US"/>
        </w:rPr>
        <w:t>. 2008;2(3):157-164. doi:http://dx.doi.org/10.2174/187221208786306289</w:t>
      </w:r>
    </w:p>
    <w:p w14:paraId="2371B743"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34. </w:t>
      </w:r>
      <w:r w:rsidRPr="00E563E8">
        <w:rPr>
          <w:rFonts w:cs="Times New Roman"/>
          <w:noProof/>
          <w:szCs w:val="24"/>
          <w:lang w:val="en-US"/>
        </w:rPr>
        <w:tab/>
        <w:t xml:space="preserve">Ishikawa S, Matsumura Y, Katoh-Kubo K, Tsuchido T. Antibacterial activity of surfactants against Escherichia coli cells is influenced by carbon source and anaerobiosis. </w:t>
      </w:r>
      <w:r w:rsidRPr="00E563E8">
        <w:rPr>
          <w:rFonts w:cs="Times New Roman"/>
          <w:i/>
          <w:iCs/>
          <w:noProof/>
          <w:szCs w:val="24"/>
          <w:lang w:val="en-US"/>
        </w:rPr>
        <w:t>J Appl Microbiol</w:t>
      </w:r>
      <w:r w:rsidRPr="00E563E8">
        <w:rPr>
          <w:rFonts w:cs="Times New Roman"/>
          <w:noProof/>
          <w:szCs w:val="24"/>
          <w:lang w:val="en-US"/>
        </w:rPr>
        <w:t>. 2002;93(2):302-309. doi:10.1046/j.1365-2672.2002.01690.x</w:t>
      </w:r>
    </w:p>
    <w:p w14:paraId="5C905B6E"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35. </w:t>
      </w:r>
      <w:r w:rsidRPr="00E563E8">
        <w:rPr>
          <w:rFonts w:cs="Times New Roman"/>
          <w:noProof/>
          <w:szCs w:val="24"/>
          <w:lang w:val="en-US"/>
        </w:rPr>
        <w:tab/>
        <w:t xml:space="preserve">Rosen MJ. Characteristic Features of Surfactants. </w:t>
      </w:r>
      <w:r w:rsidRPr="00E563E8">
        <w:rPr>
          <w:rFonts w:cs="Times New Roman"/>
          <w:i/>
          <w:iCs/>
          <w:noProof/>
          <w:szCs w:val="24"/>
          <w:lang w:val="en-US"/>
        </w:rPr>
        <w:t>Surfactants Interfacial Phenom</w:t>
      </w:r>
      <w:r w:rsidRPr="00E563E8">
        <w:rPr>
          <w:rFonts w:cs="Times New Roman"/>
          <w:noProof/>
          <w:szCs w:val="24"/>
          <w:lang w:val="en-US"/>
        </w:rPr>
        <w:t>. July 2004:1-33. doi:doi:10.1002/0471670561.ch1</w:t>
      </w:r>
    </w:p>
    <w:p w14:paraId="29107FDA"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36. </w:t>
      </w:r>
      <w:r w:rsidRPr="00E563E8">
        <w:rPr>
          <w:rFonts w:cs="Times New Roman"/>
          <w:noProof/>
          <w:szCs w:val="24"/>
          <w:lang w:val="en-US"/>
        </w:rPr>
        <w:tab/>
        <w:t xml:space="preserve">Subík J, Takácsová G, Pšenák M, Devínsky F. Antimicrobial Activity of Amine Oxides: Mode of Action and Structure-Activity Correlation. </w:t>
      </w:r>
      <w:r w:rsidRPr="00E563E8">
        <w:rPr>
          <w:rFonts w:cs="Times New Roman"/>
          <w:i/>
          <w:iCs/>
          <w:noProof/>
          <w:szCs w:val="24"/>
          <w:lang w:val="en-US"/>
        </w:rPr>
        <w:t>Antimicrob Agents Chemother</w:t>
      </w:r>
      <w:r w:rsidRPr="00E563E8">
        <w:rPr>
          <w:rFonts w:cs="Times New Roman"/>
          <w:noProof/>
          <w:szCs w:val="24"/>
          <w:lang w:val="en-US"/>
        </w:rPr>
        <w:t>. 1977;12:139-146. doi:10.1128/AAC.12.2.139</w:t>
      </w:r>
    </w:p>
    <w:p w14:paraId="79058F74"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37. </w:t>
      </w:r>
      <w:r w:rsidRPr="00E563E8">
        <w:rPr>
          <w:rFonts w:cs="Times New Roman"/>
          <w:noProof/>
          <w:szCs w:val="24"/>
          <w:lang w:val="en-US"/>
        </w:rPr>
        <w:tab/>
        <w:t xml:space="preserve">Jaine JE, Mucalo MR. Measurements of the wettability of catalyst support materials using the Washburn capillary rise technique. </w:t>
      </w:r>
      <w:r w:rsidRPr="00E563E8">
        <w:rPr>
          <w:rFonts w:cs="Times New Roman"/>
          <w:i/>
          <w:iCs/>
          <w:noProof/>
          <w:szCs w:val="24"/>
          <w:lang w:val="en-US"/>
        </w:rPr>
        <w:t>Powder Technol</w:t>
      </w:r>
      <w:r w:rsidRPr="00E563E8">
        <w:rPr>
          <w:rFonts w:cs="Times New Roman"/>
          <w:noProof/>
          <w:szCs w:val="24"/>
          <w:lang w:val="en-US"/>
        </w:rPr>
        <w:t>. 2015;276:123-128. doi:https://doi.org/10.1016/j.powtec.2015.02.026</w:t>
      </w:r>
    </w:p>
    <w:p w14:paraId="655D5D5C"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38. </w:t>
      </w:r>
      <w:r w:rsidRPr="00E563E8">
        <w:rPr>
          <w:rFonts w:cs="Times New Roman"/>
          <w:noProof/>
          <w:szCs w:val="24"/>
          <w:lang w:val="en-US"/>
        </w:rPr>
        <w:tab/>
        <w:t xml:space="preserve">Lefebvre G, Galet L, Chamayou A. Dry coating of talc particles with fumed silica: Influence of the silica concentration on the wettability and dispersibility of the composite particles. </w:t>
      </w:r>
      <w:r w:rsidRPr="00E563E8">
        <w:rPr>
          <w:rFonts w:cs="Times New Roman"/>
          <w:i/>
          <w:iCs/>
          <w:noProof/>
          <w:szCs w:val="24"/>
          <w:lang w:val="en-US"/>
        </w:rPr>
        <w:t>Powder Technol</w:t>
      </w:r>
      <w:r w:rsidRPr="00E563E8">
        <w:rPr>
          <w:rFonts w:cs="Times New Roman"/>
          <w:noProof/>
          <w:szCs w:val="24"/>
          <w:lang w:val="en-US"/>
        </w:rPr>
        <w:t>. 2011;208(2):372-377. doi:https://doi.org/10.1016/j.powtec.2010.08.031</w:t>
      </w:r>
    </w:p>
    <w:p w14:paraId="49D374F4" w14:textId="77777777" w:rsidR="0004327C" w:rsidRPr="0004327C" w:rsidRDefault="0004327C" w:rsidP="0004327C">
      <w:pPr>
        <w:widowControl w:val="0"/>
        <w:autoSpaceDE w:val="0"/>
        <w:autoSpaceDN w:val="0"/>
        <w:adjustRightInd w:val="0"/>
        <w:spacing w:line="240" w:lineRule="auto"/>
        <w:ind w:left="640" w:hanging="640"/>
        <w:rPr>
          <w:rFonts w:cs="Times New Roman"/>
          <w:noProof/>
          <w:szCs w:val="24"/>
        </w:rPr>
      </w:pPr>
      <w:r w:rsidRPr="00E563E8">
        <w:rPr>
          <w:rFonts w:cs="Times New Roman"/>
          <w:noProof/>
          <w:szCs w:val="24"/>
          <w:lang w:val="en-US"/>
        </w:rPr>
        <w:t xml:space="preserve">39. </w:t>
      </w:r>
      <w:r w:rsidRPr="00E563E8">
        <w:rPr>
          <w:rFonts w:cs="Times New Roman"/>
          <w:noProof/>
          <w:szCs w:val="24"/>
          <w:lang w:val="en-US"/>
        </w:rPr>
        <w:tab/>
        <w:t xml:space="preserve">Ji L, Shi B. A novel method for determining surface free energy of powders using Washburn’s equation without calculating capillary factor and contact angle. </w:t>
      </w:r>
      <w:r w:rsidRPr="0004327C">
        <w:rPr>
          <w:rFonts w:cs="Times New Roman"/>
          <w:i/>
          <w:iCs/>
          <w:noProof/>
          <w:szCs w:val="24"/>
        </w:rPr>
        <w:t>Powder Technol</w:t>
      </w:r>
      <w:r w:rsidRPr="0004327C">
        <w:rPr>
          <w:rFonts w:cs="Times New Roman"/>
          <w:noProof/>
          <w:szCs w:val="24"/>
        </w:rPr>
        <w:t>. 2015;271:88-92. doi:https://doi.org/10.1016/j.powtec.2014.11.002</w:t>
      </w:r>
    </w:p>
    <w:p w14:paraId="503A8902"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04327C">
        <w:rPr>
          <w:rFonts w:cs="Times New Roman"/>
          <w:noProof/>
          <w:szCs w:val="24"/>
        </w:rPr>
        <w:t xml:space="preserve">40. </w:t>
      </w:r>
      <w:r w:rsidRPr="0004327C">
        <w:rPr>
          <w:rFonts w:cs="Times New Roman"/>
          <w:noProof/>
          <w:szCs w:val="24"/>
        </w:rPr>
        <w:tab/>
        <w:t xml:space="preserve">N. S. Da-Silva, F. Marciano, A. O Lobo, V. Trava-Airoldi, C. Pacheco-Soares, C. C Wachesk. </w:t>
      </w:r>
      <w:r w:rsidRPr="00E563E8">
        <w:rPr>
          <w:rFonts w:cs="Times New Roman"/>
          <w:noProof/>
          <w:szCs w:val="24"/>
          <w:lang w:val="en-US"/>
        </w:rPr>
        <w:t xml:space="preserve">Thermodynamic aspects of fibroblastic spreading on diamond-like carbon films containing titanium dioxide nanoparticles. </w:t>
      </w:r>
      <w:r w:rsidRPr="00E563E8">
        <w:rPr>
          <w:rFonts w:cs="Times New Roman"/>
          <w:i/>
          <w:iCs/>
          <w:noProof/>
          <w:szCs w:val="24"/>
          <w:lang w:val="en-US"/>
        </w:rPr>
        <w:t>Theor Chem Acc</w:t>
      </w:r>
      <w:r w:rsidRPr="00E563E8">
        <w:rPr>
          <w:rFonts w:cs="Times New Roman"/>
          <w:noProof/>
          <w:szCs w:val="24"/>
          <w:lang w:val="en-US"/>
        </w:rPr>
        <w:t>. 2011;130(4-6):1085-1093. doi:https://doi.org/10.1007/s00214-011-1018-5</w:t>
      </w:r>
    </w:p>
    <w:p w14:paraId="70A6FFCB"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41. </w:t>
      </w:r>
      <w:r w:rsidRPr="00E563E8">
        <w:rPr>
          <w:rFonts w:cs="Times New Roman"/>
          <w:noProof/>
          <w:szCs w:val="24"/>
          <w:lang w:val="en-US"/>
        </w:rPr>
        <w:tab/>
        <w:t xml:space="preserve">Barnard AS, Zapol P, Curtiss LA. Modeling the morphology and phase stability of TiO2 nanocrystals in water. </w:t>
      </w:r>
      <w:r w:rsidRPr="00E563E8">
        <w:rPr>
          <w:rFonts w:cs="Times New Roman"/>
          <w:i/>
          <w:iCs/>
          <w:noProof/>
          <w:szCs w:val="24"/>
          <w:lang w:val="en-US"/>
        </w:rPr>
        <w:t>J Chem Theory Comput</w:t>
      </w:r>
      <w:r w:rsidRPr="00E563E8">
        <w:rPr>
          <w:rFonts w:cs="Times New Roman"/>
          <w:noProof/>
          <w:szCs w:val="24"/>
          <w:lang w:val="en-US"/>
        </w:rPr>
        <w:t>. 2005;1(1):107-116. doi:10.1021/ct0499635</w:t>
      </w:r>
    </w:p>
    <w:p w14:paraId="51B0086E"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42. </w:t>
      </w:r>
      <w:r w:rsidRPr="00E563E8">
        <w:rPr>
          <w:rFonts w:cs="Times New Roman"/>
          <w:noProof/>
          <w:szCs w:val="24"/>
          <w:lang w:val="en-US"/>
        </w:rPr>
        <w:tab/>
        <w:t xml:space="preserve">Dzwigaj S, Arrouvel C, Breysse M, et al. DFT makes the morphologies of anatase-TiO2 nanoparticles visible to IR spectroscopy. </w:t>
      </w:r>
      <w:r w:rsidRPr="00E563E8">
        <w:rPr>
          <w:rFonts w:cs="Times New Roman"/>
          <w:i/>
          <w:iCs/>
          <w:noProof/>
          <w:szCs w:val="24"/>
          <w:lang w:val="en-US"/>
        </w:rPr>
        <w:t>J Catal</w:t>
      </w:r>
      <w:r w:rsidRPr="00E563E8">
        <w:rPr>
          <w:rFonts w:cs="Times New Roman"/>
          <w:noProof/>
          <w:szCs w:val="24"/>
          <w:lang w:val="en-US"/>
        </w:rPr>
        <w:t>. 2005;236(2):245-250. doi:https://doi.org/10.1016/j.jcat.2005.09.034</w:t>
      </w:r>
    </w:p>
    <w:p w14:paraId="69403D33"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43. </w:t>
      </w:r>
      <w:r w:rsidRPr="00E563E8">
        <w:rPr>
          <w:rFonts w:cs="Times New Roman"/>
          <w:noProof/>
          <w:szCs w:val="24"/>
          <w:lang w:val="en-US"/>
        </w:rPr>
        <w:tab/>
        <w:t xml:space="preserve">Buckton G, Newton JM. Assessment of the wettability of powders by use of compressed powder discs. </w:t>
      </w:r>
      <w:r w:rsidRPr="00E563E8">
        <w:rPr>
          <w:rFonts w:cs="Times New Roman"/>
          <w:i/>
          <w:iCs/>
          <w:noProof/>
          <w:szCs w:val="24"/>
          <w:lang w:val="en-US"/>
        </w:rPr>
        <w:t>Powder Technol</w:t>
      </w:r>
      <w:r w:rsidRPr="00E563E8">
        <w:rPr>
          <w:rFonts w:cs="Times New Roman"/>
          <w:noProof/>
          <w:szCs w:val="24"/>
          <w:lang w:val="en-US"/>
        </w:rPr>
        <w:t>. 1986;46(2):201-208. doi:https://doi.org/10.1016/0032-5910(86)80027-4</w:t>
      </w:r>
    </w:p>
    <w:p w14:paraId="6078B42D" w14:textId="77777777" w:rsidR="0004327C" w:rsidRPr="0004327C" w:rsidRDefault="0004327C" w:rsidP="0004327C">
      <w:pPr>
        <w:widowControl w:val="0"/>
        <w:autoSpaceDE w:val="0"/>
        <w:autoSpaceDN w:val="0"/>
        <w:adjustRightInd w:val="0"/>
        <w:spacing w:line="240" w:lineRule="auto"/>
        <w:ind w:left="640" w:hanging="640"/>
        <w:rPr>
          <w:rFonts w:cs="Times New Roman"/>
          <w:noProof/>
          <w:szCs w:val="24"/>
        </w:rPr>
      </w:pPr>
      <w:r w:rsidRPr="00E563E8">
        <w:rPr>
          <w:rFonts w:cs="Times New Roman"/>
          <w:noProof/>
          <w:szCs w:val="24"/>
          <w:lang w:val="en-US"/>
        </w:rPr>
        <w:t xml:space="preserve">44. </w:t>
      </w:r>
      <w:r w:rsidRPr="00E563E8">
        <w:rPr>
          <w:rFonts w:cs="Times New Roman"/>
          <w:noProof/>
          <w:szCs w:val="24"/>
          <w:lang w:val="en-US"/>
        </w:rPr>
        <w:tab/>
        <w:t xml:space="preserve">Honda RJ, Keene V, Daniels L, Walker SL. Removal of TiO2 nanoparticles during primary water treatment: role of coagulant type, dose, and nanoparticle concentration. </w:t>
      </w:r>
      <w:r w:rsidRPr="0004327C">
        <w:rPr>
          <w:rFonts w:cs="Times New Roman"/>
          <w:i/>
          <w:iCs/>
          <w:noProof/>
          <w:szCs w:val="24"/>
        </w:rPr>
        <w:t>Environ Eng Sci</w:t>
      </w:r>
      <w:r w:rsidRPr="0004327C">
        <w:rPr>
          <w:rFonts w:cs="Times New Roman"/>
          <w:noProof/>
          <w:szCs w:val="24"/>
        </w:rPr>
        <w:t>. 2014;31(3):127-134. doi:10.1089/ees.2013.0269</w:t>
      </w:r>
    </w:p>
    <w:p w14:paraId="11A51CB5"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04327C">
        <w:rPr>
          <w:rFonts w:cs="Times New Roman"/>
          <w:noProof/>
          <w:szCs w:val="24"/>
        </w:rPr>
        <w:t xml:space="preserve">45. </w:t>
      </w:r>
      <w:r w:rsidRPr="0004327C">
        <w:rPr>
          <w:rFonts w:cs="Times New Roman"/>
          <w:noProof/>
          <w:szCs w:val="24"/>
        </w:rPr>
        <w:tab/>
        <w:t xml:space="preserve">Pérez-Díaz MA, Boegli L, James G, et al. </w:t>
      </w:r>
      <w:r w:rsidRPr="00E563E8">
        <w:rPr>
          <w:rFonts w:cs="Times New Roman"/>
          <w:noProof/>
          <w:szCs w:val="24"/>
          <w:lang w:val="en-US"/>
        </w:rPr>
        <w:t xml:space="preserve">Silver nanoparticles with antimicrobial activities against Streptococcus mutans and their cytotoxic effect. </w:t>
      </w:r>
      <w:r w:rsidRPr="00E563E8">
        <w:rPr>
          <w:rFonts w:cs="Times New Roman"/>
          <w:i/>
          <w:iCs/>
          <w:noProof/>
          <w:szCs w:val="24"/>
          <w:lang w:val="en-US"/>
        </w:rPr>
        <w:t>Mater Sci Eng C</w:t>
      </w:r>
      <w:r w:rsidRPr="00E563E8">
        <w:rPr>
          <w:rFonts w:cs="Times New Roman"/>
          <w:noProof/>
          <w:szCs w:val="24"/>
          <w:lang w:val="en-US"/>
        </w:rPr>
        <w:t>. 2015;55:360-366. doi:https://doi.org/10.1016/j.msec.2015.05.036</w:t>
      </w:r>
    </w:p>
    <w:p w14:paraId="064B16FC"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46. </w:t>
      </w:r>
      <w:r w:rsidRPr="00E563E8">
        <w:rPr>
          <w:rFonts w:cs="Times New Roman"/>
          <w:noProof/>
          <w:szCs w:val="24"/>
          <w:lang w:val="en-US"/>
        </w:rPr>
        <w:tab/>
        <w:t xml:space="preserve">Tavassoli Hojati S, Alaghemand H, Hamze F, et al. Antibacterial, physical and mechanical properties of flowable resin composites containing zinc oxide nanoparticles. </w:t>
      </w:r>
      <w:r w:rsidRPr="00E563E8">
        <w:rPr>
          <w:rFonts w:cs="Times New Roman"/>
          <w:i/>
          <w:iCs/>
          <w:noProof/>
          <w:szCs w:val="24"/>
          <w:lang w:val="en-US"/>
        </w:rPr>
        <w:t>Dent Mater</w:t>
      </w:r>
      <w:r w:rsidRPr="00E563E8">
        <w:rPr>
          <w:rFonts w:cs="Times New Roman"/>
          <w:noProof/>
          <w:szCs w:val="24"/>
          <w:lang w:val="en-US"/>
        </w:rPr>
        <w:t>. 2013;29(5):495-505. doi:https://doi.org/10.1016/j.dental.2013.03.011</w:t>
      </w:r>
    </w:p>
    <w:p w14:paraId="09BD831D"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47. </w:t>
      </w:r>
      <w:r w:rsidRPr="00E563E8">
        <w:rPr>
          <w:rFonts w:cs="Times New Roman"/>
          <w:noProof/>
          <w:szCs w:val="24"/>
          <w:lang w:val="en-US"/>
        </w:rPr>
        <w:tab/>
        <w:t xml:space="preserve">Good RJ, van Oss CJ. </w:t>
      </w:r>
      <w:r w:rsidRPr="00E563E8">
        <w:rPr>
          <w:rFonts w:cs="Times New Roman"/>
          <w:i/>
          <w:iCs/>
          <w:noProof/>
          <w:szCs w:val="24"/>
          <w:lang w:val="en-US"/>
        </w:rPr>
        <w:t>Modern Approaches to Wettability: Theory and Applications</w:t>
      </w:r>
      <w:r w:rsidRPr="00E563E8">
        <w:rPr>
          <w:rFonts w:cs="Times New Roman"/>
          <w:noProof/>
          <w:szCs w:val="24"/>
          <w:lang w:val="en-US"/>
        </w:rPr>
        <w:t>.; 1992.</w:t>
      </w:r>
    </w:p>
    <w:p w14:paraId="465BA08A"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48. </w:t>
      </w:r>
      <w:r w:rsidRPr="00E563E8">
        <w:rPr>
          <w:rFonts w:cs="Times New Roman"/>
          <w:noProof/>
          <w:szCs w:val="24"/>
          <w:lang w:val="en-US"/>
        </w:rPr>
        <w:tab/>
        <w:t xml:space="preserve">Redzuan M, Tripathy M, Majeed A. Solubility enhancement of simvastatin and atorvastatin by arginine: Contact angle determination, wettability and surface energy characteristics. </w:t>
      </w:r>
      <w:r w:rsidRPr="00E563E8">
        <w:rPr>
          <w:rFonts w:cs="Times New Roman"/>
          <w:i/>
          <w:iCs/>
          <w:noProof/>
          <w:szCs w:val="24"/>
          <w:lang w:val="en-US"/>
        </w:rPr>
        <w:t>J Mol Liq</w:t>
      </w:r>
      <w:r w:rsidRPr="00E563E8">
        <w:rPr>
          <w:rFonts w:cs="Times New Roman"/>
          <w:noProof/>
          <w:szCs w:val="24"/>
          <w:lang w:val="en-US"/>
        </w:rPr>
        <w:t>. 2017;240. doi:10.1016/j.molliq.2017.05.068</w:t>
      </w:r>
    </w:p>
    <w:p w14:paraId="442AA00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49. </w:t>
      </w:r>
      <w:r w:rsidRPr="00E563E8">
        <w:rPr>
          <w:rFonts w:cs="Times New Roman"/>
          <w:noProof/>
          <w:szCs w:val="24"/>
          <w:lang w:val="en-US"/>
        </w:rPr>
        <w:tab/>
        <w:t xml:space="preserve">van Oss CJ, Chaudhury MK, Good RJ. Monopolar surfaces. </w:t>
      </w:r>
      <w:r w:rsidRPr="00E563E8">
        <w:rPr>
          <w:rFonts w:cs="Times New Roman"/>
          <w:i/>
          <w:iCs/>
          <w:noProof/>
          <w:szCs w:val="24"/>
          <w:lang w:val="en-US"/>
        </w:rPr>
        <w:t>Adv Colloid Interface Sci</w:t>
      </w:r>
      <w:r w:rsidRPr="00E563E8">
        <w:rPr>
          <w:rFonts w:cs="Times New Roman"/>
          <w:noProof/>
          <w:szCs w:val="24"/>
          <w:lang w:val="en-US"/>
        </w:rPr>
        <w:t>. 1987;28:35-64. doi:https://doi.org/10.1016/0001-8686(87)80008-8</w:t>
      </w:r>
    </w:p>
    <w:p w14:paraId="324A1AD7"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50. </w:t>
      </w:r>
      <w:r w:rsidRPr="00E563E8">
        <w:rPr>
          <w:rFonts w:cs="Times New Roman"/>
          <w:noProof/>
          <w:szCs w:val="24"/>
          <w:lang w:val="en-US"/>
        </w:rPr>
        <w:tab/>
        <w:t xml:space="preserve">Alghunaim A, Kirdponpattara S, Newby BZ. Techniques for determining contact angle and wettability of powders. </w:t>
      </w:r>
      <w:r w:rsidRPr="00E563E8">
        <w:rPr>
          <w:rFonts w:cs="Times New Roman"/>
          <w:i/>
          <w:iCs/>
          <w:noProof/>
          <w:szCs w:val="24"/>
          <w:lang w:val="en-US"/>
        </w:rPr>
        <w:t>Powder Technol</w:t>
      </w:r>
      <w:r w:rsidRPr="00E563E8">
        <w:rPr>
          <w:rFonts w:cs="Times New Roman"/>
          <w:noProof/>
          <w:szCs w:val="24"/>
          <w:lang w:val="en-US"/>
        </w:rPr>
        <w:t>. 2016;287:201-215. doi:https://doi.org/10.1016/j.powtec.2015.10.002</w:t>
      </w:r>
    </w:p>
    <w:p w14:paraId="5FF46BF7"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51. </w:t>
      </w:r>
      <w:r w:rsidRPr="00E563E8">
        <w:rPr>
          <w:rFonts w:cs="Times New Roman"/>
          <w:noProof/>
          <w:szCs w:val="24"/>
          <w:lang w:val="en-US"/>
        </w:rPr>
        <w:tab/>
        <w:t xml:space="preserve">Hwang JS, Lee J, Chang YH. Surface properties of silane-treated titania nanoparticles and their rheological behavior in silicone oil. </w:t>
      </w:r>
      <w:r w:rsidRPr="00E563E8">
        <w:rPr>
          <w:rFonts w:cs="Times New Roman"/>
          <w:i/>
          <w:iCs/>
          <w:noProof/>
          <w:szCs w:val="24"/>
          <w:lang w:val="en-US"/>
        </w:rPr>
        <w:t>Macromol Res</w:t>
      </w:r>
      <w:r w:rsidRPr="00E563E8">
        <w:rPr>
          <w:rFonts w:cs="Times New Roman"/>
          <w:noProof/>
          <w:szCs w:val="24"/>
          <w:lang w:val="en-US"/>
        </w:rPr>
        <w:t>. 2005;13:409-417. doi:10.1007/BF03218474</w:t>
      </w:r>
    </w:p>
    <w:p w14:paraId="3EDED5F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52. </w:t>
      </w:r>
      <w:r w:rsidRPr="00E563E8">
        <w:rPr>
          <w:rFonts w:cs="Times New Roman"/>
          <w:noProof/>
          <w:szCs w:val="24"/>
          <w:lang w:val="en-US"/>
        </w:rPr>
        <w:tab/>
        <w:t xml:space="preserve">Durán JDG, Delgado A V, González-Caballero F, Chibowski E. Surface free energy components of monodisperse zinc sulfide. </w:t>
      </w:r>
      <w:r w:rsidRPr="00E563E8">
        <w:rPr>
          <w:rFonts w:cs="Times New Roman"/>
          <w:i/>
          <w:iCs/>
          <w:noProof/>
          <w:szCs w:val="24"/>
          <w:lang w:val="en-US"/>
        </w:rPr>
        <w:t>Mater Chem Phys</w:t>
      </w:r>
      <w:r w:rsidRPr="00E563E8">
        <w:rPr>
          <w:rFonts w:cs="Times New Roman"/>
          <w:noProof/>
          <w:szCs w:val="24"/>
          <w:lang w:val="en-US"/>
        </w:rPr>
        <w:t>. 1994;38(1):42-49. doi:https://doi.org/10.1016/0254-0584(94)90143-0</w:t>
      </w:r>
    </w:p>
    <w:p w14:paraId="05C372E0"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53. </w:t>
      </w:r>
      <w:r w:rsidRPr="00E563E8">
        <w:rPr>
          <w:rFonts w:cs="Times New Roman"/>
          <w:noProof/>
          <w:szCs w:val="24"/>
          <w:lang w:val="en-US"/>
        </w:rPr>
        <w:tab/>
        <w:t xml:space="preserve">Van Oss CJ, Giese RF, Li Z, et al. Determination of contact angles and pore sizes of porous media by column and thin layer wicking. </w:t>
      </w:r>
      <w:r w:rsidRPr="00E563E8">
        <w:rPr>
          <w:rFonts w:cs="Times New Roman"/>
          <w:i/>
          <w:iCs/>
          <w:noProof/>
          <w:szCs w:val="24"/>
          <w:lang w:val="en-US"/>
        </w:rPr>
        <w:t>J Adhes Sci Technol</w:t>
      </w:r>
      <w:r w:rsidRPr="00E563E8">
        <w:rPr>
          <w:rFonts w:cs="Times New Roman"/>
          <w:noProof/>
          <w:szCs w:val="24"/>
          <w:lang w:val="en-US"/>
        </w:rPr>
        <w:t>. 1992;6(4):413-428. doi:10.1163/156856192X00755</w:t>
      </w:r>
    </w:p>
    <w:p w14:paraId="361A9E71"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54. </w:t>
      </w:r>
      <w:r w:rsidRPr="00E563E8">
        <w:rPr>
          <w:rFonts w:cs="Times New Roman"/>
          <w:noProof/>
          <w:szCs w:val="24"/>
          <w:lang w:val="en-US"/>
        </w:rPr>
        <w:tab/>
        <w:t xml:space="preserve">C. Ramírez-Flores J, Bachmann J. Analyzing capillary-rise method settings for contact-angle determination of granular media. </w:t>
      </w:r>
      <w:r w:rsidRPr="00E563E8">
        <w:rPr>
          <w:rFonts w:cs="Times New Roman"/>
          <w:i/>
          <w:iCs/>
          <w:noProof/>
          <w:szCs w:val="24"/>
          <w:lang w:val="en-US"/>
        </w:rPr>
        <w:t>J Plant Nutr Soil Sci</w:t>
      </w:r>
      <w:r w:rsidRPr="00E563E8">
        <w:rPr>
          <w:rFonts w:cs="Times New Roman"/>
          <w:noProof/>
          <w:szCs w:val="24"/>
          <w:lang w:val="en-US"/>
        </w:rPr>
        <w:t>. 2013;176(1):16-19. doi:10.1002/jpln.201100431</w:t>
      </w:r>
    </w:p>
    <w:p w14:paraId="363D2F31"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55. </w:t>
      </w:r>
      <w:r w:rsidRPr="00E563E8">
        <w:rPr>
          <w:rFonts w:cs="Times New Roman"/>
          <w:noProof/>
          <w:szCs w:val="24"/>
          <w:lang w:val="en-US"/>
        </w:rPr>
        <w:tab/>
        <w:t xml:space="preserve">Chawla A, Buckton G, Taylor KMG, Newton JM, Johnson MCR. Wilhelmy plate contact angle data on powder compacts: considerations of plate perimeter. </w:t>
      </w:r>
      <w:r w:rsidRPr="00E563E8">
        <w:rPr>
          <w:rFonts w:cs="Times New Roman"/>
          <w:i/>
          <w:iCs/>
          <w:noProof/>
          <w:szCs w:val="24"/>
          <w:lang w:val="en-US"/>
        </w:rPr>
        <w:t>Eur J Pharm Sci</w:t>
      </w:r>
      <w:r w:rsidRPr="00E563E8">
        <w:rPr>
          <w:rFonts w:cs="Times New Roman"/>
          <w:noProof/>
          <w:szCs w:val="24"/>
          <w:lang w:val="en-US"/>
        </w:rPr>
        <w:t>. 1994;2(3):253-258. doi:https://doi.org/10.1016/0928-0987(94)90030-2</w:t>
      </w:r>
    </w:p>
    <w:p w14:paraId="644831FB"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56. </w:t>
      </w:r>
      <w:r w:rsidRPr="00E563E8">
        <w:rPr>
          <w:rFonts w:cs="Times New Roman"/>
          <w:noProof/>
          <w:szCs w:val="24"/>
          <w:lang w:val="en-US"/>
        </w:rPr>
        <w:tab/>
        <w:t xml:space="preserve">Liu Z, Wang Y, Muzzio FJ, Callegari G, Drazer G. Capillary drop penetration method to characterize the liquid wetting of powders. </w:t>
      </w:r>
      <w:r w:rsidRPr="00E563E8">
        <w:rPr>
          <w:rFonts w:cs="Times New Roman"/>
          <w:i/>
          <w:iCs/>
          <w:noProof/>
          <w:szCs w:val="24"/>
          <w:lang w:val="en-US"/>
        </w:rPr>
        <w:t>Langmuir</w:t>
      </w:r>
      <w:r w:rsidRPr="00E563E8">
        <w:rPr>
          <w:rFonts w:cs="Times New Roman"/>
          <w:noProof/>
          <w:szCs w:val="24"/>
          <w:lang w:val="en-US"/>
        </w:rPr>
        <w:t>. 2017;33(1):56-65. doi:10.1021/acs.langmuir.6b03589</w:t>
      </w:r>
    </w:p>
    <w:p w14:paraId="40B25974"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57. </w:t>
      </w:r>
      <w:r w:rsidRPr="00E563E8">
        <w:rPr>
          <w:rFonts w:cs="Times New Roman"/>
          <w:noProof/>
          <w:szCs w:val="24"/>
          <w:lang w:val="en-US"/>
        </w:rPr>
        <w:tab/>
        <w:t xml:space="preserve">Bautista EV, Barillas JLM, Dutra TV, da Mata W. Capillary, viscous and gravity forces in gas-assisted gravity drainage. </w:t>
      </w:r>
      <w:r w:rsidRPr="00E563E8">
        <w:rPr>
          <w:rFonts w:cs="Times New Roman"/>
          <w:i/>
          <w:iCs/>
          <w:noProof/>
          <w:szCs w:val="24"/>
          <w:lang w:val="en-US"/>
        </w:rPr>
        <w:t>J Pet Sci Eng</w:t>
      </w:r>
      <w:r w:rsidRPr="00E563E8">
        <w:rPr>
          <w:rFonts w:cs="Times New Roman"/>
          <w:noProof/>
          <w:szCs w:val="24"/>
          <w:lang w:val="en-US"/>
        </w:rPr>
        <w:t>. 2014;122:754-760. doi:https://doi.org/10.1016/j.petrol.2014.09.018</w:t>
      </w:r>
    </w:p>
    <w:p w14:paraId="151E86DE"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58. </w:t>
      </w:r>
      <w:r w:rsidRPr="00E563E8">
        <w:rPr>
          <w:rFonts w:cs="Times New Roman"/>
          <w:noProof/>
          <w:szCs w:val="24"/>
          <w:lang w:val="en-US"/>
        </w:rPr>
        <w:tab/>
        <w:t xml:space="preserve">Mišljenović N, Mosbye J, Schüller RB, Lekang O-I, Salas-Bringas C. Physical quality and surface hydration properties of wood based pellets blended with waste vegetable oil. </w:t>
      </w:r>
      <w:r w:rsidRPr="00E563E8">
        <w:rPr>
          <w:rFonts w:cs="Times New Roman"/>
          <w:i/>
          <w:iCs/>
          <w:noProof/>
          <w:szCs w:val="24"/>
          <w:lang w:val="en-US"/>
        </w:rPr>
        <w:t>Fuel Process Technol</w:t>
      </w:r>
      <w:r w:rsidRPr="00E563E8">
        <w:rPr>
          <w:rFonts w:cs="Times New Roman"/>
          <w:noProof/>
          <w:szCs w:val="24"/>
          <w:lang w:val="en-US"/>
        </w:rPr>
        <w:t>. 2015;134:214-222. doi:https://doi.org/10.1016/j.fuproc.2015.01.037</w:t>
      </w:r>
    </w:p>
    <w:p w14:paraId="4F28B050"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59. </w:t>
      </w:r>
      <w:r w:rsidRPr="00E563E8">
        <w:rPr>
          <w:rFonts w:cs="Times New Roman"/>
          <w:noProof/>
          <w:szCs w:val="24"/>
          <w:lang w:val="en-US"/>
        </w:rPr>
        <w:tab/>
        <w:t xml:space="preserve">Wang Y, Liu Z, Muzzio F, Drazer G, Callegari G. A drop penetration method to measure powder blend wettability. </w:t>
      </w:r>
      <w:r w:rsidRPr="00E563E8">
        <w:rPr>
          <w:rFonts w:cs="Times New Roman"/>
          <w:i/>
          <w:iCs/>
          <w:noProof/>
          <w:szCs w:val="24"/>
          <w:lang w:val="en-US"/>
        </w:rPr>
        <w:t>Int J Pharm</w:t>
      </w:r>
      <w:r w:rsidRPr="00E563E8">
        <w:rPr>
          <w:rFonts w:cs="Times New Roman"/>
          <w:noProof/>
          <w:szCs w:val="24"/>
          <w:lang w:val="en-US"/>
        </w:rPr>
        <w:t>. 2018;538(1):112-118. doi:https://doi.org/10.1016/j.ijpharm.2017.12.034</w:t>
      </w:r>
    </w:p>
    <w:p w14:paraId="6700D9B5"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60. </w:t>
      </w:r>
      <w:r w:rsidRPr="00E563E8">
        <w:rPr>
          <w:rFonts w:cs="Times New Roman"/>
          <w:noProof/>
          <w:szCs w:val="24"/>
          <w:lang w:val="en-US"/>
        </w:rPr>
        <w:tab/>
        <w:t xml:space="preserve">(ed.) CJ van O. </w:t>
      </w:r>
      <w:r w:rsidRPr="00E563E8">
        <w:rPr>
          <w:rFonts w:cs="Times New Roman"/>
          <w:i/>
          <w:iCs/>
          <w:noProof/>
          <w:szCs w:val="24"/>
          <w:lang w:val="en-US"/>
        </w:rPr>
        <w:t>Interfacial Forces in Aqueous Media</w:t>
      </w:r>
      <w:r w:rsidRPr="00E563E8">
        <w:rPr>
          <w:rFonts w:cs="Times New Roman"/>
          <w:noProof/>
          <w:szCs w:val="24"/>
          <w:lang w:val="en-US"/>
        </w:rPr>
        <w:t>. Vol 64. 2nd ed.; 2006. doi:doi:10.1002/jctb.280640321</w:t>
      </w:r>
    </w:p>
    <w:p w14:paraId="26ACDD22"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61. </w:t>
      </w:r>
      <w:r w:rsidRPr="00E563E8">
        <w:rPr>
          <w:rFonts w:cs="Times New Roman"/>
          <w:noProof/>
          <w:szCs w:val="24"/>
          <w:lang w:val="en-US"/>
        </w:rPr>
        <w:tab/>
        <w:t xml:space="preserve">Wildemuth CR, Williams MC. A new interpretation of viscosity and yield stress in dense slurries: Coal and other irregular particles. </w:t>
      </w:r>
      <w:r w:rsidRPr="00E563E8">
        <w:rPr>
          <w:rFonts w:cs="Times New Roman"/>
          <w:i/>
          <w:iCs/>
          <w:noProof/>
          <w:szCs w:val="24"/>
          <w:lang w:val="en-US"/>
        </w:rPr>
        <w:t>Rheol Acta</w:t>
      </w:r>
      <w:r w:rsidRPr="00E563E8">
        <w:rPr>
          <w:rFonts w:cs="Times New Roman"/>
          <w:noProof/>
          <w:szCs w:val="24"/>
          <w:lang w:val="en-US"/>
        </w:rPr>
        <w:t>. 1985;24(1):75-91. doi:10.1007/BF01329266</w:t>
      </w:r>
    </w:p>
    <w:p w14:paraId="50AC15CD"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62. </w:t>
      </w:r>
      <w:r w:rsidRPr="00E563E8">
        <w:rPr>
          <w:rFonts w:cs="Times New Roman"/>
          <w:noProof/>
          <w:szCs w:val="24"/>
          <w:lang w:val="en-US"/>
        </w:rPr>
        <w:tab/>
        <w:t xml:space="preserve">de Villiers MM, Lötter AP, van der Watt JG. Influence of surfactants and interactive mixing on the cohesiveproperties of a poorly wettable solid. </w:t>
      </w:r>
      <w:r w:rsidRPr="00E563E8">
        <w:rPr>
          <w:rFonts w:cs="Times New Roman"/>
          <w:i/>
          <w:iCs/>
          <w:noProof/>
          <w:szCs w:val="24"/>
          <w:lang w:val="en-US"/>
        </w:rPr>
        <w:t>Powder Technol</w:t>
      </w:r>
      <w:r w:rsidRPr="00E563E8">
        <w:rPr>
          <w:rFonts w:cs="Times New Roman"/>
          <w:noProof/>
          <w:szCs w:val="24"/>
          <w:lang w:val="en-US"/>
        </w:rPr>
        <w:t>. 1993;75(2):159-165. doi:https://doi.org/10.1016/0032-5910(93)80077-N</w:t>
      </w:r>
    </w:p>
    <w:p w14:paraId="74CD3901"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63. </w:t>
      </w:r>
      <w:r w:rsidRPr="00E563E8">
        <w:rPr>
          <w:rFonts w:cs="Times New Roman"/>
          <w:noProof/>
          <w:szCs w:val="24"/>
          <w:lang w:val="en-US"/>
        </w:rPr>
        <w:tab/>
        <w:t xml:space="preserve">Patel KH, Rawal SK. Contact angle hysteresis, wettability and optical studies of sputtered zinc oxide nanostructured thin films. </w:t>
      </w:r>
      <w:r w:rsidRPr="00E563E8">
        <w:rPr>
          <w:rFonts w:cs="Times New Roman"/>
          <w:i/>
          <w:iCs/>
          <w:noProof/>
          <w:szCs w:val="24"/>
          <w:lang w:val="en-US"/>
        </w:rPr>
        <w:t>Indian J Eng Mater Sci</w:t>
      </w:r>
      <w:r w:rsidRPr="00E563E8">
        <w:rPr>
          <w:rFonts w:cs="Times New Roman"/>
          <w:noProof/>
          <w:szCs w:val="24"/>
          <w:lang w:val="en-US"/>
        </w:rPr>
        <w:t>. 2017;24(6):469-476.</w:t>
      </w:r>
    </w:p>
    <w:p w14:paraId="0010CBE9" w14:textId="77777777" w:rsidR="0004327C" w:rsidRPr="0004327C" w:rsidRDefault="0004327C" w:rsidP="0004327C">
      <w:pPr>
        <w:widowControl w:val="0"/>
        <w:autoSpaceDE w:val="0"/>
        <w:autoSpaceDN w:val="0"/>
        <w:adjustRightInd w:val="0"/>
        <w:spacing w:line="240" w:lineRule="auto"/>
        <w:ind w:left="640" w:hanging="640"/>
        <w:rPr>
          <w:rFonts w:cs="Times New Roman"/>
          <w:noProof/>
          <w:szCs w:val="24"/>
        </w:rPr>
      </w:pPr>
      <w:r w:rsidRPr="00E563E8">
        <w:rPr>
          <w:rFonts w:cs="Times New Roman"/>
          <w:noProof/>
          <w:szCs w:val="24"/>
          <w:lang w:val="en-US"/>
        </w:rPr>
        <w:t xml:space="preserve">64. </w:t>
      </w:r>
      <w:r w:rsidRPr="00E563E8">
        <w:rPr>
          <w:rFonts w:cs="Times New Roman"/>
          <w:noProof/>
          <w:szCs w:val="24"/>
          <w:lang w:val="en-US"/>
        </w:rPr>
        <w:tab/>
        <w:t xml:space="preserve">Muster TH, Cole IS. The protective nature of passivation films on zinc: surface charge. </w:t>
      </w:r>
      <w:r w:rsidRPr="0004327C">
        <w:rPr>
          <w:rFonts w:cs="Times New Roman"/>
          <w:i/>
          <w:iCs/>
          <w:noProof/>
          <w:szCs w:val="24"/>
        </w:rPr>
        <w:t>Corros Sci</w:t>
      </w:r>
      <w:r w:rsidRPr="0004327C">
        <w:rPr>
          <w:rFonts w:cs="Times New Roman"/>
          <w:noProof/>
          <w:szCs w:val="24"/>
        </w:rPr>
        <w:t>. 2004;46(9):2319-2335. doi:https://doi.org/10.1016/j.corsci.2004.01.002</w:t>
      </w:r>
    </w:p>
    <w:p w14:paraId="1F6B5687"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04327C">
        <w:rPr>
          <w:rFonts w:cs="Times New Roman"/>
          <w:noProof/>
          <w:szCs w:val="24"/>
        </w:rPr>
        <w:t xml:space="preserve">65. </w:t>
      </w:r>
      <w:r w:rsidRPr="0004327C">
        <w:rPr>
          <w:rFonts w:cs="Times New Roman"/>
          <w:noProof/>
          <w:szCs w:val="24"/>
        </w:rPr>
        <w:tab/>
        <w:t xml:space="preserve">Trino LD, Dias LFG, Albano LGS, et al. </w:t>
      </w:r>
      <w:r w:rsidRPr="00E563E8">
        <w:rPr>
          <w:rFonts w:cs="Times New Roman"/>
          <w:noProof/>
          <w:szCs w:val="24"/>
          <w:lang w:val="en-US"/>
        </w:rPr>
        <w:t xml:space="preserve">Zinc oxide surface functionalization and related effects on corrosion resistance of titanium implants. </w:t>
      </w:r>
      <w:r w:rsidRPr="00E563E8">
        <w:rPr>
          <w:rFonts w:cs="Times New Roman"/>
          <w:i/>
          <w:iCs/>
          <w:noProof/>
          <w:szCs w:val="24"/>
          <w:lang w:val="en-US"/>
        </w:rPr>
        <w:t>Ceram Int</w:t>
      </w:r>
      <w:r w:rsidRPr="00E563E8">
        <w:rPr>
          <w:rFonts w:cs="Times New Roman"/>
          <w:noProof/>
          <w:szCs w:val="24"/>
          <w:lang w:val="en-US"/>
        </w:rPr>
        <w:t>. 2018;44(4):4000-4008. doi:10.1016/j.ceramint.2017.11.195</w:t>
      </w:r>
    </w:p>
    <w:p w14:paraId="73E34B50"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66. </w:t>
      </w:r>
      <w:r w:rsidRPr="00E563E8">
        <w:rPr>
          <w:rFonts w:cs="Times New Roman"/>
          <w:noProof/>
          <w:szCs w:val="24"/>
          <w:lang w:val="en-US"/>
        </w:rPr>
        <w:tab/>
        <w:t>J. Lee YHCH. Surface modification and characterization of zinc oxide for use in organic photovaltaic devices. August 2011. doi:10.13140/RG.2.1.1355.4324</w:t>
      </w:r>
    </w:p>
    <w:p w14:paraId="71CD347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67. </w:t>
      </w:r>
      <w:r w:rsidRPr="00E563E8">
        <w:rPr>
          <w:rFonts w:cs="Times New Roman"/>
          <w:noProof/>
          <w:szCs w:val="24"/>
          <w:lang w:val="en-US"/>
        </w:rPr>
        <w:tab/>
        <w:t xml:space="preserve">Stepien M, Saarinen JJ, Teisala H, et al. Surface chemical characterization of nanoparticle coated paperboard. </w:t>
      </w:r>
      <w:r w:rsidRPr="00E563E8">
        <w:rPr>
          <w:rFonts w:cs="Times New Roman"/>
          <w:i/>
          <w:iCs/>
          <w:noProof/>
          <w:szCs w:val="24"/>
          <w:lang w:val="en-US"/>
        </w:rPr>
        <w:t>Appl Surf Sci</w:t>
      </w:r>
      <w:r w:rsidRPr="00E563E8">
        <w:rPr>
          <w:rFonts w:cs="Times New Roman"/>
          <w:noProof/>
          <w:szCs w:val="24"/>
          <w:lang w:val="en-US"/>
        </w:rPr>
        <w:t>. 2012;258(7):3119-3125. doi:10.1016/j.apsusc.2011.11.048</w:t>
      </w:r>
    </w:p>
    <w:p w14:paraId="6862DBE6"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68. </w:t>
      </w:r>
      <w:r w:rsidRPr="00E563E8">
        <w:rPr>
          <w:rFonts w:cs="Times New Roman"/>
          <w:noProof/>
          <w:szCs w:val="24"/>
          <w:lang w:val="en-US"/>
        </w:rPr>
        <w:tab/>
        <w:t xml:space="preserve">Kirchberg S, Abdin Y, Ziegmann G. Influence of particle shape and size on the wetting behavior of soft magnetic micropowders. </w:t>
      </w:r>
      <w:r w:rsidRPr="00E563E8">
        <w:rPr>
          <w:rFonts w:cs="Times New Roman"/>
          <w:i/>
          <w:iCs/>
          <w:noProof/>
          <w:szCs w:val="24"/>
          <w:lang w:val="en-US"/>
        </w:rPr>
        <w:t>Powder Technol</w:t>
      </w:r>
      <w:r w:rsidRPr="00E563E8">
        <w:rPr>
          <w:rFonts w:cs="Times New Roman"/>
          <w:noProof/>
          <w:szCs w:val="24"/>
          <w:lang w:val="en-US"/>
        </w:rPr>
        <w:t>. 2011;207(1):311-317. doi:https://doi.org/10.1016/j.powtec.2010.11.012</w:t>
      </w:r>
    </w:p>
    <w:p w14:paraId="339AED95"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69. </w:t>
      </w:r>
      <w:r w:rsidRPr="00E563E8">
        <w:rPr>
          <w:rFonts w:cs="Times New Roman"/>
          <w:noProof/>
          <w:szCs w:val="24"/>
          <w:lang w:val="en-US"/>
        </w:rPr>
        <w:tab/>
        <w:t xml:space="preserve">Garbacz H, Wieciński P, Kuczyńska D, Kubacka D, Kurzydłowski KJ. The effect of grain size on the surface properties of titanium grade 2 after different treatments. </w:t>
      </w:r>
      <w:r w:rsidRPr="00E563E8">
        <w:rPr>
          <w:rFonts w:cs="Times New Roman"/>
          <w:i/>
          <w:iCs/>
          <w:noProof/>
          <w:szCs w:val="24"/>
          <w:lang w:val="en-US"/>
        </w:rPr>
        <w:t>Surf Coatings Technol</w:t>
      </w:r>
      <w:r w:rsidRPr="00E563E8">
        <w:rPr>
          <w:rFonts w:cs="Times New Roman"/>
          <w:noProof/>
          <w:szCs w:val="24"/>
          <w:lang w:val="en-US"/>
        </w:rPr>
        <w:t>. 2018;335:13-24. doi:https://doi.org/10.1016/j.surfcoat.2017.12.005</w:t>
      </w:r>
    </w:p>
    <w:p w14:paraId="59993D9A"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70. </w:t>
      </w:r>
      <w:r w:rsidRPr="00E563E8">
        <w:rPr>
          <w:rFonts w:cs="Times New Roman"/>
          <w:noProof/>
          <w:szCs w:val="24"/>
          <w:lang w:val="en-US"/>
        </w:rPr>
        <w:tab/>
        <w:t xml:space="preserve">Kirdponpattara S, Phisalaphong M, Zhang Newby B. Applicability of washburn capillary rise for determining contact angles of powders and porous materials. </w:t>
      </w:r>
      <w:r w:rsidRPr="00E563E8">
        <w:rPr>
          <w:rFonts w:cs="Times New Roman"/>
          <w:i/>
          <w:iCs/>
          <w:noProof/>
          <w:szCs w:val="24"/>
          <w:lang w:val="en-US"/>
        </w:rPr>
        <w:t>J Colloid Interface Sci</w:t>
      </w:r>
      <w:r w:rsidRPr="00E563E8">
        <w:rPr>
          <w:rFonts w:cs="Times New Roman"/>
          <w:noProof/>
          <w:szCs w:val="24"/>
          <w:lang w:val="en-US"/>
        </w:rPr>
        <w:t>. 2013;397. doi:10.1016/j.jcis.2013.01.033</w:t>
      </w:r>
    </w:p>
    <w:p w14:paraId="66DD19EE"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71. </w:t>
      </w:r>
      <w:r w:rsidRPr="00E563E8">
        <w:rPr>
          <w:rFonts w:cs="Times New Roman"/>
          <w:noProof/>
          <w:szCs w:val="24"/>
          <w:lang w:val="en-US"/>
        </w:rPr>
        <w:tab/>
        <w:t xml:space="preserve">Zhang H, Banfield JF. Nanoparticles in the environment. </w:t>
      </w:r>
      <w:r w:rsidRPr="00E563E8">
        <w:rPr>
          <w:rFonts w:cs="Times New Roman"/>
          <w:i/>
          <w:iCs/>
          <w:noProof/>
          <w:szCs w:val="24"/>
          <w:lang w:val="en-US"/>
        </w:rPr>
        <w:t>Rev Mineral geochemistry</w:t>
      </w:r>
      <w:r w:rsidRPr="00E563E8">
        <w:rPr>
          <w:rFonts w:cs="Times New Roman"/>
          <w:noProof/>
          <w:szCs w:val="24"/>
          <w:lang w:val="en-US"/>
        </w:rPr>
        <w:t>. 2001;44(1):1-58. doi:10.2138/rmg.2001.44.01</w:t>
      </w:r>
    </w:p>
    <w:p w14:paraId="4B38A942"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72. </w:t>
      </w:r>
      <w:r w:rsidRPr="00E563E8">
        <w:rPr>
          <w:rFonts w:cs="Times New Roman"/>
          <w:noProof/>
          <w:szCs w:val="24"/>
          <w:lang w:val="en-US"/>
        </w:rPr>
        <w:tab/>
        <w:t xml:space="preserve">Bourikas K, Kordulis C, Lycourghiotis A. Titanium dioxide (anatase and rutile): surface chemistry, liquid–solid interface chemistry, and scientific synthesis of supported catalysts. </w:t>
      </w:r>
      <w:r w:rsidRPr="00E563E8">
        <w:rPr>
          <w:rFonts w:cs="Times New Roman"/>
          <w:i/>
          <w:iCs/>
          <w:noProof/>
          <w:szCs w:val="24"/>
          <w:lang w:val="en-US"/>
        </w:rPr>
        <w:t>Chem Rev</w:t>
      </w:r>
      <w:r w:rsidRPr="00E563E8">
        <w:rPr>
          <w:rFonts w:cs="Times New Roman"/>
          <w:noProof/>
          <w:szCs w:val="24"/>
          <w:lang w:val="en-US"/>
        </w:rPr>
        <w:t>. 2014;114(19):9754-9823. doi:10.1021/cr300230q</w:t>
      </w:r>
    </w:p>
    <w:p w14:paraId="57C23519"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73. </w:t>
      </w:r>
      <w:r w:rsidRPr="00E563E8">
        <w:rPr>
          <w:rFonts w:cs="Times New Roman"/>
          <w:noProof/>
          <w:szCs w:val="24"/>
          <w:lang w:val="en-US"/>
        </w:rPr>
        <w:tab/>
        <w:t xml:space="preserve">Pantaroto H, Filho AP, Bertolini M, et al. Antibacterial photocatalytic activity of different crystalline TiO2 phases in oral multispecies biofilm. </w:t>
      </w:r>
      <w:r w:rsidRPr="00E563E8">
        <w:rPr>
          <w:rFonts w:cs="Times New Roman"/>
          <w:i/>
          <w:iCs/>
          <w:noProof/>
          <w:szCs w:val="24"/>
          <w:lang w:val="en-US"/>
        </w:rPr>
        <w:t>Dent Mater</w:t>
      </w:r>
      <w:r w:rsidRPr="00E563E8">
        <w:rPr>
          <w:rFonts w:cs="Times New Roman"/>
          <w:noProof/>
          <w:szCs w:val="24"/>
          <w:lang w:val="en-US"/>
        </w:rPr>
        <w:t>. 2018;34(7):3182-3195. doi:10.1016/j.dental.2018.03.011</w:t>
      </w:r>
    </w:p>
    <w:p w14:paraId="507BDE0B"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74. </w:t>
      </w:r>
      <w:r w:rsidRPr="00E563E8">
        <w:rPr>
          <w:rFonts w:cs="Times New Roman"/>
          <w:noProof/>
          <w:szCs w:val="24"/>
          <w:lang w:val="en-US"/>
        </w:rPr>
        <w:tab/>
        <w:t xml:space="preserve">Ranade MR, Navrotsky A, Zhang HZ, et al. Energetics of nanocrystalline TiO2. </w:t>
      </w:r>
      <w:r w:rsidRPr="00E563E8">
        <w:rPr>
          <w:rFonts w:cs="Times New Roman"/>
          <w:i/>
          <w:iCs/>
          <w:noProof/>
          <w:szCs w:val="24"/>
          <w:lang w:val="en-US"/>
        </w:rPr>
        <w:t>Proc Natl Acad Sci</w:t>
      </w:r>
      <w:r w:rsidRPr="00E563E8">
        <w:rPr>
          <w:rFonts w:cs="Times New Roman"/>
          <w:noProof/>
          <w:szCs w:val="24"/>
          <w:lang w:val="en-US"/>
        </w:rPr>
        <w:t>. 2002;99(suppl 2):6476 LP - 6481. doi:10.1073/pnas.251534898</w:t>
      </w:r>
    </w:p>
    <w:p w14:paraId="3B021D4B"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75. </w:t>
      </w:r>
      <w:r w:rsidRPr="00E563E8">
        <w:rPr>
          <w:rFonts w:cs="Times New Roman"/>
          <w:noProof/>
          <w:szCs w:val="24"/>
          <w:lang w:val="en-US"/>
        </w:rPr>
        <w:tab/>
        <w:t xml:space="preserve">Grzmil B, Gleń M, Kic B, Lubkowski K. Study of the anatase to rutile transformation kinetics of the modified TiO2. </w:t>
      </w:r>
      <w:r w:rsidRPr="00E563E8">
        <w:rPr>
          <w:rFonts w:cs="Times New Roman"/>
          <w:i/>
          <w:iCs/>
          <w:noProof/>
          <w:szCs w:val="24"/>
          <w:lang w:val="en-US"/>
        </w:rPr>
        <w:t>Polish J Chem Technol</w:t>
      </w:r>
      <w:r w:rsidRPr="00E563E8">
        <w:rPr>
          <w:rFonts w:cs="Times New Roman"/>
          <w:noProof/>
          <w:szCs w:val="24"/>
          <w:lang w:val="en-US"/>
        </w:rPr>
        <w:t>. 2013;15(2):73-80. doi:https://doi.org/10.2478/pjct-2013-0026</w:t>
      </w:r>
    </w:p>
    <w:p w14:paraId="5B2AA328"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76. </w:t>
      </w:r>
      <w:r w:rsidRPr="00E563E8">
        <w:rPr>
          <w:rFonts w:cs="Times New Roman"/>
          <w:noProof/>
          <w:szCs w:val="24"/>
          <w:lang w:val="en-US"/>
        </w:rPr>
        <w:tab/>
        <w:t xml:space="preserve">Fraud S, Maillard J-Y, Kaminski MA, Hanlon GW. Activity of amine oxide against biofilms of Streptococcus mutans: a potential biocide for oral care formulations. </w:t>
      </w:r>
      <w:r w:rsidRPr="00E563E8">
        <w:rPr>
          <w:rFonts w:cs="Times New Roman"/>
          <w:i/>
          <w:iCs/>
          <w:noProof/>
          <w:szCs w:val="24"/>
          <w:lang w:val="en-US"/>
        </w:rPr>
        <w:t>J Antimicrob Chemother</w:t>
      </w:r>
      <w:r w:rsidRPr="00E563E8">
        <w:rPr>
          <w:rFonts w:cs="Times New Roman"/>
          <w:noProof/>
          <w:szCs w:val="24"/>
          <w:lang w:val="en-US"/>
        </w:rPr>
        <w:t>. 2005;56(4):672-677. doi:10.1093/jac/dki325</w:t>
      </w:r>
    </w:p>
    <w:p w14:paraId="0DC2185D"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77. </w:t>
      </w:r>
      <w:r w:rsidRPr="00E563E8">
        <w:rPr>
          <w:rFonts w:cs="Times New Roman"/>
          <w:noProof/>
          <w:szCs w:val="24"/>
          <w:lang w:val="en-US"/>
        </w:rPr>
        <w:tab/>
        <w:t xml:space="preserve">Aas JA, Paster BJ, Stokes LN, Olsen I, Dewhirst FE. Defining the normal bacterial flora of the oral cavity. </w:t>
      </w:r>
      <w:r w:rsidRPr="00E563E8">
        <w:rPr>
          <w:rFonts w:cs="Times New Roman"/>
          <w:i/>
          <w:iCs/>
          <w:noProof/>
          <w:szCs w:val="24"/>
          <w:lang w:val="en-US"/>
        </w:rPr>
        <w:t>J Clin Microbiol</w:t>
      </w:r>
      <w:r w:rsidRPr="00E563E8">
        <w:rPr>
          <w:rFonts w:cs="Times New Roman"/>
          <w:noProof/>
          <w:szCs w:val="24"/>
          <w:lang w:val="en-US"/>
        </w:rPr>
        <w:t>. 2005;43(11):5721-5732. doi:10.1128/JCM.43.11.5721-5732.2005</w:t>
      </w:r>
    </w:p>
    <w:p w14:paraId="6A2D71AA" w14:textId="77777777" w:rsidR="0004327C" w:rsidRPr="00E563E8"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78. </w:t>
      </w:r>
      <w:r w:rsidRPr="00E563E8">
        <w:rPr>
          <w:rFonts w:cs="Times New Roman"/>
          <w:noProof/>
          <w:szCs w:val="24"/>
          <w:lang w:val="en-US"/>
        </w:rPr>
        <w:tab/>
        <w:t xml:space="preserve">Forssten SD, Björklund M, Ouwehand AC. Streptococcus mutans, caries and simulation models. </w:t>
      </w:r>
      <w:r w:rsidRPr="00E563E8">
        <w:rPr>
          <w:rFonts w:cs="Times New Roman"/>
          <w:i/>
          <w:iCs/>
          <w:noProof/>
          <w:szCs w:val="24"/>
          <w:lang w:val="en-US"/>
        </w:rPr>
        <w:t>Nutrients</w:t>
      </w:r>
      <w:r w:rsidRPr="00E563E8">
        <w:rPr>
          <w:rFonts w:cs="Times New Roman"/>
          <w:noProof/>
          <w:szCs w:val="24"/>
          <w:lang w:val="en-US"/>
        </w:rPr>
        <w:t>. 2010;2(3):290-298. doi:10.3390/nu2030290</w:t>
      </w:r>
    </w:p>
    <w:p w14:paraId="6C6E6457"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E563E8">
        <w:rPr>
          <w:rFonts w:cs="Times New Roman"/>
          <w:noProof/>
          <w:szCs w:val="24"/>
          <w:lang w:val="en-US"/>
        </w:rPr>
        <w:t xml:space="preserve">79. </w:t>
      </w:r>
      <w:r w:rsidRPr="00E563E8">
        <w:rPr>
          <w:rFonts w:cs="Times New Roman"/>
          <w:noProof/>
          <w:szCs w:val="24"/>
          <w:lang w:val="en-US"/>
        </w:rPr>
        <w:tab/>
        <w:t xml:space="preserve">Silverstone LM, Johnson NW, Hardie JM, Williams RAD. The Microbiology of Dental Caries BT  - Dental Caries: Aetiology, Pathology and Prevention. In: Silverstone LM, Johnson NW, Hardie JM, Williams RAD, eds. </w:t>
      </w:r>
      <w:r w:rsidRPr="00017EF6">
        <w:rPr>
          <w:rFonts w:cs="Times New Roman"/>
          <w:noProof/>
          <w:szCs w:val="24"/>
          <w:lang w:val="en-US"/>
        </w:rPr>
        <w:t>London: Macmillan Education UK; 1981:48-69. doi:10.1007/978-1-349-16547-6_3</w:t>
      </w:r>
    </w:p>
    <w:p w14:paraId="620C58C9"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80. </w:t>
      </w:r>
      <w:r w:rsidRPr="00017EF6">
        <w:rPr>
          <w:rFonts w:cs="Times New Roman"/>
          <w:noProof/>
          <w:szCs w:val="24"/>
          <w:lang w:val="en-US"/>
        </w:rPr>
        <w:tab/>
        <w:t xml:space="preserve">Ajdic D, Mcshan M, Mclaughlin R, et al. Genome sequence of Streptococcus mutans UA159, a cariogenic dental pathogen. </w:t>
      </w:r>
      <w:r w:rsidRPr="00017EF6">
        <w:rPr>
          <w:rFonts w:cs="Times New Roman"/>
          <w:i/>
          <w:iCs/>
          <w:noProof/>
          <w:szCs w:val="24"/>
          <w:lang w:val="en-US"/>
        </w:rPr>
        <w:t>Proc Natl Acad Sci U S A</w:t>
      </w:r>
      <w:r w:rsidRPr="00017EF6">
        <w:rPr>
          <w:rFonts w:cs="Times New Roman"/>
          <w:noProof/>
          <w:szCs w:val="24"/>
          <w:lang w:val="en-US"/>
        </w:rPr>
        <w:t>. 2002;99:14434-14439. doi:10.1073/pnas.172501299</w:t>
      </w:r>
    </w:p>
    <w:p w14:paraId="0EB7088A"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81. </w:t>
      </w:r>
      <w:r w:rsidRPr="00017EF6">
        <w:rPr>
          <w:rFonts w:cs="Times New Roman"/>
          <w:noProof/>
          <w:szCs w:val="24"/>
          <w:lang w:val="en-US"/>
        </w:rPr>
        <w:tab/>
        <w:t xml:space="preserve">Lemos JA, Quivey RG, Koo H, Abranches J. Streptococcus mutans: a new Gram-positive paradigm? </w:t>
      </w:r>
      <w:r w:rsidRPr="00017EF6">
        <w:rPr>
          <w:rFonts w:cs="Times New Roman"/>
          <w:i/>
          <w:iCs/>
          <w:noProof/>
          <w:szCs w:val="24"/>
          <w:lang w:val="en-US"/>
        </w:rPr>
        <w:t>Microbiology</w:t>
      </w:r>
      <w:r w:rsidRPr="00017EF6">
        <w:rPr>
          <w:rFonts w:cs="Times New Roman"/>
          <w:noProof/>
          <w:szCs w:val="24"/>
          <w:lang w:val="en-US"/>
        </w:rPr>
        <w:t>. 2013;159(Pt 3):436-445. doi:10.1099/mic.0.066134-0</w:t>
      </w:r>
    </w:p>
    <w:p w14:paraId="1ECF50BB"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82. </w:t>
      </w:r>
      <w:r w:rsidRPr="00017EF6">
        <w:rPr>
          <w:rFonts w:cs="Times New Roman"/>
          <w:noProof/>
          <w:szCs w:val="24"/>
          <w:lang w:val="en-US"/>
        </w:rPr>
        <w:tab/>
        <w:t xml:space="preserve">Loesche WJ. Role of Streptococcus mutans in human dental decay. </w:t>
      </w:r>
      <w:r w:rsidRPr="00017EF6">
        <w:rPr>
          <w:rFonts w:cs="Times New Roman"/>
          <w:i/>
          <w:iCs/>
          <w:noProof/>
          <w:szCs w:val="24"/>
          <w:lang w:val="en-US"/>
        </w:rPr>
        <w:t>Microbiol Rev</w:t>
      </w:r>
      <w:r w:rsidRPr="00017EF6">
        <w:rPr>
          <w:rFonts w:cs="Times New Roman"/>
          <w:noProof/>
          <w:szCs w:val="24"/>
          <w:lang w:val="en-US"/>
        </w:rPr>
        <w:t>. 1986;50(4):353-380.</w:t>
      </w:r>
    </w:p>
    <w:p w14:paraId="1258CB10"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83. </w:t>
      </w:r>
      <w:r w:rsidRPr="00017EF6">
        <w:rPr>
          <w:rFonts w:cs="Times New Roman"/>
          <w:noProof/>
          <w:szCs w:val="24"/>
          <w:lang w:val="en-US"/>
        </w:rPr>
        <w:tab/>
        <w:t xml:space="preserve">Ip SW, Toguri JM. The equivalency of surface tension, surface energy and surface free energy. </w:t>
      </w:r>
      <w:r w:rsidRPr="00017EF6">
        <w:rPr>
          <w:rFonts w:cs="Times New Roman"/>
          <w:i/>
          <w:iCs/>
          <w:noProof/>
          <w:szCs w:val="24"/>
          <w:lang w:val="en-US"/>
        </w:rPr>
        <w:t>J Mater Sci</w:t>
      </w:r>
      <w:r w:rsidRPr="00017EF6">
        <w:rPr>
          <w:rFonts w:cs="Times New Roman"/>
          <w:noProof/>
          <w:szCs w:val="24"/>
          <w:lang w:val="en-US"/>
        </w:rPr>
        <w:t>. 1994;29(3):688-692. doi:10.1007/bf00445980</w:t>
      </w:r>
    </w:p>
    <w:p w14:paraId="7372CFF8"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84. </w:t>
      </w:r>
      <w:r w:rsidRPr="00017EF6">
        <w:rPr>
          <w:rFonts w:cs="Times New Roman"/>
          <w:noProof/>
          <w:szCs w:val="24"/>
          <w:lang w:val="en-US"/>
        </w:rPr>
        <w:tab/>
        <w:t xml:space="preserve">Merritt J, Kreth J, Qi F, Sullivan R, Shi W. Non-disruptive, real-time analyses of the metabolic status and viability of Streptococcus mutans cells in response to antimicrobial treatments. </w:t>
      </w:r>
      <w:r w:rsidRPr="00017EF6">
        <w:rPr>
          <w:rFonts w:cs="Times New Roman"/>
          <w:i/>
          <w:iCs/>
          <w:noProof/>
          <w:szCs w:val="24"/>
          <w:lang w:val="en-US"/>
        </w:rPr>
        <w:t>J Microbiol Methods</w:t>
      </w:r>
      <w:r w:rsidRPr="00017EF6">
        <w:rPr>
          <w:rFonts w:cs="Times New Roman"/>
          <w:noProof/>
          <w:szCs w:val="24"/>
          <w:lang w:val="en-US"/>
        </w:rPr>
        <w:t>. 2005;61(2):161-170. doi:https://doi.org/10.1016/j.mimet.2004.11.012</w:t>
      </w:r>
    </w:p>
    <w:p w14:paraId="16A14EEA"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85. </w:t>
      </w:r>
      <w:r w:rsidRPr="00017EF6">
        <w:rPr>
          <w:rFonts w:cs="Times New Roman"/>
          <w:noProof/>
          <w:szCs w:val="24"/>
          <w:lang w:val="en-US"/>
        </w:rPr>
        <w:tab/>
        <w:t xml:space="preserve">Merritt JH, Kadouri DE, O’Toole GA. Growing and analyzing static biofilms. </w:t>
      </w:r>
      <w:r w:rsidRPr="00017EF6">
        <w:rPr>
          <w:rFonts w:cs="Times New Roman"/>
          <w:i/>
          <w:iCs/>
          <w:noProof/>
          <w:szCs w:val="24"/>
          <w:lang w:val="en-US"/>
        </w:rPr>
        <w:t>Curr Protoc Microbiol</w:t>
      </w:r>
      <w:r w:rsidRPr="00017EF6">
        <w:rPr>
          <w:rFonts w:cs="Times New Roman"/>
          <w:noProof/>
          <w:szCs w:val="24"/>
          <w:lang w:val="en-US"/>
        </w:rPr>
        <w:t>. 2005;Chapter 1:Unit-1B.1. doi:10.1002/9780471729259.mc01b01s00</w:t>
      </w:r>
    </w:p>
    <w:p w14:paraId="455D1730"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86. </w:t>
      </w:r>
      <w:r w:rsidRPr="00017EF6">
        <w:rPr>
          <w:rFonts w:cs="Times New Roman"/>
          <w:noProof/>
          <w:szCs w:val="24"/>
          <w:lang w:val="en-US"/>
        </w:rPr>
        <w:tab/>
        <w:t xml:space="preserve">Fan F, Wood K V. Bioluminescent Assays for High-Throughput Screening. </w:t>
      </w:r>
      <w:r w:rsidRPr="00017EF6">
        <w:rPr>
          <w:rFonts w:cs="Times New Roman"/>
          <w:i/>
          <w:iCs/>
          <w:noProof/>
          <w:szCs w:val="24"/>
          <w:lang w:val="en-US"/>
        </w:rPr>
        <w:t>Assay Drug Dev Technol</w:t>
      </w:r>
      <w:r w:rsidRPr="00017EF6">
        <w:rPr>
          <w:rFonts w:cs="Times New Roman"/>
          <w:noProof/>
          <w:szCs w:val="24"/>
          <w:lang w:val="en-US"/>
        </w:rPr>
        <w:t>. 2007;5(1):127-136. doi:10.1089/adt.2006.053</w:t>
      </w:r>
    </w:p>
    <w:p w14:paraId="1F4F5E69" w14:textId="77777777" w:rsidR="0004327C" w:rsidRPr="00017EF6" w:rsidRDefault="0004327C" w:rsidP="0004327C">
      <w:pPr>
        <w:widowControl w:val="0"/>
        <w:autoSpaceDE w:val="0"/>
        <w:autoSpaceDN w:val="0"/>
        <w:adjustRightInd w:val="0"/>
        <w:spacing w:line="240" w:lineRule="auto"/>
        <w:ind w:left="640" w:hanging="640"/>
        <w:rPr>
          <w:rFonts w:cs="Times New Roman"/>
          <w:noProof/>
          <w:szCs w:val="24"/>
          <w:lang w:val="en-US"/>
        </w:rPr>
      </w:pPr>
      <w:r w:rsidRPr="00017EF6">
        <w:rPr>
          <w:rFonts w:cs="Times New Roman"/>
          <w:noProof/>
          <w:szCs w:val="24"/>
          <w:lang w:val="en-US"/>
        </w:rPr>
        <w:t xml:space="preserve">87. </w:t>
      </w:r>
      <w:r w:rsidRPr="00017EF6">
        <w:rPr>
          <w:rFonts w:cs="Times New Roman"/>
          <w:noProof/>
          <w:szCs w:val="24"/>
          <w:lang w:val="en-US"/>
        </w:rPr>
        <w:tab/>
        <w:t xml:space="preserve">Buzea C, Pacheco II, Robbie K. Nanomaterials and nanoparticles: Sources and toxicity. </w:t>
      </w:r>
      <w:r w:rsidRPr="00017EF6">
        <w:rPr>
          <w:rFonts w:cs="Times New Roman"/>
          <w:i/>
          <w:iCs/>
          <w:noProof/>
          <w:szCs w:val="24"/>
          <w:lang w:val="en-US"/>
        </w:rPr>
        <w:t>Biointerphases</w:t>
      </w:r>
      <w:r w:rsidRPr="00017EF6">
        <w:rPr>
          <w:rFonts w:cs="Times New Roman"/>
          <w:noProof/>
          <w:szCs w:val="24"/>
          <w:lang w:val="en-US"/>
        </w:rPr>
        <w:t>. 2007;2(4):MR17-MR71. doi:10.1116/1.2815690</w:t>
      </w:r>
    </w:p>
    <w:p w14:paraId="42E5B10B" w14:textId="77777777" w:rsidR="0004327C" w:rsidRPr="00017EF6" w:rsidRDefault="0004327C" w:rsidP="0004327C">
      <w:pPr>
        <w:widowControl w:val="0"/>
        <w:autoSpaceDE w:val="0"/>
        <w:autoSpaceDN w:val="0"/>
        <w:adjustRightInd w:val="0"/>
        <w:spacing w:line="240" w:lineRule="auto"/>
        <w:ind w:left="640" w:hanging="640"/>
        <w:rPr>
          <w:rFonts w:cs="Times New Roman"/>
          <w:noProof/>
          <w:lang w:val="en-US"/>
        </w:rPr>
      </w:pPr>
      <w:r w:rsidRPr="00017EF6">
        <w:rPr>
          <w:rFonts w:cs="Times New Roman"/>
          <w:noProof/>
          <w:szCs w:val="24"/>
          <w:lang w:val="en-US"/>
        </w:rPr>
        <w:t xml:space="preserve">88. </w:t>
      </w:r>
      <w:r w:rsidRPr="00017EF6">
        <w:rPr>
          <w:rFonts w:cs="Times New Roman"/>
          <w:noProof/>
          <w:szCs w:val="24"/>
          <w:lang w:val="en-US"/>
        </w:rPr>
        <w:tab/>
        <w:t>Belver C, Bedia J, Gómez-Avilés A, Peñas-Garzón M, Rodriguez J. Semiconductor Photocatalysis For Water Purification. In: ; 2018:581. doi:10.1016/B978-0-12-813926-4.00001-X</w:t>
      </w:r>
    </w:p>
    <w:p w14:paraId="452BC234" w14:textId="70006E87" w:rsidR="008C1BB7" w:rsidRDefault="00B405AB" w:rsidP="008171EC">
      <w:pPr>
        <w:pStyle w:val="ListParagraph"/>
        <w:ind w:left="1070"/>
        <w:rPr>
          <w:rFonts w:cs="Times New Roman"/>
          <w:szCs w:val="24"/>
          <w:lang w:val="en-US"/>
        </w:rPr>
      </w:pPr>
      <w:r>
        <w:rPr>
          <w:rFonts w:cs="Times New Roman"/>
          <w:szCs w:val="24"/>
          <w:lang w:val="en-US"/>
        </w:rPr>
        <w:fldChar w:fldCharType="end"/>
      </w:r>
    </w:p>
    <w:p w14:paraId="38412619" w14:textId="77777777" w:rsidR="008C1BB7" w:rsidRDefault="008C1BB7" w:rsidP="008C1BB7">
      <w:pPr>
        <w:pStyle w:val="Heading1"/>
        <w:rPr>
          <w:lang w:val="en-US"/>
        </w:rPr>
      </w:pPr>
      <w:r>
        <w:rPr>
          <w:rFonts w:cs="Times New Roman"/>
          <w:szCs w:val="24"/>
          <w:lang w:val="en-US"/>
        </w:rPr>
        <w:br w:type="column"/>
      </w:r>
      <w:bookmarkStart w:id="105" w:name="_Toc45837568"/>
      <w:r w:rsidRPr="003F775C">
        <w:rPr>
          <w:lang w:val="en-US"/>
        </w:rPr>
        <w:t>Appendix</w:t>
      </w:r>
      <w:bookmarkEnd w:id="105"/>
    </w:p>
    <w:p w14:paraId="365F5623" w14:textId="77777777" w:rsidR="008C1BB7" w:rsidRDefault="008C1BB7" w:rsidP="002003DD">
      <w:pPr>
        <w:pStyle w:val="Heading2"/>
      </w:pPr>
      <w:bookmarkStart w:id="106" w:name="_Toc45837569"/>
      <w:r>
        <w:t>Appendix 1 – Contact angle experiments on nanoparticle pellets</w:t>
      </w:r>
      <w:bookmarkEnd w:id="106"/>
    </w:p>
    <w:p w14:paraId="5E2FF0A9" w14:textId="789D97FB" w:rsidR="008C1BB7" w:rsidRDefault="005D7495" w:rsidP="008C1BB7">
      <w:pPr>
        <w:rPr>
          <w:lang w:val="en-US"/>
        </w:rPr>
      </w:pPr>
      <w:r>
        <w:rPr>
          <w:lang w:val="en-US"/>
        </w:rPr>
        <w:t>Volume Penetrated (uL) vs Time (sec)</w:t>
      </w:r>
    </w:p>
    <w:p w14:paraId="50DC8054" w14:textId="4BCA01EB" w:rsidR="005D7495" w:rsidRDefault="005D7495" w:rsidP="008C1BB7">
      <w:pPr>
        <w:rPr>
          <w:lang w:val="en-US"/>
        </w:rPr>
      </w:pPr>
      <w:r>
        <w:rPr>
          <w:noProof/>
          <w:lang w:val="en-US"/>
        </w:rPr>
        <w:drawing>
          <wp:inline distT="0" distB="0" distL="0" distR="0" wp14:anchorId="74B5C721" wp14:editId="3A9AA30B">
            <wp:extent cx="4832350" cy="2286000"/>
            <wp:effectExtent l="0" t="0" r="6350" b="0"/>
            <wp:docPr id="44" name="Chart 44">
              <a:extLst xmlns:a="http://schemas.openxmlformats.org/drawingml/2006/main">
                <a:ext uri="{FF2B5EF4-FFF2-40B4-BE49-F238E27FC236}">
                  <a16:creationId xmlns:a16="http://schemas.microsoft.com/office/drawing/2014/main" id="{00000000-0008-0000-0E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B86466" w14:textId="5C096C3C" w:rsidR="005D7495" w:rsidRDefault="005D7495" w:rsidP="008C1BB7">
      <w:pPr>
        <w:rPr>
          <w:lang w:val="en-US"/>
        </w:rPr>
      </w:pPr>
      <w:r>
        <w:rPr>
          <w:noProof/>
          <w:lang w:val="en-US"/>
        </w:rPr>
        <w:drawing>
          <wp:inline distT="0" distB="0" distL="0" distR="0" wp14:anchorId="6AAB1AEA" wp14:editId="37629AF8">
            <wp:extent cx="4775200" cy="2630170"/>
            <wp:effectExtent l="0" t="0" r="6350" b="17780"/>
            <wp:docPr id="45" name="Chart 45">
              <a:extLst xmlns:a="http://schemas.openxmlformats.org/drawingml/2006/main">
                <a:ext uri="{FF2B5EF4-FFF2-40B4-BE49-F238E27FC236}">
                  <a16:creationId xmlns:a16="http://schemas.microsoft.com/office/drawing/2014/main" id="{00000000-0008-0000-0E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08A1D26" w14:textId="71A85544" w:rsidR="005D7495" w:rsidRDefault="005D7495" w:rsidP="008C1BB7">
      <w:pPr>
        <w:rPr>
          <w:lang w:val="en-US"/>
        </w:rPr>
      </w:pPr>
      <w:r>
        <w:rPr>
          <w:noProof/>
          <w:lang w:val="en-US"/>
        </w:rPr>
        <w:drawing>
          <wp:inline distT="0" distB="0" distL="0" distR="0" wp14:anchorId="389E46C8" wp14:editId="5EF6F56D">
            <wp:extent cx="4381500" cy="3046095"/>
            <wp:effectExtent l="0" t="0" r="0" b="1905"/>
            <wp:docPr id="46" name="Chart 46">
              <a:extLst xmlns:a="http://schemas.openxmlformats.org/drawingml/2006/main">
                <a:ext uri="{FF2B5EF4-FFF2-40B4-BE49-F238E27FC236}">
                  <a16:creationId xmlns:a16="http://schemas.microsoft.com/office/drawing/2014/main" id="{00000000-0008-0000-0E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1DC0EE8" w14:textId="4658BC7C" w:rsidR="005D7495" w:rsidRDefault="005D7495" w:rsidP="008C1BB7">
      <w:pPr>
        <w:rPr>
          <w:lang w:val="en-US"/>
        </w:rPr>
      </w:pPr>
      <w:r>
        <w:rPr>
          <w:noProof/>
          <w:lang w:val="en-US"/>
        </w:rPr>
        <w:drawing>
          <wp:inline distT="0" distB="0" distL="0" distR="0" wp14:anchorId="30FF86FB" wp14:editId="09C38678">
            <wp:extent cx="4324350" cy="2474595"/>
            <wp:effectExtent l="0" t="0" r="0" b="1905"/>
            <wp:docPr id="47" name="Chart 47">
              <a:extLst xmlns:a="http://schemas.openxmlformats.org/drawingml/2006/main">
                <a:ext uri="{FF2B5EF4-FFF2-40B4-BE49-F238E27FC236}">
                  <a16:creationId xmlns:a16="http://schemas.microsoft.com/office/drawing/2014/main" id="{00000000-0008-0000-0E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543C72C" w14:textId="77777777" w:rsidR="005D7495" w:rsidRDefault="005D7495" w:rsidP="008C1BB7">
      <w:pPr>
        <w:rPr>
          <w:lang w:val="en-US"/>
        </w:rPr>
      </w:pPr>
    </w:p>
    <w:p w14:paraId="703070CA" w14:textId="11C60D2F" w:rsidR="008C1BB7" w:rsidRDefault="005D7495" w:rsidP="008C1BB7">
      <w:pPr>
        <w:rPr>
          <w:lang w:val="en-US"/>
        </w:rPr>
      </w:pPr>
      <w:r>
        <w:rPr>
          <w:noProof/>
          <w:lang w:val="en-US"/>
        </w:rPr>
        <w:drawing>
          <wp:inline distT="0" distB="0" distL="0" distR="0" wp14:anchorId="4A3FFFCE" wp14:editId="0F0E2859">
            <wp:extent cx="4787899" cy="3920028"/>
            <wp:effectExtent l="0" t="0" r="0" b="4445"/>
            <wp:docPr id="130806819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42">
                      <a:extLst>
                        <a:ext uri="{28A0092B-C50C-407E-A947-70E740481C1C}">
                          <a14:useLocalDpi xmlns:a14="http://schemas.microsoft.com/office/drawing/2010/main" val="0"/>
                        </a:ext>
                      </a:extLst>
                    </a:blip>
                    <a:stretch>
                      <a:fillRect/>
                    </a:stretch>
                  </pic:blipFill>
                  <pic:spPr>
                    <a:xfrm>
                      <a:off x="0" y="0"/>
                      <a:ext cx="4787899" cy="3920028"/>
                    </a:xfrm>
                    <a:prstGeom prst="rect">
                      <a:avLst/>
                    </a:prstGeom>
                  </pic:spPr>
                </pic:pic>
              </a:graphicData>
            </a:graphic>
          </wp:inline>
        </w:drawing>
      </w:r>
    </w:p>
    <w:p w14:paraId="75F48BDA" w14:textId="5B49DD50" w:rsidR="005D7495" w:rsidRDefault="005D7495" w:rsidP="008C1BB7">
      <w:pPr>
        <w:rPr>
          <w:lang w:val="en-US"/>
        </w:rPr>
      </w:pPr>
      <w:r>
        <w:rPr>
          <w:noProof/>
          <w:lang w:val="en-US"/>
        </w:rPr>
        <w:drawing>
          <wp:inline distT="0" distB="0" distL="0" distR="0" wp14:anchorId="792AF277" wp14:editId="4122FB94">
            <wp:extent cx="4807558" cy="3300095"/>
            <wp:effectExtent l="0" t="0" r="0" b="0"/>
            <wp:docPr id="139930918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43">
                      <a:extLst>
                        <a:ext uri="{28A0092B-C50C-407E-A947-70E740481C1C}">
                          <a14:useLocalDpi xmlns:a14="http://schemas.microsoft.com/office/drawing/2010/main" val="0"/>
                        </a:ext>
                      </a:extLst>
                    </a:blip>
                    <a:stretch>
                      <a:fillRect/>
                    </a:stretch>
                  </pic:blipFill>
                  <pic:spPr>
                    <a:xfrm>
                      <a:off x="0" y="0"/>
                      <a:ext cx="4824242" cy="3311548"/>
                    </a:xfrm>
                    <a:prstGeom prst="rect">
                      <a:avLst/>
                    </a:prstGeom>
                  </pic:spPr>
                </pic:pic>
              </a:graphicData>
            </a:graphic>
          </wp:inline>
        </w:drawing>
      </w:r>
    </w:p>
    <w:p w14:paraId="3BBC3A94" w14:textId="70DB8B4E" w:rsidR="005D7495" w:rsidRDefault="005D7495" w:rsidP="008C1BB7">
      <w:pPr>
        <w:rPr>
          <w:lang w:val="en-US"/>
        </w:rPr>
      </w:pPr>
      <w:r>
        <w:rPr>
          <w:noProof/>
          <w:lang w:val="en-US"/>
        </w:rPr>
        <w:drawing>
          <wp:inline distT="0" distB="0" distL="0" distR="0" wp14:anchorId="162D6A1F" wp14:editId="09D71E90">
            <wp:extent cx="4664076" cy="3566160"/>
            <wp:effectExtent l="0" t="0" r="3175" b="0"/>
            <wp:docPr id="92128220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44">
                      <a:extLst>
                        <a:ext uri="{28A0092B-C50C-407E-A947-70E740481C1C}">
                          <a14:useLocalDpi xmlns:a14="http://schemas.microsoft.com/office/drawing/2010/main" val="0"/>
                        </a:ext>
                      </a:extLst>
                    </a:blip>
                    <a:stretch>
                      <a:fillRect/>
                    </a:stretch>
                  </pic:blipFill>
                  <pic:spPr>
                    <a:xfrm>
                      <a:off x="0" y="0"/>
                      <a:ext cx="4664076" cy="3566160"/>
                    </a:xfrm>
                    <a:prstGeom prst="rect">
                      <a:avLst/>
                    </a:prstGeom>
                  </pic:spPr>
                </pic:pic>
              </a:graphicData>
            </a:graphic>
          </wp:inline>
        </w:drawing>
      </w:r>
    </w:p>
    <w:p w14:paraId="317C2067" w14:textId="6E4DF57A" w:rsidR="005D7495" w:rsidRDefault="005D7495" w:rsidP="008C1BB7">
      <w:pPr>
        <w:rPr>
          <w:lang w:val="en-US"/>
        </w:rPr>
      </w:pPr>
      <w:r>
        <w:rPr>
          <w:noProof/>
          <w:lang w:val="en-US"/>
        </w:rPr>
        <w:drawing>
          <wp:inline distT="0" distB="0" distL="0" distR="0" wp14:anchorId="44CF0169" wp14:editId="7E72547E">
            <wp:extent cx="4566285" cy="3963035"/>
            <wp:effectExtent l="0" t="0" r="5715" b="0"/>
            <wp:docPr id="73246607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45">
                      <a:extLst>
                        <a:ext uri="{28A0092B-C50C-407E-A947-70E740481C1C}">
                          <a14:useLocalDpi xmlns:a14="http://schemas.microsoft.com/office/drawing/2010/main" val="0"/>
                        </a:ext>
                      </a:extLst>
                    </a:blip>
                    <a:stretch>
                      <a:fillRect/>
                    </a:stretch>
                  </pic:blipFill>
                  <pic:spPr>
                    <a:xfrm>
                      <a:off x="0" y="0"/>
                      <a:ext cx="4566285" cy="3963035"/>
                    </a:xfrm>
                    <a:prstGeom prst="rect">
                      <a:avLst/>
                    </a:prstGeom>
                  </pic:spPr>
                </pic:pic>
              </a:graphicData>
            </a:graphic>
          </wp:inline>
        </w:drawing>
      </w:r>
    </w:p>
    <w:p w14:paraId="3FCF3BA9" w14:textId="127460A2" w:rsidR="008F68DB" w:rsidRDefault="008F68DB" w:rsidP="008C1BB7">
      <w:pPr>
        <w:rPr>
          <w:lang w:val="en-US"/>
        </w:rPr>
      </w:pPr>
      <w:r>
        <w:rPr>
          <w:noProof/>
          <w:lang w:val="en-US"/>
        </w:rPr>
        <w:drawing>
          <wp:inline distT="0" distB="0" distL="0" distR="0" wp14:anchorId="6C39BF91" wp14:editId="5AFD8598">
            <wp:extent cx="4749800" cy="2156937"/>
            <wp:effectExtent l="0" t="0" r="0" b="0"/>
            <wp:docPr id="115932610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46">
                      <a:extLst>
                        <a:ext uri="{28A0092B-C50C-407E-A947-70E740481C1C}">
                          <a14:useLocalDpi xmlns:a14="http://schemas.microsoft.com/office/drawing/2010/main" val="0"/>
                        </a:ext>
                      </a:extLst>
                    </a:blip>
                    <a:stretch>
                      <a:fillRect/>
                    </a:stretch>
                  </pic:blipFill>
                  <pic:spPr>
                    <a:xfrm>
                      <a:off x="0" y="0"/>
                      <a:ext cx="4760119" cy="2161623"/>
                    </a:xfrm>
                    <a:prstGeom prst="rect">
                      <a:avLst/>
                    </a:prstGeom>
                  </pic:spPr>
                </pic:pic>
              </a:graphicData>
            </a:graphic>
          </wp:inline>
        </w:drawing>
      </w:r>
    </w:p>
    <w:p w14:paraId="15ABDA2E" w14:textId="33800CDA" w:rsidR="008F68DB" w:rsidRDefault="008F68DB" w:rsidP="008C1BB7">
      <w:pPr>
        <w:rPr>
          <w:lang w:val="en-US"/>
        </w:rPr>
      </w:pPr>
      <w:r>
        <w:rPr>
          <w:noProof/>
          <w:lang w:val="en-US"/>
        </w:rPr>
        <w:drawing>
          <wp:inline distT="0" distB="0" distL="0" distR="0" wp14:anchorId="3A366A90" wp14:editId="07F51C93">
            <wp:extent cx="4818772" cy="3519342"/>
            <wp:effectExtent l="0" t="0" r="1270" b="5080"/>
            <wp:docPr id="98174640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47">
                      <a:extLst>
                        <a:ext uri="{28A0092B-C50C-407E-A947-70E740481C1C}">
                          <a14:useLocalDpi xmlns:a14="http://schemas.microsoft.com/office/drawing/2010/main" val="0"/>
                        </a:ext>
                      </a:extLst>
                    </a:blip>
                    <a:stretch>
                      <a:fillRect/>
                    </a:stretch>
                  </pic:blipFill>
                  <pic:spPr>
                    <a:xfrm>
                      <a:off x="0" y="0"/>
                      <a:ext cx="4831706" cy="3528788"/>
                    </a:xfrm>
                    <a:prstGeom prst="rect">
                      <a:avLst/>
                    </a:prstGeom>
                  </pic:spPr>
                </pic:pic>
              </a:graphicData>
            </a:graphic>
          </wp:inline>
        </w:drawing>
      </w:r>
    </w:p>
    <w:p w14:paraId="5279E514" w14:textId="16DBA7F7" w:rsidR="008F68DB" w:rsidRDefault="008F68DB" w:rsidP="008C1BB7">
      <w:pPr>
        <w:rPr>
          <w:lang w:val="en-US"/>
        </w:rPr>
      </w:pPr>
      <w:r>
        <w:rPr>
          <w:noProof/>
          <w:lang w:val="en-US"/>
        </w:rPr>
        <w:drawing>
          <wp:inline distT="0" distB="0" distL="0" distR="0" wp14:anchorId="7F48844A" wp14:editId="074B8B58">
            <wp:extent cx="4572636" cy="2737485"/>
            <wp:effectExtent l="0" t="0" r="0" b="5715"/>
            <wp:docPr id="10419483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ic:nvPicPr>
                  <pic:blipFill>
                    <a:blip r:embed="rId48">
                      <a:extLst>
                        <a:ext uri="{28A0092B-C50C-407E-A947-70E740481C1C}">
                          <a14:useLocalDpi xmlns:a14="http://schemas.microsoft.com/office/drawing/2010/main" val="0"/>
                        </a:ext>
                      </a:extLst>
                    </a:blip>
                    <a:stretch>
                      <a:fillRect/>
                    </a:stretch>
                  </pic:blipFill>
                  <pic:spPr>
                    <a:xfrm>
                      <a:off x="0" y="0"/>
                      <a:ext cx="4572636" cy="2737485"/>
                    </a:xfrm>
                    <a:prstGeom prst="rect">
                      <a:avLst/>
                    </a:prstGeom>
                  </pic:spPr>
                </pic:pic>
              </a:graphicData>
            </a:graphic>
          </wp:inline>
        </w:drawing>
      </w:r>
    </w:p>
    <w:p w14:paraId="03C759BE" w14:textId="012E6374" w:rsidR="008F68DB" w:rsidRDefault="008F68DB" w:rsidP="008C1BB7">
      <w:pPr>
        <w:rPr>
          <w:lang w:val="en-US"/>
        </w:rPr>
      </w:pPr>
      <w:r>
        <w:rPr>
          <w:noProof/>
          <w:lang w:val="en-US"/>
        </w:rPr>
        <w:drawing>
          <wp:inline distT="0" distB="0" distL="0" distR="0" wp14:anchorId="1A9B96BE" wp14:editId="175FB11D">
            <wp:extent cx="4432300" cy="3618655"/>
            <wp:effectExtent l="0" t="0" r="6350" b="1270"/>
            <wp:docPr id="1788244849" name="Picture 204522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220033"/>
                    <pic:cNvPicPr/>
                  </pic:nvPicPr>
                  <pic:blipFill>
                    <a:blip r:embed="rId49">
                      <a:extLst>
                        <a:ext uri="{28A0092B-C50C-407E-A947-70E740481C1C}">
                          <a14:useLocalDpi xmlns:a14="http://schemas.microsoft.com/office/drawing/2010/main" val="0"/>
                        </a:ext>
                      </a:extLst>
                    </a:blip>
                    <a:stretch>
                      <a:fillRect/>
                    </a:stretch>
                  </pic:blipFill>
                  <pic:spPr>
                    <a:xfrm>
                      <a:off x="0" y="0"/>
                      <a:ext cx="4438446" cy="3623673"/>
                    </a:xfrm>
                    <a:prstGeom prst="rect">
                      <a:avLst/>
                    </a:prstGeom>
                  </pic:spPr>
                </pic:pic>
              </a:graphicData>
            </a:graphic>
          </wp:inline>
        </w:drawing>
      </w:r>
    </w:p>
    <w:p w14:paraId="6BAA0652" w14:textId="59B51BCC" w:rsidR="008F68DB" w:rsidRDefault="008F68DB" w:rsidP="008C1BB7">
      <w:pPr>
        <w:rPr>
          <w:lang w:val="en-US"/>
        </w:rPr>
      </w:pPr>
      <w:r>
        <w:rPr>
          <w:noProof/>
          <w:lang w:val="en-US"/>
        </w:rPr>
        <w:drawing>
          <wp:inline distT="0" distB="0" distL="0" distR="0" wp14:anchorId="630EE02A" wp14:editId="584D010C">
            <wp:extent cx="4572636" cy="3633470"/>
            <wp:effectExtent l="0" t="0" r="0" b="5080"/>
            <wp:docPr id="1096272779" name="Picture 204522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220035"/>
                    <pic:cNvPicPr/>
                  </pic:nvPicPr>
                  <pic:blipFill>
                    <a:blip r:embed="rId50">
                      <a:extLst>
                        <a:ext uri="{28A0092B-C50C-407E-A947-70E740481C1C}">
                          <a14:useLocalDpi xmlns:a14="http://schemas.microsoft.com/office/drawing/2010/main" val="0"/>
                        </a:ext>
                      </a:extLst>
                    </a:blip>
                    <a:stretch>
                      <a:fillRect/>
                    </a:stretch>
                  </pic:blipFill>
                  <pic:spPr>
                    <a:xfrm>
                      <a:off x="0" y="0"/>
                      <a:ext cx="4572636" cy="3633470"/>
                    </a:xfrm>
                    <a:prstGeom prst="rect">
                      <a:avLst/>
                    </a:prstGeom>
                  </pic:spPr>
                </pic:pic>
              </a:graphicData>
            </a:graphic>
          </wp:inline>
        </w:drawing>
      </w:r>
    </w:p>
    <w:p w14:paraId="13F83EEC" w14:textId="63E24BBD" w:rsidR="008F68DB" w:rsidRDefault="008F68DB" w:rsidP="008C1BB7">
      <w:pPr>
        <w:rPr>
          <w:lang w:val="en-US"/>
        </w:rPr>
      </w:pPr>
      <w:r>
        <w:rPr>
          <w:noProof/>
          <w:lang w:val="en-US"/>
        </w:rPr>
        <w:drawing>
          <wp:inline distT="0" distB="0" distL="0" distR="0" wp14:anchorId="659B7288" wp14:editId="5DA57351">
            <wp:extent cx="3670300" cy="3870609"/>
            <wp:effectExtent l="0" t="0" r="6350" b="0"/>
            <wp:docPr id="1430564814" name="Picture 204522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220036"/>
                    <pic:cNvPicPr/>
                  </pic:nvPicPr>
                  <pic:blipFill>
                    <a:blip r:embed="rId51">
                      <a:extLst>
                        <a:ext uri="{28A0092B-C50C-407E-A947-70E740481C1C}">
                          <a14:useLocalDpi xmlns:a14="http://schemas.microsoft.com/office/drawing/2010/main" val="0"/>
                        </a:ext>
                      </a:extLst>
                    </a:blip>
                    <a:stretch>
                      <a:fillRect/>
                    </a:stretch>
                  </pic:blipFill>
                  <pic:spPr>
                    <a:xfrm>
                      <a:off x="0" y="0"/>
                      <a:ext cx="3679752" cy="3880577"/>
                    </a:xfrm>
                    <a:prstGeom prst="rect">
                      <a:avLst/>
                    </a:prstGeom>
                  </pic:spPr>
                </pic:pic>
              </a:graphicData>
            </a:graphic>
          </wp:inline>
        </w:drawing>
      </w:r>
    </w:p>
    <w:p w14:paraId="7B807AC8" w14:textId="581D53AB" w:rsidR="008F68DB" w:rsidRDefault="008F68DB" w:rsidP="008C1BB7">
      <w:pPr>
        <w:rPr>
          <w:lang w:val="en-US"/>
        </w:rPr>
      </w:pPr>
      <w:r>
        <w:rPr>
          <w:noProof/>
          <w:lang w:val="en-US"/>
        </w:rPr>
        <w:drawing>
          <wp:inline distT="0" distB="0" distL="0" distR="0" wp14:anchorId="3432FEFE" wp14:editId="272794D4">
            <wp:extent cx="4572636" cy="3871595"/>
            <wp:effectExtent l="0" t="0" r="0" b="0"/>
            <wp:docPr id="2078436129" name="Picture 204522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220037"/>
                    <pic:cNvPicPr/>
                  </pic:nvPicPr>
                  <pic:blipFill>
                    <a:blip r:embed="rId52">
                      <a:extLst>
                        <a:ext uri="{28A0092B-C50C-407E-A947-70E740481C1C}">
                          <a14:useLocalDpi xmlns:a14="http://schemas.microsoft.com/office/drawing/2010/main" val="0"/>
                        </a:ext>
                      </a:extLst>
                    </a:blip>
                    <a:stretch>
                      <a:fillRect/>
                    </a:stretch>
                  </pic:blipFill>
                  <pic:spPr>
                    <a:xfrm>
                      <a:off x="0" y="0"/>
                      <a:ext cx="4572636" cy="3871595"/>
                    </a:xfrm>
                    <a:prstGeom prst="rect">
                      <a:avLst/>
                    </a:prstGeom>
                  </pic:spPr>
                </pic:pic>
              </a:graphicData>
            </a:graphic>
          </wp:inline>
        </w:drawing>
      </w:r>
    </w:p>
    <w:p w14:paraId="781FB783" w14:textId="2032EE7A" w:rsidR="008F68DB" w:rsidRDefault="008F68DB" w:rsidP="008C1BB7">
      <w:pPr>
        <w:rPr>
          <w:lang w:val="en-US"/>
        </w:rPr>
      </w:pPr>
      <w:r>
        <w:rPr>
          <w:noProof/>
          <w:lang w:val="en-US"/>
        </w:rPr>
        <w:drawing>
          <wp:inline distT="0" distB="0" distL="0" distR="0" wp14:anchorId="589263C0" wp14:editId="798BF3F1">
            <wp:extent cx="4616450" cy="2899852"/>
            <wp:effectExtent l="0" t="0" r="0" b="0"/>
            <wp:docPr id="2088757386" name="Picture 204522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220042"/>
                    <pic:cNvPicPr/>
                  </pic:nvPicPr>
                  <pic:blipFill>
                    <a:blip r:embed="rId53">
                      <a:extLst>
                        <a:ext uri="{28A0092B-C50C-407E-A947-70E740481C1C}">
                          <a14:useLocalDpi xmlns:a14="http://schemas.microsoft.com/office/drawing/2010/main" val="0"/>
                        </a:ext>
                      </a:extLst>
                    </a:blip>
                    <a:stretch>
                      <a:fillRect/>
                    </a:stretch>
                  </pic:blipFill>
                  <pic:spPr>
                    <a:xfrm>
                      <a:off x="0" y="0"/>
                      <a:ext cx="4622386" cy="2903581"/>
                    </a:xfrm>
                    <a:prstGeom prst="rect">
                      <a:avLst/>
                    </a:prstGeom>
                  </pic:spPr>
                </pic:pic>
              </a:graphicData>
            </a:graphic>
          </wp:inline>
        </w:drawing>
      </w:r>
    </w:p>
    <w:p w14:paraId="1A04A513" w14:textId="1A9B148F" w:rsidR="008F68DB" w:rsidRDefault="008F68DB" w:rsidP="008C1BB7">
      <w:pPr>
        <w:rPr>
          <w:lang w:val="en-US"/>
        </w:rPr>
      </w:pPr>
      <w:r>
        <w:rPr>
          <w:noProof/>
          <w:lang w:val="en-US"/>
        </w:rPr>
        <w:drawing>
          <wp:inline distT="0" distB="0" distL="0" distR="0" wp14:anchorId="380D445A" wp14:editId="6371278A">
            <wp:extent cx="4459810" cy="3514089"/>
            <wp:effectExtent l="0" t="0" r="0" b="0"/>
            <wp:docPr id="1990378502" name="Picture 204522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220041"/>
                    <pic:cNvPicPr/>
                  </pic:nvPicPr>
                  <pic:blipFill>
                    <a:blip r:embed="rId54">
                      <a:extLst>
                        <a:ext uri="{28A0092B-C50C-407E-A947-70E740481C1C}">
                          <a14:useLocalDpi xmlns:a14="http://schemas.microsoft.com/office/drawing/2010/main" val="0"/>
                        </a:ext>
                      </a:extLst>
                    </a:blip>
                    <a:stretch>
                      <a:fillRect/>
                    </a:stretch>
                  </pic:blipFill>
                  <pic:spPr>
                    <a:xfrm>
                      <a:off x="0" y="0"/>
                      <a:ext cx="4466586" cy="3519428"/>
                    </a:xfrm>
                    <a:prstGeom prst="rect">
                      <a:avLst/>
                    </a:prstGeom>
                  </pic:spPr>
                </pic:pic>
              </a:graphicData>
            </a:graphic>
          </wp:inline>
        </w:drawing>
      </w:r>
    </w:p>
    <w:p w14:paraId="0D63EDB9" w14:textId="255127B7" w:rsidR="008C1BB7" w:rsidRDefault="008C1BB7" w:rsidP="002003DD">
      <w:pPr>
        <w:pStyle w:val="Heading2"/>
      </w:pPr>
      <w:bookmarkStart w:id="107" w:name="_Toc45837570"/>
      <w:r>
        <w:t>Appendix 2 – Contact angle experiments on adhesives</w:t>
      </w:r>
      <w:bookmarkEnd w:id="107"/>
    </w:p>
    <w:p w14:paraId="356D4BC8" w14:textId="08E9F0AA" w:rsidR="00E86DD2" w:rsidRPr="00E86DD2" w:rsidRDefault="00E86DD2" w:rsidP="00E86DD2">
      <w:pPr>
        <w:rPr>
          <w:lang w:val="en-US"/>
        </w:rPr>
      </w:pPr>
      <w:r>
        <w:rPr>
          <w:lang w:val="en-US"/>
        </w:rPr>
        <w:t>Original processed data through the SAS System</w:t>
      </w:r>
    </w:p>
    <w:p w14:paraId="4DA37AE5" w14:textId="5B68C750" w:rsidR="008C1BB7" w:rsidRDefault="00E86DD2" w:rsidP="008C1BB7">
      <w:pPr>
        <w:rPr>
          <w:lang w:val="en-US"/>
        </w:rPr>
      </w:pPr>
      <w:r>
        <w:rPr>
          <w:noProof/>
          <w:lang w:val="en-US"/>
        </w:rPr>
        <w:drawing>
          <wp:inline distT="0" distB="0" distL="0" distR="0" wp14:anchorId="5DB33648" wp14:editId="2ADF097C">
            <wp:extent cx="4577080" cy="3432810"/>
            <wp:effectExtent l="0" t="0" r="0" b="0"/>
            <wp:docPr id="1530355051" name="Picture 2045220043" descr="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220043"/>
                    <pic:cNvPicPr/>
                  </pic:nvPicPr>
                  <pic:blipFill>
                    <a:blip r:embed="rId55">
                      <a:extLst>
                        <a:ext uri="{28A0092B-C50C-407E-A947-70E740481C1C}">
                          <a14:useLocalDpi xmlns:a14="http://schemas.microsoft.com/office/drawing/2010/main" val="0"/>
                        </a:ext>
                      </a:extLst>
                    </a:blip>
                    <a:stretch>
                      <a:fillRect/>
                    </a:stretch>
                  </pic:blipFill>
                  <pic:spPr>
                    <a:xfrm>
                      <a:off x="0" y="0"/>
                      <a:ext cx="4582295" cy="3436721"/>
                    </a:xfrm>
                    <a:prstGeom prst="rect">
                      <a:avLst/>
                    </a:prstGeom>
                  </pic:spPr>
                </pic:pic>
              </a:graphicData>
            </a:graphic>
          </wp:inline>
        </w:drawing>
      </w:r>
    </w:p>
    <w:p w14:paraId="13AE6EDF" w14:textId="77777777" w:rsidR="008C1BB7" w:rsidRDefault="008C1BB7" w:rsidP="008C1BB7">
      <w:pPr>
        <w:rPr>
          <w:lang w:val="en-US"/>
        </w:rPr>
      </w:pPr>
    </w:p>
    <w:p w14:paraId="231F72D2" w14:textId="1C6D48A3" w:rsidR="008C1BB7" w:rsidRDefault="008C1BB7" w:rsidP="002003DD">
      <w:pPr>
        <w:pStyle w:val="Heading2"/>
      </w:pPr>
      <w:bookmarkStart w:id="108" w:name="_Toc45837571"/>
      <w:r>
        <w:t>Appendix 3 – Bioluminescence Assay Experiments</w:t>
      </w:r>
      <w:bookmarkEnd w:id="108"/>
    </w:p>
    <w:p w14:paraId="27884DDD" w14:textId="0DA8C3CB" w:rsidR="00F53F75" w:rsidRDefault="00F53F75" w:rsidP="00F53F75">
      <w:pPr>
        <w:rPr>
          <w:lang w:val="en-US"/>
        </w:rPr>
      </w:pPr>
      <w:r>
        <w:rPr>
          <w:lang w:val="en-US"/>
        </w:rPr>
        <w:t>Week 1:</w:t>
      </w:r>
    </w:p>
    <w:p w14:paraId="1E6C07E8" w14:textId="66EF0F5B" w:rsidR="00F53F75" w:rsidRDefault="00F53F75" w:rsidP="00F53F75">
      <w:pPr>
        <w:rPr>
          <w:lang w:val="en-US"/>
        </w:rPr>
      </w:pPr>
      <w:r>
        <w:rPr>
          <w:noProof/>
          <w:lang w:val="en-US"/>
        </w:rPr>
        <w:drawing>
          <wp:inline distT="0" distB="0" distL="0" distR="0" wp14:anchorId="0EA0A953" wp14:editId="448C875B">
            <wp:extent cx="4430486" cy="2737304"/>
            <wp:effectExtent l="0" t="0" r="8255" b="6350"/>
            <wp:docPr id="11" name="Chart 1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C2CFE95" w14:textId="4C89C963" w:rsidR="00F53F75" w:rsidRDefault="00F53F75" w:rsidP="00F53F75">
      <w:pPr>
        <w:rPr>
          <w:lang w:val="en-US"/>
        </w:rPr>
      </w:pPr>
      <w:r>
        <w:rPr>
          <w:noProof/>
          <w:lang w:val="en-US"/>
        </w:rPr>
        <w:drawing>
          <wp:inline distT="0" distB="0" distL="0" distR="0" wp14:anchorId="63C0084F" wp14:editId="590BA234">
            <wp:extent cx="4430486" cy="2737304"/>
            <wp:effectExtent l="0" t="0" r="8255" b="6350"/>
            <wp:docPr id="20" name="Chart 20">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CFFB33B" w14:textId="74AD61DC" w:rsidR="00F53F75" w:rsidRDefault="00F53F75" w:rsidP="00F53F75">
      <w:pPr>
        <w:rPr>
          <w:lang w:val="en-US"/>
        </w:rPr>
      </w:pPr>
      <w:r>
        <w:rPr>
          <w:noProof/>
          <w:lang w:val="en-US"/>
        </w:rPr>
        <w:drawing>
          <wp:inline distT="0" distB="0" distL="0" distR="0" wp14:anchorId="3808D394" wp14:editId="45A99414">
            <wp:extent cx="4430486" cy="2737304"/>
            <wp:effectExtent l="0" t="0" r="8255" b="6350"/>
            <wp:docPr id="21" name="Chart 2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A90217E" w14:textId="1011D979" w:rsidR="00EB5743" w:rsidRDefault="00EB5743" w:rsidP="00F53F75">
      <w:pPr>
        <w:rPr>
          <w:lang w:val="en-US"/>
        </w:rPr>
      </w:pPr>
      <w:r>
        <w:rPr>
          <w:noProof/>
          <w:lang w:val="en-US"/>
        </w:rPr>
        <w:drawing>
          <wp:inline distT="0" distB="0" distL="0" distR="0" wp14:anchorId="3FC097BE" wp14:editId="5A8A338F">
            <wp:extent cx="4430486" cy="2737303"/>
            <wp:effectExtent l="0" t="0" r="8255" b="6350"/>
            <wp:docPr id="22" name="Chart 22">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7D0A0D8" w14:textId="74CE7C21" w:rsidR="00EB5743" w:rsidRDefault="00EB5743" w:rsidP="00F53F75">
      <w:pPr>
        <w:rPr>
          <w:lang w:val="en-US"/>
        </w:rPr>
      </w:pPr>
      <w:r>
        <w:rPr>
          <w:noProof/>
          <w:lang w:val="en-US"/>
        </w:rPr>
        <w:drawing>
          <wp:inline distT="0" distB="0" distL="0" distR="0" wp14:anchorId="071FB9FE" wp14:editId="672EE75D">
            <wp:extent cx="4430486" cy="2737303"/>
            <wp:effectExtent l="0" t="0" r="8255" b="6350"/>
            <wp:docPr id="23" name="Chart 23">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07CE82A" w14:textId="1E35BC32" w:rsidR="00EB5743" w:rsidRDefault="00EB5743" w:rsidP="00F53F75">
      <w:pPr>
        <w:rPr>
          <w:lang w:val="en-US"/>
        </w:rPr>
      </w:pPr>
      <w:r>
        <w:rPr>
          <w:noProof/>
          <w:lang w:val="en-US"/>
        </w:rPr>
        <w:drawing>
          <wp:inline distT="0" distB="0" distL="0" distR="0" wp14:anchorId="4028DA35" wp14:editId="7A480063">
            <wp:extent cx="4430486" cy="2737303"/>
            <wp:effectExtent l="0" t="0" r="8255" b="6350"/>
            <wp:docPr id="24" name="Chart 24">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E8198C4" w14:textId="3B3820A6" w:rsidR="00EB5743" w:rsidRDefault="00EB5743" w:rsidP="00F53F75">
      <w:pPr>
        <w:rPr>
          <w:lang w:val="en-US"/>
        </w:rPr>
      </w:pPr>
      <w:r>
        <w:rPr>
          <w:noProof/>
          <w:lang w:val="en-US"/>
        </w:rPr>
        <w:drawing>
          <wp:inline distT="0" distB="0" distL="0" distR="0" wp14:anchorId="724EC2A1" wp14:editId="528D9AD7">
            <wp:extent cx="4430486" cy="2737303"/>
            <wp:effectExtent l="0" t="0" r="8255" b="6350"/>
            <wp:docPr id="25" name="Chart 25">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3494F47" w14:textId="7F47E887" w:rsidR="00EB5743" w:rsidRDefault="00EB5743" w:rsidP="00F53F75">
      <w:pPr>
        <w:rPr>
          <w:lang w:val="en-US"/>
        </w:rPr>
      </w:pPr>
      <w:r>
        <w:rPr>
          <w:noProof/>
          <w:lang w:val="en-US"/>
        </w:rPr>
        <w:drawing>
          <wp:inline distT="0" distB="0" distL="0" distR="0" wp14:anchorId="4290D511" wp14:editId="494AB99A">
            <wp:extent cx="4430486" cy="2737304"/>
            <wp:effectExtent l="0" t="0" r="8255" b="6350"/>
            <wp:docPr id="26" name="Chart 26">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4B07B62" w14:textId="561E1A1E" w:rsidR="00EB5743" w:rsidRDefault="00EB5743" w:rsidP="00F53F75">
      <w:pPr>
        <w:rPr>
          <w:lang w:val="en-US"/>
        </w:rPr>
      </w:pPr>
      <w:r>
        <w:rPr>
          <w:lang w:val="en-US"/>
        </w:rPr>
        <w:t xml:space="preserve">Week 2: </w:t>
      </w:r>
    </w:p>
    <w:p w14:paraId="5BDCCBEF" w14:textId="5490FA5C" w:rsidR="00EB5743" w:rsidRDefault="00EB5743" w:rsidP="00F53F75">
      <w:pPr>
        <w:rPr>
          <w:lang w:val="en-US"/>
        </w:rPr>
      </w:pPr>
      <w:r>
        <w:rPr>
          <w:noProof/>
          <w:lang w:val="en-US"/>
        </w:rPr>
        <w:drawing>
          <wp:inline distT="0" distB="0" distL="0" distR="0" wp14:anchorId="02C74836" wp14:editId="3229F771">
            <wp:extent cx="4430486" cy="2737304"/>
            <wp:effectExtent l="0" t="0" r="8255" b="6350"/>
            <wp:docPr id="27" name="Chart 27">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8E185F8" w14:textId="7DADFEE2" w:rsidR="00EB5743" w:rsidRDefault="00EB5743" w:rsidP="00F53F75">
      <w:pPr>
        <w:rPr>
          <w:lang w:val="en-US"/>
        </w:rPr>
      </w:pPr>
      <w:r>
        <w:rPr>
          <w:noProof/>
          <w:lang w:val="en-US"/>
        </w:rPr>
        <w:drawing>
          <wp:inline distT="0" distB="0" distL="0" distR="0" wp14:anchorId="1BDCC048" wp14:editId="7EC945DF">
            <wp:extent cx="4430486" cy="2737304"/>
            <wp:effectExtent l="0" t="0" r="8255" b="6350"/>
            <wp:docPr id="28" name="Chart 28">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7181745" w14:textId="702EC7D3" w:rsidR="00EB5743" w:rsidRDefault="00EB5743" w:rsidP="00F53F75">
      <w:pPr>
        <w:rPr>
          <w:lang w:val="en-US"/>
        </w:rPr>
      </w:pPr>
      <w:r>
        <w:rPr>
          <w:noProof/>
          <w:lang w:val="en-US"/>
        </w:rPr>
        <w:drawing>
          <wp:inline distT="0" distB="0" distL="0" distR="0" wp14:anchorId="4427E67A" wp14:editId="49C19F00">
            <wp:extent cx="4430486" cy="2737304"/>
            <wp:effectExtent l="0" t="0" r="8255" b="6350"/>
            <wp:docPr id="29" name="Chart 29">
              <a:extLst xmlns:a="http://schemas.openxmlformats.org/drawingml/2006/main">
                <a:ext uri="{FF2B5EF4-FFF2-40B4-BE49-F238E27FC236}">
                  <a16:creationId xmlns:a16="http://schemas.microsoft.com/office/drawing/2014/main" id="{00000000-0008-0000-0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DB4D83F" w14:textId="035B4AB5" w:rsidR="00EB5743" w:rsidRDefault="00EB5743" w:rsidP="00F53F75">
      <w:pPr>
        <w:rPr>
          <w:lang w:val="en-US"/>
        </w:rPr>
      </w:pPr>
      <w:r>
        <w:rPr>
          <w:noProof/>
          <w:lang w:val="en-US"/>
        </w:rPr>
        <w:drawing>
          <wp:inline distT="0" distB="0" distL="0" distR="0" wp14:anchorId="0E92DB75" wp14:editId="32F9C1C4">
            <wp:extent cx="4430486" cy="2737303"/>
            <wp:effectExtent l="0" t="0" r="8255" b="6350"/>
            <wp:docPr id="30" name="Chart 30">
              <a:extLst xmlns:a="http://schemas.openxmlformats.org/drawingml/2006/main">
                <a:ext uri="{FF2B5EF4-FFF2-40B4-BE49-F238E27FC236}">
                  <a16:creationId xmlns:a16="http://schemas.microsoft.com/office/drawing/2014/main" id="{00000000-0008-0000-02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04DB454" w14:textId="3D902D36" w:rsidR="00EB5743" w:rsidRDefault="00EB5743" w:rsidP="00F53F75">
      <w:pPr>
        <w:rPr>
          <w:lang w:val="en-US"/>
        </w:rPr>
      </w:pPr>
      <w:r>
        <w:rPr>
          <w:noProof/>
          <w:lang w:val="en-US"/>
        </w:rPr>
        <w:drawing>
          <wp:inline distT="0" distB="0" distL="0" distR="0" wp14:anchorId="57425C8A" wp14:editId="27E4EF8E">
            <wp:extent cx="4430486" cy="2737303"/>
            <wp:effectExtent l="0" t="0" r="8255" b="6350"/>
            <wp:docPr id="31" name="Chart 31">
              <a:extLst xmlns:a="http://schemas.openxmlformats.org/drawingml/2006/main">
                <a:ext uri="{FF2B5EF4-FFF2-40B4-BE49-F238E27FC236}">
                  <a16:creationId xmlns:a16="http://schemas.microsoft.com/office/drawing/2014/main" id="{00000000-0008-0000-02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F23339A" w14:textId="5FF44304" w:rsidR="00EB5743" w:rsidRDefault="00EB5743" w:rsidP="00F53F75">
      <w:pPr>
        <w:rPr>
          <w:lang w:val="en-US"/>
        </w:rPr>
      </w:pPr>
      <w:r>
        <w:rPr>
          <w:noProof/>
          <w:lang w:val="en-US"/>
        </w:rPr>
        <w:drawing>
          <wp:inline distT="0" distB="0" distL="0" distR="0" wp14:anchorId="1638F75E" wp14:editId="22769DE1">
            <wp:extent cx="4430486" cy="2737303"/>
            <wp:effectExtent l="0" t="0" r="8255" b="6350"/>
            <wp:docPr id="32" name="Chart 32">
              <a:extLst xmlns:a="http://schemas.openxmlformats.org/drawingml/2006/main">
                <a:ext uri="{FF2B5EF4-FFF2-40B4-BE49-F238E27FC236}">
                  <a16:creationId xmlns:a16="http://schemas.microsoft.com/office/drawing/2014/main" id="{00000000-0008-0000-02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8BBC9EB" w14:textId="0C16BDCB" w:rsidR="00EB5743" w:rsidRDefault="00EB5743" w:rsidP="00F53F75">
      <w:pPr>
        <w:rPr>
          <w:lang w:val="en-US"/>
        </w:rPr>
      </w:pPr>
      <w:r>
        <w:rPr>
          <w:noProof/>
          <w:lang w:val="en-US"/>
        </w:rPr>
        <w:drawing>
          <wp:inline distT="0" distB="0" distL="0" distR="0" wp14:anchorId="0CFB3067" wp14:editId="1B7C9C43">
            <wp:extent cx="4430486" cy="2737303"/>
            <wp:effectExtent l="0" t="0" r="8255" b="6350"/>
            <wp:docPr id="33" name="Chart 33">
              <a:extLst xmlns:a="http://schemas.openxmlformats.org/drawingml/2006/main">
                <a:ext uri="{FF2B5EF4-FFF2-40B4-BE49-F238E27FC236}">
                  <a16:creationId xmlns:a16="http://schemas.microsoft.com/office/drawing/2014/main" id="{00000000-0008-0000-02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F7BC96B" w14:textId="2CA83678" w:rsidR="00EB5743" w:rsidRDefault="00EB5743" w:rsidP="00F53F75">
      <w:pPr>
        <w:rPr>
          <w:lang w:val="en-US"/>
        </w:rPr>
      </w:pPr>
      <w:r>
        <w:rPr>
          <w:noProof/>
          <w:lang w:val="en-US"/>
        </w:rPr>
        <w:drawing>
          <wp:inline distT="0" distB="0" distL="0" distR="0" wp14:anchorId="624C52EC" wp14:editId="25160D1D">
            <wp:extent cx="4430486" cy="2737304"/>
            <wp:effectExtent l="0" t="0" r="8255" b="6350"/>
            <wp:docPr id="34" name="Chart 34">
              <a:extLst xmlns:a="http://schemas.openxmlformats.org/drawingml/2006/main">
                <a:ext uri="{FF2B5EF4-FFF2-40B4-BE49-F238E27FC236}">
                  <a16:creationId xmlns:a16="http://schemas.microsoft.com/office/drawing/2014/main" id="{00000000-0008-0000-02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C3E753B" w14:textId="1A6F5032" w:rsidR="00EB5743" w:rsidRDefault="00EB5743" w:rsidP="00F53F75">
      <w:pPr>
        <w:rPr>
          <w:lang w:val="en-US"/>
        </w:rPr>
      </w:pPr>
      <w:r>
        <w:rPr>
          <w:lang w:val="en-US"/>
        </w:rPr>
        <w:t xml:space="preserve">Week 3: </w:t>
      </w:r>
    </w:p>
    <w:p w14:paraId="3B645CEA" w14:textId="221475FE" w:rsidR="00EB5743" w:rsidRDefault="00EB5743" w:rsidP="00F53F75">
      <w:pPr>
        <w:rPr>
          <w:lang w:val="en-US"/>
        </w:rPr>
      </w:pPr>
      <w:r>
        <w:rPr>
          <w:noProof/>
          <w:lang w:val="en-US"/>
        </w:rPr>
        <w:drawing>
          <wp:inline distT="0" distB="0" distL="0" distR="0" wp14:anchorId="6C46D83C" wp14:editId="74E261EA">
            <wp:extent cx="4430486" cy="2737304"/>
            <wp:effectExtent l="0" t="0" r="8255" b="6350"/>
            <wp:docPr id="35" name="Chart 35">
              <a:extLst xmlns:a="http://schemas.openxmlformats.org/drawingml/2006/main">
                <a:ext uri="{FF2B5EF4-FFF2-40B4-BE49-F238E27FC236}">
                  <a16:creationId xmlns:a16="http://schemas.microsoft.com/office/drawing/2014/main" id="{00000000-0008-0000-0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5FF4C78" w14:textId="539569B8" w:rsidR="00EB5743" w:rsidRDefault="00EB5743" w:rsidP="00F53F75">
      <w:pPr>
        <w:rPr>
          <w:lang w:val="en-US"/>
        </w:rPr>
      </w:pPr>
      <w:r>
        <w:rPr>
          <w:noProof/>
          <w:lang w:val="en-US"/>
        </w:rPr>
        <w:drawing>
          <wp:inline distT="0" distB="0" distL="0" distR="0" wp14:anchorId="7ABEF1C0" wp14:editId="0A4D3AAE">
            <wp:extent cx="4430486" cy="2737304"/>
            <wp:effectExtent l="0" t="0" r="8255" b="6350"/>
            <wp:docPr id="36" name="Chart 36">
              <a:extLst xmlns:a="http://schemas.openxmlformats.org/drawingml/2006/main">
                <a:ext uri="{FF2B5EF4-FFF2-40B4-BE49-F238E27FC236}">
                  <a16:creationId xmlns:a16="http://schemas.microsoft.com/office/drawing/2014/main" id="{00000000-0008-0000-0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605A9E3" w14:textId="06226D5A" w:rsidR="00EB5743" w:rsidRDefault="00EB5743" w:rsidP="00F53F75">
      <w:pPr>
        <w:rPr>
          <w:lang w:val="en-US"/>
        </w:rPr>
      </w:pPr>
      <w:r>
        <w:rPr>
          <w:noProof/>
          <w:lang w:val="en-US"/>
        </w:rPr>
        <w:drawing>
          <wp:inline distT="0" distB="0" distL="0" distR="0" wp14:anchorId="1024DA2E" wp14:editId="70D2BE92">
            <wp:extent cx="4430486" cy="2737304"/>
            <wp:effectExtent l="0" t="0" r="8255" b="6350"/>
            <wp:docPr id="37" name="Chart 37">
              <a:extLst xmlns:a="http://schemas.openxmlformats.org/drawingml/2006/main">
                <a:ext uri="{FF2B5EF4-FFF2-40B4-BE49-F238E27FC236}">
                  <a16:creationId xmlns:a16="http://schemas.microsoft.com/office/drawing/2014/main" id="{00000000-0008-0000-0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1C9CA5E" w14:textId="363DD80F" w:rsidR="00EB5743" w:rsidRDefault="00EB5743" w:rsidP="00F53F75">
      <w:pPr>
        <w:rPr>
          <w:lang w:val="en-US"/>
        </w:rPr>
      </w:pPr>
      <w:r>
        <w:rPr>
          <w:noProof/>
          <w:lang w:val="en-US"/>
        </w:rPr>
        <w:drawing>
          <wp:inline distT="0" distB="0" distL="0" distR="0" wp14:anchorId="1ED9658A" wp14:editId="15192964">
            <wp:extent cx="4430486" cy="2737303"/>
            <wp:effectExtent l="0" t="0" r="8255" b="6350"/>
            <wp:docPr id="38" name="Chart 38">
              <a:extLst xmlns:a="http://schemas.openxmlformats.org/drawingml/2006/main">
                <a:ext uri="{FF2B5EF4-FFF2-40B4-BE49-F238E27FC236}">
                  <a16:creationId xmlns:a16="http://schemas.microsoft.com/office/drawing/2014/main" id="{00000000-0008-0000-02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D968A51" w14:textId="57123A6E" w:rsidR="00EB5743" w:rsidRDefault="00EB5743" w:rsidP="00F53F75">
      <w:pPr>
        <w:rPr>
          <w:lang w:val="en-US"/>
        </w:rPr>
      </w:pPr>
      <w:r>
        <w:rPr>
          <w:noProof/>
          <w:lang w:val="en-US"/>
        </w:rPr>
        <w:drawing>
          <wp:inline distT="0" distB="0" distL="0" distR="0" wp14:anchorId="32613E65" wp14:editId="57A37198">
            <wp:extent cx="4430486" cy="2737303"/>
            <wp:effectExtent l="0" t="0" r="8255" b="6350"/>
            <wp:docPr id="39" name="Chart 39">
              <a:extLst xmlns:a="http://schemas.openxmlformats.org/drawingml/2006/main">
                <a:ext uri="{FF2B5EF4-FFF2-40B4-BE49-F238E27FC236}">
                  <a16:creationId xmlns:a16="http://schemas.microsoft.com/office/drawing/2014/main" id="{00000000-0008-0000-02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1587655" w14:textId="36138914" w:rsidR="00EB5743" w:rsidRDefault="00EB5743" w:rsidP="00F53F75">
      <w:pPr>
        <w:rPr>
          <w:lang w:val="en-US"/>
        </w:rPr>
      </w:pPr>
      <w:r>
        <w:rPr>
          <w:noProof/>
          <w:lang w:val="en-US"/>
        </w:rPr>
        <w:drawing>
          <wp:inline distT="0" distB="0" distL="0" distR="0" wp14:anchorId="0887FFF4" wp14:editId="6472DEB9">
            <wp:extent cx="4430486" cy="2737303"/>
            <wp:effectExtent l="0" t="0" r="8255" b="6350"/>
            <wp:docPr id="40" name="Chart 40">
              <a:extLst xmlns:a="http://schemas.openxmlformats.org/drawingml/2006/main">
                <a:ext uri="{FF2B5EF4-FFF2-40B4-BE49-F238E27FC236}">
                  <a16:creationId xmlns:a16="http://schemas.microsoft.com/office/drawing/2014/main" id="{00000000-0008-0000-02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67E9F75" w14:textId="37C8EE70" w:rsidR="00EB5743" w:rsidRDefault="00EB5743" w:rsidP="00F53F75">
      <w:pPr>
        <w:rPr>
          <w:lang w:val="en-US"/>
        </w:rPr>
      </w:pPr>
      <w:r>
        <w:rPr>
          <w:noProof/>
          <w:lang w:val="en-US"/>
        </w:rPr>
        <w:drawing>
          <wp:inline distT="0" distB="0" distL="0" distR="0" wp14:anchorId="29F44C8C" wp14:editId="1C2959B3">
            <wp:extent cx="4430486" cy="2737303"/>
            <wp:effectExtent l="0" t="0" r="8255" b="6350"/>
            <wp:docPr id="41" name="Chart 41">
              <a:extLst xmlns:a="http://schemas.openxmlformats.org/drawingml/2006/main">
                <a:ext uri="{FF2B5EF4-FFF2-40B4-BE49-F238E27FC236}">
                  <a16:creationId xmlns:a16="http://schemas.microsoft.com/office/drawing/2014/main" id="{00000000-0008-0000-02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27015AE" w14:textId="509A0182" w:rsidR="00EB5743" w:rsidRDefault="00EB5743" w:rsidP="00F53F75">
      <w:pPr>
        <w:rPr>
          <w:lang w:val="en-US"/>
        </w:rPr>
      </w:pPr>
      <w:r>
        <w:rPr>
          <w:noProof/>
          <w:lang w:val="en-US"/>
        </w:rPr>
        <w:drawing>
          <wp:inline distT="0" distB="0" distL="0" distR="0" wp14:anchorId="3F38A69A" wp14:editId="7B5C3BA2">
            <wp:extent cx="4430486" cy="2737304"/>
            <wp:effectExtent l="0" t="0" r="8255" b="6350"/>
            <wp:docPr id="43" name="Chart 43">
              <a:extLst xmlns:a="http://schemas.openxmlformats.org/drawingml/2006/main">
                <a:ext uri="{FF2B5EF4-FFF2-40B4-BE49-F238E27FC236}">
                  <a16:creationId xmlns:a16="http://schemas.microsoft.com/office/drawing/2014/main" id="{00000000-0008-0000-02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D9451F7" w14:textId="77777777" w:rsidR="00EB5743" w:rsidRPr="00F53F75" w:rsidRDefault="00EB5743" w:rsidP="00F53F75">
      <w:pPr>
        <w:rPr>
          <w:lang w:val="en-US"/>
        </w:rPr>
      </w:pPr>
    </w:p>
    <w:p w14:paraId="3257DE85" w14:textId="00878F33" w:rsidR="00894A3A" w:rsidRPr="008171EC" w:rsidRDefault="00894A3A" w:rsidP="008171EC">
      <w:pPr>
        <w:pStyle w:val="ListParagraph"/>
        <w:ind w:left="1070"/>
        <w:rPr>
          <w:rFonts w:cs="Times New Roman"/>
          <w:szCs w:val="24"/>
          <w:lang w:val="en-US"/>
        </w:rPr>
      </w:pPr>
    </w:p>
    <w:sectPr w:rsidR="00894A3A" w:rsidRPr="008171EC" w:rsidSect="00337282">
      <w:pgSz w:w="12240" w:h="15840"/>
      <w:pgMar w:top="1728" w:right="1728" w:bottom="1728"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0C2E9" w14:textId="77777777" w:rsidR="0026683E" w:rsidRDefault="0026683E" w:rsidP="00C41BFF">
      <w:pPr>
        <w:spacing w:after="0" w:line="240" w:lineRule="auto"/>
      </w:pPr>
      <w:r>
        <w:separator/>
      </w:r>
    </w:p>
  </w:endnote>
  <w:endnote w:type="continuationSeparator" w:id="0">
    <w:p w14:paraId="0FDFA21E" w14:textId="77777777" w:rsidR="0026683E" w:rsidRDefault="0026683E" w:rsidP="00C41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DB337" w14:textId="1244C7B6" w:rsidR="00E563E8" w:rsidRDefault="00E563E8">
    <w:pPr>
      <w:pStyle w:val="Footer"/>
      <w:jc w:val="center"/>
    </w:pPr>
  </w:p>
  <w:p w14:paraId="04013334" w14:textId="77777777" w:rsidR="00E563E8" w:rsidRDefault="00E56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7569206"/>
      <w:docPartObj>
        <w:docPartGallery w:val="Page Numbers (Bottom of Page)"/>
        <w:docPartUnique/>
      </w:docPartObj>
    </w:sdtPr>
    <w:sdtEndPr>
      <w:rPr>
        <w:noProof/>
      </w:rPr>
    </w:sdtEndPr>
    <w:sdtContent>
      <w:p w14:paraId="0E1FF374" w14:textId="77777777" w:rsidR="00F2343E" w:rsidRDefault="00F2343E">
        <w:pPr>
          <w:pStyle w:val="Footer"/>
          <w:jc w:val="center"/>
        </w:pPr>
        <w:r>
          <w:fldChar w:fldCharType="begin"/>
        </w:r>
        <w:r>
          <w:instrText xml:space="preserve"> PAGE   \* MERGEFORMAT </w:instrText>
        </w:r>
        <w:r>
          <w:fldChar w:fldCharType="separate"/>
        </w:r>
        <w:r>
          <w:rPr>
            <w:noProof/>
          </w:rPr>
          <w:t>71</w:t>
        </w:r>
        <w:r>
          <w:rPr>
            <w:noProof/>
          </w:rPr>
          <w:fldChar w:fldCharType="end"/>
        </w:r>
      </w:p>
    </w:sdtContent>
  </w:sdt>
  <w:p w14:paraId="7ACB53B2" w14:textId="77777777" w:rsidR="00F2343E" w:rsidRDefault="00F23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1ECA1" w14:textId="77777777" w:rsidR="0026683E" w:rsidRDefault="0026683E" w:rsidP="00C41BFF">
      <w:pPr>
        <w:spacing w:after="0" w:line="240" w:lineRule="auto"/>
      </w:pPr>
      <w:r>
        <w:separator/>
      </w:r>
    </w:p>
  </w:footnote>
  <w:footnote w:type="continuationSeparator" w:id="0">
    <w:p w14:paraId="7ECC4E51" w14:textId="77777777" w:rsidR="0026683E" w:rsidRDefault="0026683E" w:rsidP="00C41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80452"/>
    <w:multiLevelType w:val="hybridMultilevel"/>
    <w:tmpl w:val="ED068882"/>
    <w:lvl w:ilvl="0" w:tplc="540A000F">
      <w:start w:val="1"/>
      <w:numFmt w:val="decimal"/>
      <w:lvlText w:val="%1."/>
      <w:lvlJc w:val="left"/>
      <w:pPr>
        <w:ind w:left="720" w:hanging="360"/>
      </w:p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15:restartNumberingAfterBreak="0">
    <w:nsid w:val="0F67138F"/>
    <w:multiLevelType w:val="hybridMultilevel"/>
    <w:tmpl w:val="CD5AA93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15:restartNumberingAfterBreak="0">
    <w:nsid w:val="2F173911"/>
    <w:multiLevelType w:val="hybridMultilevel"/>
    <w:tmpl w:val="D9BA5FB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15:restartNumberingAfterBreak="0">
    <w:nsid w:val="38C9320C"/>
    <w:multiLevelType w:val="hybridMultilevel"/>
    <w:tmpl w:val="AB7E831C"/>
    <w:lvl w:ilvl="0" w:tplc="91782B04">
      <w:start w:val="3"/>
      <w:numFmt w:val="decimal"/>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4" w15:restartNumberingAfterBreak="0">
    <w:nsid w:val="39AF3A05"/>
    <w:multiLevelType w:val="hybridMultilevel"/>
    <w:tmpl w:val="CD5AA93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47E44815"/>
    <w:multiLevelType w:val="hybridMultilevel"/>
    <w:tmpl w:val="32845AC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15:restartNumberingAfterBreak="0">
    <w:nsid w:val="54E63996"/>
    <w:multiLevelType w:val="hybridMultilevel"/>
    <w:tmpl w:val="06F2DA3A"/>
    <w:lvl w:ilvl="0" w:tplc="057E1A6C">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3CF4219"/>
    <w:multiLevelType w:val="hybridMultilevel"/>
    <w:tmpl w:val="DFDEF43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8" w15:restartNumberingAfterBreak="0">
    <w:nsid w:val="67B96A2E"/>
    <w:multiLevelType w:val="hybridMultilevel"/>
    <w:tmpl w:val="69569BD8"/>
    <w:lvl w:ilvl="0" w:tplc="3638898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num>
  <w:num w:numId="2">
    <w:abstractNumId w:val="7"/>
  </w:num>
  <w:num w:numId="3">
    <w:abstractNumId w:val="4"/>
  </w:num>
  <w:num w:numId="4">
    <w:abstractNumId w:val="5"/>
  </w:num>
  <w:num w:numId="5">
    <w:abstractNumId w:val="2"/>
  </w:num>
  <w:num w:numId="6">
    <w:abstractNumId w:val="8"/>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tvw0pfc000aae59xtxdpf600pr920sw55x&quot;&gt;My EndNote Library&lt;record-ids&gt;&lt;item&gt;386&lt;/item&gt;&lt;item&gt;387&lt;/item&gt;&lt;item&gt;388&lt;/item&gt;&lt;item&gt;389&lt;/item&gt;&lt;item&gt;428&lt;/item&gt;&lt;/record-ids&gt;&lt;/item&gt;&lt;/Libraries&gt;"/>
  </w:docVars>
  <w:rsids>
    <w:rsidRoot w:val="00C01724"/>
    <w:rsid w:val="0000129D"/>
    <w:rsid w:val="00001399"/>
    <w:rsid w:val="0000285C"/>
    <w:rsid w:val="00004721"/>
    <w:rsid w:val="000078BF"/>
    <w:rsid w:val="000120A0"/>
    <w:rsid w:val="0001258B"/>
    <w:rsid w:val="0001505E"/>
    <w:rsid w:val="00016829"/>
    <w:rsid w:val="00017EF6"/>
    <w:rsid w:val="00021FC6"/>
    <w:rsid w:val="000301F3"/>
    <w:rsid w:val="000305C8"/>
    <w:rsid w:val="00030A54"/>
    <w:rsid w:val="00032759"/>
    <w:rsid w:val="00032B4B"/>
    <w:rsid w:val="000347D4"/>
    <w:rsid w:val="000348BF"/>
    <w:rsid w:val="00034B95"/>
    <w:rsid w:val="00040020"/>
    <w:rsid w:val="00040052"/>
    <w:rsid w:val="000403F6"/>
    <w:rsid w:val="0004327C"/>
    <w:rsid w:val="0004739C"/>
    <w:rsid w:val="00050783"/>
    <w:rsid w:val="00051871"/>
    <w:rsid w:val="00051BF0"/>
    <w:rsid w:val="00053856"/>
    <w:rsid w:val="00060919"/>
    <w:rsid w:val="0006295D"/>
    <w:rsid w:val="000649C6"/>
    <w:rsid w:val="000713E3"/>
    <w:rsid w:val="00073FBA"/>
    <w:rsid w:val="00074006"/>
    <w:rsid w:val="00075B83"/>
    <w:rsid w:val="000774E0"/>
    <w:rsid w:val="0008188F"/>
    <w:rsid w:val="0008327A"/>
    <w:rsid w:val="000838A4"/>
    <w:rsid w:val="00083C9F"/>
    <w:rsid w:val="000866AB"/>
    <w:rsid w:val="00086C3A"/>
    <w:rsid w:val="00090833"/>
    <w:rsid w:val="00092337"/>
    <w:rsid w:val="00092402"/>
    <w:rsid w:val="000956C6"/>
    <w:rsid w:val="00096540"/>
    <w:rsid w:val="000A1699"/>
    <w:rsid w:val="000A2778"/>
    <w:rsid w:val="000A28D1"/>
    <w:rsid w:val="000A3185"/>
    <w:rsid w:val="000A3307"/>
    <w:rsid w:val="000A3C45"/>
    <w:rsid w:val="000A4814"/>
    <w:rsid w:val="000A650F"/>
    <w:rsid w:val="000B2449"/>
    <w:rsid w:val="000B2D41"/>
    <w:rsid w:val="000B3FAC"/>
    <w:rsid w:val="000B505F"/>
    <w:rsid w:val="000B5AB4"/>
    <w:rsid w:val="000B7119"/>
    <w:rsid w:val="000B76BE"/>
    <w:rsid w:val="000C2420"/>
    <w:rsid w:val="000C6907"/>
    <w:rsid w:val="000D0AD7"/>
    <w:rsid w:val="000D1485"/>
    <w:rsid w:val="000D3588"/>
    <w:rsid w:val="000D53BC"/>
    <w:rsid w:val="000D6A41"/>
    <w:rsid w:val="000E252A"/>
    <w:rsid w:val="000E33D5"/>
    <w:rsid w:val="000E365D"/>
    <w:rsid w:val="000E65DC"/>
    <w:rsid w:val="000F0F1E"/>
    <w:rsid w:val="000F16AB"/>
    <w:rsid w:val="000F426C"/>
    <w:rsid w:val="000F44F0"/>
    <w:rsid w:val="000F50CB"/>
    <w:rsid w:val="000F67F4"/>
    <w:rsid w:val="000F685B"/>
    <w:rsid w:val="000F7865"/>
    <w:rsid w:val="000F7E31"/>
    <w:rsid w:val="0010415D"/>
    <w:rsid w:val="0010451C"/>
    <w:rsid w:val="00105AA6"/>
    <w:rsid w:val="00105F0E"/>
    <w:rsid w:val="00107E01"/>
    <w:rsid w:val="001101F0"/>
    <w:rsid w:val="001104C6"/>
    <w:rsid w:val="00111A74"/>
    <w:rsid w:val="0011394B"/>
    <w:rsid w:val="00115658"/>
    <w:rsid w:val="001166AD"/>
    <w:rsid w:val="00117EF2"/>
    <w:rsid w:val="001220E4"/>
    <w:rsid w:val="001266E4"/>
    <w:rsid w:val="00127EFC"/>
    <w:rsid w:val="00132670"/>
    <w:rsid w:val="00133877"/>
    <w:rsid w:val="0013499E"/>
    <w:rsid w:val="00134A42"/>
    <w:rsid w:val="00136767"/>
    <w:rsid w:val="00136B0B"/>
    <w:rsid w:val="00136FC7"/>
    <w:rsid w:val="00137411"/>
    <w:rsid w:val="00142881"/>
    <w:rsid w:val="00144ABC"/>
    <w:rsid w:val="00147367"/>
    <w:rsid w:val="00147785"/>
    <w:rsid w:val="00150058"/>
    <w:rsid w:val="0015163B"/>
    <w:rsid w:val="001568A6"/>
    <w:rsid w:val="001617F8"/>
    <w:rsid w:val="00162B4F"/>
    <w:rsid w:val="00163E79"/>
    <w:rsid w:val="0017136F"/>
    <w:rsid w:val="00171CE9"/>
    <w:rsid w:val="0017263C"/>
    <w:rsid w:val="00172DB4"/>
    <w:rsid w:val="00174888"/>
    <w:rsid w:val="00174BAE"/>
    <w:rsid w:val="00176A87"/>
    <w:rsid w:val="00186A6B"/>
    <w:rsid w:val="00186E5C"/>
    <w:rsid w:val="001871A4"/>
    <w:rsid w:val="00191E5F"/>
    <w:rsid w:val="00192579"/>
    <w:rsid w:val="00193892"/>
    <w:rsid w:val="00194B61"/>
    <w:rsid w:val="00197649"/>
    <w:rsid w:val="001977DB"/>
    <w:rsid w:val="001B10AF"/>
    <w:rsid w:val="001B4ABF"/>
    <w:rsid w:val="001B58F7"/>
    <w:rsid w:val="001B6026"/>
    <w:rsid w:val="001C053C"/>
    <w:rsid w:val="001C10D5"/>
    <w:rsid w:val="001C35A9"/>
    <w:rsid w:val="001C5A8B"/>
    <w:rsid w:val="001C612D"/>
    <w:rsid w:val="001C673D"/>
    <w:rsid w:val="001D07E9"/>
    <w:rsid w:val="001D180C"/>
    <w:rsid w:val="001D2F28"/>
    <w:rsid w:val="001D51CC"/>
    <w:rsid w:val="001D51D7"/>
    <w:rsid w:val="001E0216"/>
    <w:rsid w:val="001E02C2"/>
    <w:rsid w:val="001E1393"/>
    <w:rsid w:val="001E5ED8"/>
    <w:rsid w:val="001F0176"/>
    <w:rsid w:val="001F15BA"/>
    <w:rsid w:val="001F18F2"/>
    <w:rsid w:val="001F217A"/>
    <w:rsid w:val="001F2749"/>
    <w:rsid w:val="001F31C3"/>
    <w:rsid w:val="001F67BE"/>
    <w:rsid w:val="001F729B"/>
    <w:rsid w:val="002003DD"/>
    <w:rsid w:val="00205531"/>
    <w:rsid w:val="00205E72"/>
    <w:rsid w:val="00210186"/>
    <w:rsid w:val="00210B1E"/>
    <w:rsid w:val="002137D5"/>
    <w:rsid w:val="00214A91"/>
    <w:rsid w:val="00215EBE"/>
    <w:rsid w:val="00223645"/>
    <w:rsid w:val="00224CF5"/>
    <w:rsid w:val="00227A3F"/>
    <w:rsid w:val="002304D2"/>
    <w:rsid w:val="002313A7"/>
    <w:rsid w:val="0023275B"/>
    <w:rsid w:val="002330F7"/>
    <w:rsid w:val="0023510C"/>
    <w:rsid w:val="00235ADC"/>
    <w:rsid w:val="00236344"/>
    <w:rsid w:val="00236689"/>
    <w:rsid w:val="002369A6"/>
    <w:rsid w:val="00236C6D"/>
    <w:rsid w:val="00240B6A"/>
    <w:rsid w:val="00241A81"/>
    <w:rsid w:val="00246CFC"/>
    <w:rsid w:val="00252537"/>
    <w:rsid w:val="00255019"/>
    <w:rsid w:val="00257E6A"/>
    <w:rsid w:val="002632BD"/>
    <w:rsid w:val="002666FB"/>
    <w:rsid w:val="0026683E"/>
    <w:rsid w:val="00267A86"/>
    <w:rsid w:val="002700A7"/>
    <w:rsid w:val="00273D80"/>
    <w:rsid w:val="00280637"/>
    <w:rsid w:val="0028100B"/>
    <w:rsid w:val="00281892"/>
    <w:rsid w:val="00286448"/>
    <w:rsid w:val="002868C6"/>
    <w:rsid w:val="002879F4"/>
    <w:rsid w:val="002900A3"/>
    <w:rsid w:val="002908F9"/>
    <w:rsid w:val="00291CFD"/>
    <w:rsid w:val="002923B4"/>
    <w:rsid w:val="00293A65"/>
    <w:rsid w:val="002976FC"/>
    <w:rsid w:val="00297B5D"/>
    <w:rsid w:val="002A1480"/>
    <w:rsid w:val="002A3480"/>
    <w:rsid w:val="002A4A34"/>
    <w:rsid w:val="002A6A94"/>
    <w:rsid w:val="002A7C28"/>
    <w:rsid w:val="002B4A57"/>
    <w:rsid w:val="002B5A0E"/>
    <w:rsid w:val="002B60D3"/>
    <w:rsid w:val="002B73CA"/>
    <w:rsid w:val="002C3927"/>
    <w:rsid w:val="002C5021"/>
    <w:rsid w:val="002C6417"/>
    <w:rsid w:val="002D33B7"/>
    <w:rsid w:val="002D5271"/>
    <w:rsid w:val="002E07BC"/>
    <w:rsid w:val="002E17F4"/>
    <w:rsid w:val="002E55F3"/>
    <w:rsid w:val="002E7A9F"/>
    <w:rsid w:val="002E7DD5"/>
    <w:rsid w:val="002F1439"/>
    <w:rsid w:val="002F375D"/>
    <w:rsid w:val="002F395E"/>
    <w:rsid w:val="002F48E9"/>
    <w:rsid w:val="002F49F5"/>
    <w:rsid w:val="002F4BD1"/>
    <w:rsid w:val="002F6706"/>
    <w:rsid w:val="002F6C5E"/>
    <w:rsid w:val="003014CB"/>
    <w:rsid w:val="00301863"/>
    <w:rsid w:val="0030209A"/>
    <w:rsid w:val="003044BE"/>
    <w:rsid w:val="0030596B"/>
    <w:rsid w:val="0030748E"/>
    <w:rsid w:val="00313959"/>
    <w:rsid w:val="00313D66"/>
    <w:rsid w:val="00314EC8"/>
    <w:rsid w:val="00317710"/>
    <w:rsid w:val="00321E99"/>
    <w:rsid w:val="00321FBF"/>
    <w:rsid w:val="00322E4D"/>
    <w:rsid w:val="003236A7"/>
    <w:rsid w:val="00325EE3"/>
    <w:rsid w:val="003270EA"/>
    <w:rsid w:val="00327BFD"/>
    <w:rsid w:val="003309AB"/>
    <w:rsid w:val="00330F97"/>
    <w:rsid w:val="00331B3C"/>
    <w:rsid w:val="00332423"/>
    <w:rsid w:val="003350BC"/>
    <w:rsid w:val="0033687A"/>
    <w:rsid w:val="00336ABC"/>
    <w:rsid w:val="00337282"/>
    <w:rsid w:val="003406A9"/>
    <w:rsid w:val="00343982"/>
    <w:rsid w:val="00344130"/>
    <w:rsid w:val="00345CBC"/>
    <w:rsid w:val="00346611"/>
    <w:rsid w:val="00350839"/>
    <w:rsid w:val="00350A56"/>
    <w:rsid w:val="00351CC3"/>
    <w:rsid w:val="00357375"/>
    <w:rsid w:val="003610D0"/>
    <w:rsid w:val="00361F3A"/>
    <w:rsid w:val="00362E9B"/>
    <w:rsid w:val="00371CE9"/>
    <w:rsid w:val="003728C7"/>
    <w:rsid w:val="00373209"/>
    <w:rsid w:val="00373952"/>
    <w:rsid w:val="0037519D"/>
    <w:rsid w:val="00376791"/>
    <w:rsid w:val="0037740F"/>
    <w:rsid w:val="0038656B"/>
    <w:rsid w:val="0038734D"/>
    <w:rsid w:val="00387DCB"/>
    <w:rsid w:val="0039200C"/>
    <w:rsid w:val="00392F18"/>
    <w:rsid w:val="00393660"/>
    <w:rsid w:val="003955A9"/>
    <w:rsid w:val="003A0405"/>
    <w:rsid w:val="003A1254"/>
    <w:rsid w:val="003A1C4F"/>
    <w:rsid w:val="003A33FC"/>
    <w:rsid w:val="003A416C"/>
    <w:rsid w:val="003A542A"/>
    <w:rsid w:val="003A6D33"/>
    <w:rsid w:val="003A6DE2"/>
    <w:rsid w:val="003A75C2"/>
    <w:rsid w:val="003B0D6D"/>
    <w:rsid w:val="003B2104"/>
    <w:rsid w:val="003B3862"/>
    <w:rsid w:val="003B4BDA"/>
    <w:rsid w:val="003C4F90"/>
    <w:rsid w:val="003C5249"/>
    <w:rsid w:val="003C6BF4"/>
    <w:rsid w:val="003D194E"/>
    <w:rsid w:val="003D3D2C"/>
    <w:rsid w:val="003D455D"/>
    <w:rsid w:val="003E0243"/>
    <w:rsid w:val="003E11E6"/>
    <w:rsid w:val="003E32E6"/>
    <w:rsid w:val="003E3E07"/>
    <w:rsid w:val="003E7221"/>
    <w:rsid w:val="003F1003"/>
    <w:rsid w:val="003F21E9"/>
    <w:rsid w:val="003F4634"/>
    <w:rsid w:val="003F5DCA"/>
    <w:rsid w:val="003F6836"/>
    <w:rsid w:val="003F775C"/>
    <w:rsid w:val="00401A11"/>
    <w:rsid w:val="00402303"/>
    <w:rsid w:val="00402349"/>
    <w:rsid w:val="00404445"/>
    <w:rsid w:val="004049FB"/>
    <w:rsid w:val="00404EA9"/>
    <w:rsid w:val="00404F13"/>
    <w:rsid w:val="00407683"/>
    <w:rsid w:val="00411A25"/>
    <w:rsid w:val="004122DE"/>
    <w:rsid w:val="00413D6B"/>
    <w:rsid w:val="00414742"/>
    <w:rsid w:val="00415269"/>
    <w:rsid w:val="0041608B"/>
    <w:rsid w:val="0042017E"/>
    <w:rsid w:val="00420E43"/>
    <w:rsid w:val="00420F2C"/>
    <w:rsid w:val="00421940"/>
    <w:rsid w:val="00423895"/>
    <w:rsid w:val="00431C3F"/>
    <w:rsid w:val="0043307E"/>
    <w:rsid w:val="0043449A"/>
    <w:rsid w:val="00440F3F"/>
    <w:rsid w:val="00440FFB"/>
    <w:rsid w:val="00441B4A"/>
    <w:rsid w:val="00443065"/>
    <w:rsid w:val="00443181"/>
    <w:rsid w:val="0044385A"/>
    <w:rsid w:val="004441F9"/>
    <w:rsid w:val="00444517"/>
    <w:rsid w:val="00444715"/>
    <w:rsid w:val="00444A03"/>
    <w:rsid w:val="00445F18"/>
    <w:rsid w:val="004524F3"/>
    <w:rsid w:val="004558F0"/>
    <w:rsid w:val="00462530"/>
    <w:rsid w:val="00465212"/>
    <w:rsid w:val="0046666A"/>
    <w:rsid w:val="00476CA1"/>
    <w:rsid w:val="00482298"/>
    <w:rsid w:val="00484086"/>
    <w:rsid w:val="004862B5"/>
    <w:rsid w:val="004871C8"/>
    <w:rsid w:val="0049131E"/>
    <w:rsid w:val="00491CA3"/>
    <w:rsid w:val="00492832"/>
    <w:rsid w:val="00493F3E"/>
    <w:rsid w:val="00494095"/>
    <w:rsid w:val="00494DD4"/>
    <w:rsid w:val="00496ACE"/>
    <w:rsid w:val="00496B4D"/>
    <w:rsid w:val="00497AD0"/>
    <w:rsid w:val="00497EE8"/>
    <w:rsid w:val="004A1150"/>
    <w:rsid w:val="004A1BDE"/>
    <w:rsid w:val="004A2C9B"/>
    <w:rsid w:val="004A2ED3"/>
    <w:rsid w:val="004B04A5"/>
    <w:rsid w:val="004B35CA"/>
    <w:rsid w:val="004B3994"/>
    <w:rsid w:val="004B4220"/>
    <w:rsid w:val="004B505E"/>
    <w:rsid w:val="004C2349"/>
    <w:rsid w:val="004C44CB"/>
    <w:rsid w:val="004C6611"/>
    <w:rsid w:val="004C74EA"/>
    <w:rsid w:val="004C798B"/>
    <w:rsid w:val="004D1898"/>
    <w:rsid w:val="004D5ADA"/>
    <w:rsid w:val="004D5C68"/>
    <w:rsid w:val="004D66BB"/>
    <w:rsid w:val="004D7F84"/>
    <w:rsid w:val="004E0075"/>
    <w:rsid w:val="004E03F3"/>
    <w:rsid w:val="004E129B"/>
    <w:rsid w:val="004E1EAE"/>
    <w:rsid w:val="004E3707"/>
    <w:rsid w:val="004E63A5"/>
    <w:rsid w:val="004E6D70"/>
    <w:rsid w:val="004F4A78"/>
    <w:rsid w:val="004F74A6"/>
    <w:rsid w:val="00502C35"/>
    <w:rsid w:val="00503A28"/>
    <w:rsid w:val="00511F08"/>
    <w:rsid w:val="005170BA"/>
    <w:rsid w:val="00517CB8"/>
    <w:rsid w:val="00522A9B"/>
    <w:rsid w:val="00522EFB"/>
    <w:rsid w:val="00523B2C"/>
    <w:rsid w:val="0052504E"/>
    <w:rsid w:val="00532470"/>
    <w:rsid w:val="0053323E"/>
    <w:rsid w:val="005336AE"/>
    <w:rsid w:val="00534749"/>
    <w:rsid w:val="0053585C"/>
    <w:rsid w:val="00536EF9"/>
    <w:rsid w:val="005377AC"/>
    <w:rsid w:val="00540500"/>
    <w:rsid w:val="00540A36"/>
    <w:rsid w:val="0054188F"/>
    <w:rsid w:val="00542FCE"/>
    <w:rsid w:val="00545B0E"/>
    <w:rsid w:val="00546151"/>
    <w:rsid w:val="00546537"/>
    <w:rsid w:val="00546E7B"/>
    <w:rsid w:val="00546FBA"/>
    <w:rsid w:val="00553636"/>
    <w:rsid w:val="00554BCF"/>
    <w:rsid w:val="00554C0D"/>
    <w:rsid w:val="0055646E"/>
    <w:rsid w:val="00560B27"/>
    <w:rsid w:val="00562572"/>
    <w:rsid w:val="005626B6"/>
    <w:rsid w:val="00563B0D"/>
    <w:rsid w:val="0056496B"/>
    <w:rsid w:val="005652F5"/>
    <w:rsid w:val="00571B16"/>
    <w:rsid w:val="005727F5"/>
    <w:rsid w:val="0057304E"/>
    <w:rsid w:val="0057324A"/>
    <w:rsid w:val="00573B94"/>
    <w:rsid w:val="00574105"/>
    <w:rsid w:val="00577C18"/>
    <w:rsid w:val="00581F75"/>
    <w:rsid w:val="0058523E"/>
    <w:rsid w:val="0058541A"/>
    <w:rsid w:val="005868E8"/>
    <w:rsid w:val="00586D0B"/>
    <w:rsid w:val="005917CC"/>
    <w:rsid w:val="0059216F"/>
    <w:rsid w:val="0059290D"/>
    <w:rsid w:val="005976DF"/>
    <w:rsid w:val="005A1BDF"/>
    <w:rsid w:val="005A2212"/>
    <w:rsid w:val="005A3858"/>
    <w:rsid w:val="005A4C6E"/>
    <w:rsid w:val="005A6973"/>
    <w:rsid w:val="005A74B2"/>
    <w:rsid w:val="005B00D6"/>
    <w:rsid w:val="005B06AC"/>
    <w:rsid w:val="005B09A5"/>
    <w:rsid w:val="005B2346"/>
    <w:rsid w:val="005B24D3"/>
    <w:rsid w:val="005B2874"/>
    <w:rsid w:val="005B2D6B"/>
    <w:rsid w:val="005B2E45"/>
    <w:rsid w:val="005B534D"/>
    <w:rsid w:val="005B770C"/>
    <w:rsid w:val="005C41BD"/>
    <w:rsid w:val="005C4F96"/>
    <w:rsid w:val="005D301F"/>
    <w:rsid w:val="005D4E41"/>
    <w:rsid w:val="005D7255"/>
    <w:rsid w:val="005D7495"/>
    <w:rsid w:val="005E00AF"/>
    <w:rsid w:val="005E0301"/>
    <w:rsid w:val="005E12E4"/>
    <w:rsid w:val="005E6699"/>
    <w:rsid w:val="005E70A9"/>
    <w:rsid w:val="005E7C28"/>
    <w:rsid w:val="005F1140"/>
    <w:rsid w:val="005F2290"/>
    <w:rsid w:val="005F40D8"/>
    <w:rsid w:val="005F4D99"/>
    <w:rsid w:val="00604ECD"/>
    <w:rsid w:val="00605A2F"/>
    <w:rsid w:val="00606405"/>
    <w:rsid w:val="00611399"/>
    <w:rsid w:val="00611550"/>
    <w:rsid w:val="006129C6"/>
    <w:rsid w:val="00612E72"/>
    <w:rsid w:val="006141C5"/>
    <w:rsid w:val="00614CC3"/>
    <w:rsid w:val="006152B3"/>
    <w:rsid w:val="0062739A"/>
    <w:rsid w:val="00635595"/>
    <w:rsid w:val="00642301"/>
    <w:rsid w:val="00646373"/>
    <w:rsid w:val="00647296"/>
    <w:rsid w:val="006510E2"/>
    <w:rsid w:val="00651345"/>
    <w:rsid w:val="0065182A"/>
    <w:rsid w:val="006524CD"/>
    <w:rsid w:val="006533B3"/>
    <w:rsid w:val="00654E30"/>
    <w:rsid w:val="00655888"/>
    <w:rsid w:val="00657CE6"/>
    <w:rsid w:val="006622D9"/>
    <w:rsid w:val="006625F7"/>
    <w:rsid w:val="00663835"/>
    <w:rsid w:val="00666EC5"/>
    <w:rsid w:val="00670596"/>
    <w:rsid w:val="00672438"/>
    <w:rsid w:val="006805E3"/>
    <w:rsid w:val="00680D5F"/>
    <w:rsid w:val="006860B7"/>
    <w:rsid w:val="00691B49"/>
    <w:rsid w:val="00693816"/>
    <w:rsid w:val="006941B3"/>
    <w:rsid w:val="0069689C"/>
    <w:rsid w:val="00697067"/>
    <w:rsid w:val="006A12A8"/>
    <w:rsid w:val="006A1463"/>
    <w:rsid w:val="006A4847"/>
    <w:rsid w:val="006A4C7B"/>
    <w:rsid w:val="006B2028"/>
    <w:rsid w:val="006B26CF"/>
    <w:rsid w:val="006B2A07"/>
    <w:rsid w:val="006B54A0"/>
    <w:rsid w:val="006B6026"/>
    <w:rsid w:val="006B7A1C"/>
    <w:rsid w:val="006C4196"/>
    <w:rsid w:val="006C6CC3"/>
    <w:rsid w:val="006C6ED2"/>
    <w:rsid w:val="006C6FC4"/>
    <w:rsid w:val="006C7C08"/>
    <w:rsid w:val="006D2F3D"/>
    <w:rsid w:val="006D3BC7"/>
    <w:rsid w:val="006D441A"/>
    <w:rsid w:val="006E1AE9"/>
    <w:rsid w:val="006E1CB1"/>
    <w:rsid w:val="006E30A8"/>
    <w:rsid w:val="006E3BBA"/>
    <w:rsid w:val="006F3AD1"/>
    <w:rsid w:val="006F5177"/>
    <w:rsid w:val="00700F2A"/>
    <w:rsid w:val="0070489C"/>
    <w:rsid w:val="00704AA3"/>
    <w:rsid w:val="00704DA7"/>
    <w:rsid w:val="00705B2C"/>
    <w:rsid w:val="00707B84"/>
    <w:rsid w:val="00711BC6"/>
    <w:rsid w:val="00711FB0"/>
    <w:rsid w:val="00712934"/>
    <w:rsid w:val="00713357"/>
    <w:rsid w:val="00713DE3"/>
    <w:rsid w:val="007152DC"/>
    <w:rsid w:val="00717582"/>
    <w:rsid w:val="00717B5A"/>
    <w:rsid w:val="00721A09"/>
    <w:rsid w:val="00724CD3"/>
    <w:rsid w:val="00727A29"/>
    <w:rsid w:val="00730991"/>
    <w:rsid w:val="007314F6"/>
    <w:rsid w:val="007319DE"/>
    <w:rsid w:val="00731B54"/>
    <w:rsid w:val="00731D9C"/>
    <w:rsid w:val="007325F9"/>
    <w:rsid w:val="0073313B"/>
    <w:rsid w:val="00733CED"/>
    <w:rsid w:val="00737230"/>
    <w:rsid w:val="007425CC"/>
    <w:rsid w:val="00743228"/>
    <w:rsid w:val="00744ADB"/>
    <w:rsid w:val="00745068"/>
    <w:rsid w:val="00747E84"/>
    <w:rsid w:val="00750636"/>
    <w:rsid w:val="00753480"/>
    <w:rsid w:val="00763084"/>
    <w:rsid w:val="00763EBB"/>
    <w:rsid w:val="0076406A"/>
    <w:rsid w:val="007667E6"/>
    <w:rsid w:val="007668C4"/>
    <w:rsid w:val="007719E0"/>
    <w:rsid w:val="00775046"/>
    <w:rsid w:val="00775930"/>
    <w:rsid w:val="007760A4"/>
    <w:rsid w:val="007801E1"/>
    <w:rsid w:val="00781B77"/>
    <w:rsid w:val="00781EBB"/>
    <w:rsid w:val="00782551"/>
    <w:rsid w:val="0078350E"/>
    <w:rsid w:val="00783D82"/>
    <w:rsid w:val="00784CB0"/>
    <w:rsid w:val="007933DA"/>
    <w:rsid w:val="007972C3"/>
    <w:rsid w:val="007A0651"/>
    <w:rsid w:val="007A3CB0"/>
    <w:rsid w:val="007B2787"/>
    <w:rsid w:val="007B4921"/>
    <w:rsid w:val="007B6A93"/>
    <w:rsid w:val="007C088B"/>
    <w:rsid w:val="007C14E9"/>
    <w:rsid w:val="007C23DA"/>
    <w:rsid w:val="007C2980"/>
    <w:rsid w:val="007C2C9D"/>
    <w:rsid w:val="007C32F7"/>
    <w:rsid w:val="007C36E3"/>
    <w:rsid w:val="007C39B4"/>
    <w:rsid w:val="007C3CAB"/>
    <w:rsid w:val="007C4A1A"/>
    <w:rsid w:val="007C4DD0"/>
    <w:rsid w:val="007C70E7"/>
    <w:rsid w:val="007C7A65"/>
    <w:rsid w:val="007C7ECC"/>
    <w:rsid w:val="007D4596"/>
    <w:rsid w:val="007E1EF4"/>
    <w:rsid w:val="007F063A"/>
    <w:rsid w:val="007F26E5"/>
    <w:rsid w:val="007F58AE"/>
    <w:rsid w:val="007F6F5F"/>
    <w:rsid w:val="007F74C1"/>
    <w:rsid w:val="0080043C"/>
    <w:rsid w:val="008048F3"/>
    <w:rsid w:val="0080558B"/>
    <w:rsid w:val="0080715F"/>
    <w:rsid w:val="0081063F"/>
    <w:rsid w:val="00813D9B"/>
    <w:rsid w:val="00813E81"/>
    <w:rsid w:val="00814908"/>
    <w:rsid w:val="00815027"/>
    <w:rsid w:val="008171EC"/>
    <w:rsid w:val="008178EB"/>
    <w:rsid w:val="0082023D"/>
    <w:rsid w:val="008209A2"/>
    <w:rsid w:val="00821604"/>
    <w:rsid w:val="00821CF6"/>
    <w:rsid w:val="008260C7"/>
    <w:rsid w:val="00826411"/>
    <w:rsid w:val="0082662B"/>
    <w:rsid w:val="00826852"/>
    <w:rsid w:val="00830771"/>
    <w:rsid w:val="00830F2A"/>
    <w:rsid w:val="00832329"/>
    <w:rsid w:val="008333CF"/>
    <w:rsid w:val="00833D2B"/>
    <w:rsid w:val="00836E00"/>
    <w:rsid w:val="008406A0"/>
    <w:rsid w:val="00843771"/>
    <w:rsid w:val="008446B2"/>
    <w:rsid w:val="00845EBE"/>
    <w:rsid w:val="008469DC"/>
    <w:rsid w:val="00847208"/>
    <w:rsid w:val="00851F57"/>
    <w:rsid w:val="008523D8"/>
    <w:rsid w:val="00854C57"/>
    <w:rsid w:val="008563B2"/>
    <w:rsid w:val="00857909"/>
    <w:rsid w:val="008579CB"/>
    <w:rsid w:val="00860AF0"/>
    <w:rsid w:val="00861AA4"/>
    <w:rsid w:val="0086228C"/>
    <w:rsid w:val="00862FAD"/>
    <w:rsid w:val="00866EAB"/>
    <w:rsid w:val="00867808"/>
    <w:rsid w:val="0087271F"/>
    <w:rsid w:val="008727AE"/>
    <w:rsid w:val="00872DA0"/>
    <w:rsid w:val="00877E02"/>
    <w:rsid w:val="0088228B"/>
    <w:rsid w:val="00882A14"/>
    <w:rsid w:val="00882FA2"/>
    <w:rsid w:val="00883814"/>
    <w:rsid w:val="00890F46"/>
    <w:rsid w:val="00891A67"/>
    <w:rsid w:val="00891B93"/>
    <w:rsid w:val="00894A3A"/>
    <w:rsid w:val="00896950"/>
    <w:rsid w:val="00897CE0"/>
    <w:rsid w:val="008A01BF"/>
    <w:rsid w:val="008A10D7"/>
    <w:rsid w:val="008A255F"/>
    <w:rsid w:val="008A26B6"/>
    <w:rsid w:val="008A288E"/>
    <w:rsid w:val="008A2A27"/>
    <w:rsid w:val="008A2DB6"/>
    <w:rsid w:val="008A5068"/>
    <w:rsid w:val="008A61E5"/>
    <w:rsid w:val="008A6FC6"/>
    <w:rsid w:val="008A71BA"/>
    <w:rsid w:val="008A7A49"/>
    <w:rsid w:val="008B0A41"/>
    <w:rsid w:val="008B186A"/>
    <w:rsid w:val="008B2508"/>
    <w:rsid w:val="008B2FFE"/>
    <w:rsid w:val="008B3616"/>
    <w:rsid w:val="008B56AB"/>
    <w:rsid w:val="008B6260"/>
    <w:rsid w:val="008C1371"/>
    <w:rsid w:val="008C1BB7"/>
    <w:rsid w:val="008C2360"/>
    <w:rsid w:val="008C2C5B"/>
    <w:rsid w:val="008C3A23"/>
    <w:rsid w:val="008C5924"/>
    <w:rsid w:val="008C5BDA"/>
    <w:rsid w:val="008C5C5D"/>
    <w:rsid w:val="008C7373"/>
    <w:rsid w:val="008D120D"/>
    <w:rsid w:val="008D3802"/>
    <w:rsid w:val="008D3E20"/>
    <w:rsid w:val="008D6D3D"/>
    <w:rsid w:val="008E21DB"/>
    <w:rsid w:val="008E3ADA"/>
    <w:rsid w:val="008E44D2"/>
    <w:rsid w:val="008E529B"/>
    <w:rsid w:val="008F58D0"/>
    <w:rsid w:val="008F68DB"/>
    <w:rsid w:val="008F7790"/>
    <w:rsid w:val="00903D53"/>
    <w:rsid w:val="00903ECC"/>
    <w:rsid w:val="009043E0"/>
    <w:rsid w:val="00904DD6"/>
    <w:rsid w:val="00910BB2"/>
    <w:rsid w:val="00912ADB"/>
    <w:rsid w:val="009130E8"/>
    <w:rsid w:val="00917541"/>
    <w:rsid w:val="0091769B"/>
    <w:rsid w:val="00921165"/>
    <w:rsid w:val="00921C5D"/>
    <w:rsid w:val="0092289E"/>
    <w:rsid w:val="0092359F"/>
    <w:rsid w:val="009250A9"/>
    <w:rsid w:val="00925E87"/>
    <w:rsid w:val="00926F40"/>
    <w:rsid w:val="0092738E"/>
    <w:rsid w:val="00930441"/>
    <w:rsid w:val="009341A7"/>
    <w:rsid w:val="00934E12"/>
    <w:rsid w:val="00935F72"/>
    <w:rsid w:val="00942B17"/>
    <w:rsid w:val="00942C52"/>
    <w:rsid w:val="009455B0"/>
    <w:rsid w:val="00945942"/>
    <w:rsid w:val="00953A06"/>
    <w:rsid w:val="009544DF"/>
    <w:rsid w:val="009551B8"/>
    <w:rsid w:val="00955364"/>
    <w:rsid w:val="00955ADB"/>
    <w:rsid w:val="009576A6"/>
    <w:rsid w:val="00962ACD"/>
    <w:rsid w:val="00964B76"/>
    <w:rsid w:val="00964E90"/>
    <w:rsid w:val="00966D4F"/>
    <w:rsid w:val="00967DC5"/>
    <w:rsid w:val="0097046D"/>
    <w:rsid w:val="00970600"/>
    <w:rsid w:val="009710E6"/>
    <w:rsid w:val="00973F06"/>
    <w:rsid w:val="00976F0C"/>
    <w:rsid w:val="009776CD"/>
    <w:rsid w:val="0098024D"/>
    <w:rsid w:val="00980310"/>
    <w:rsid w:val="009806F3"/>
    <w:rsid w:val="00980711"/>
    <w:rsid w:val="00980A29"/>
    <w:rsid w:val="0098298C"/>
    <w:rsid w:val="00984F5E"/>
    <w:rsid w:val="00985C74"/>
    <w:rsid w:val="00985EFD"/>
    <w:rsid w:val="00986180"/>
    <w:rsid w:val="0098651D"/>
    <w:rsid w:val="00991B43"/>
    <w:rsid w:val="00993C1D"/>
    <w:rsid w:val="00993FC1"/>
    <w:rsid w:val="00994B6A"/>
    <w:rsid w:val="009A01F5"/>
    <w:rsid w:val="009A448A"/>
    <w:rsid w:val="009A4F7D"/>
    <w:rsid w:val="009A5E9E"/>
    <w:rsid w:val="009A72E0"/>
    <w:rsid w:val="009B257C"/>
    <w:rsid w:val="009B283A"/>
    <w:rsid w:val="009B3644"/>
    <w:rsid w:val="009B4DC4"/>
    <w:rsid w:val="009C035F"/>
    <w:rsid w:val="009C2A5A"/>
    <w:rsid w:val="009C4BE6"/>
    <w:rsid w:val="009C50BA"/>
    <w:rsid w:val="009C5C4D"/>
    <w:rsid w:val="009C7EA0"/>
    <w:rsid w:val="009D55F0"/>
    <w:rsid w:val="009D5E13"/>
    <w:rsid w:val="009D6174"/>
    <w:rsid w:val="009D7DAA"/>
    <w:rsid w:val="009E1851"/>
    <w:rsid w:val="009E25BA"/>
    <w:rsid w:val="009E2A6D"/>
    <w:rsid w:val="009F0CB1"/>
    <w:rsid w:val="009F1D62"/>
    <w:rsid w:val="009F34F4"/>
    <w:rsid w:val="009F376F"/>
    <w:rsid w:val="009F6254"/>
    <w:rsid w:val="009F6A38"/>
    <w:rsid w:val="00A01AFF"/>
    <w:rsid w:val="00A04225"/>
    <w:rsid w:val="00A04B65"/>
    <w:rsid w:val="00A04B7F"/>
    <w:rsid w:val="00A05C85"/>
    <w:rsid w:val="00A06591"/>
    <w:rsid w:val="00A10755"/>
    <w:rsid w:val="00A108AE"/>
    <w:rsid w:val="00A15E4C"/>
    <w:rsid w:val="00A163A4"/>
    <w:rsid w:val="00A200A1"/>
    <w:rsid w:val="00A2174C"/>
    <w:rsid w:val="00A2326E"/>
    <w:rsid w:val="00A2701F"/>
    <w:rsid w:val="00A274F0"/>
    <w:rsid w:val="00A302FA"/>
    <w:rsid w:val="00A3038A"/>
    <w:rsid w:val="00A314DC"/>
    <w:rsid w:val="00A32479"/>
    <w:rsid w:val="00A326A7"/>
    <w:rsid w:val="00A32BDD"/>
    <w:rsid w:val="00A33FF4"/>
    <w:rsid w:val="00A356D0"/>
    <w:rsid w:val="00A44985"/>
    <w:rsid w:val="00A5014D"/>
    <w:rsid w:val="00A52139"/>
    <w:rsid w:val="00A5475B"/>
    <w:rsid w:val="00A54926"/>
    <w:rsid w:val="00A54B76"/>
    <w:rsid w:val="00A55965"/>
    <w:rsid w:val="00A56EBD"/>
    <w:rsid w:val="00A60395"/>
    <w:rsid w:val="00A60DCC"/>
    <w:rsid w:val="00A674D0"/>
    <w:rsid w:val="00A715B0"/>
    <w:rsid w:val="00A71EF1"/>
    <w:rsid w:val="00A750FB"/>
    <w:rsid w:val="00A76896"/>
    <w:rsid w:val="00A836E0"/>
    <w:rsid w:val="00A83D25"/>
    <w:rsid w:val="00A8579F"/>
    <w:rsid w:val="00A860D4"/>
    <w:rsid w:val="00A8682D"/>
    <w:rsid w:val="00A87766"/>
    <w:rsid w:val="00A93B33"/>
    <w:rsid w:val="00A94918"/>
    <w:rsid w:val="00A967EB"/>
    <w:rsid w:val="00AA007C"/>
    <w:rsid w:val="00AA316E"/>
    <w:rsid w:val="00AA3243"/>
    <w:rsid w:val="00AA604D"/>
    <w:rsid w:val="00AB055E"/>
    <w:rsid w:val="00AB0AB7"/>
    <w:rsid w:val="00AB15A6"/>
    <w:rsid w:val="00AB15F4"/>
    <w:rsid w:val="00AB28CC"/>
    <w:rsid w:val="00AB5BCA"/>
    <w:rsid w:val="00AB63AB"/>
    <w:rsid w:val="00AB6B7B"/>
    <w:rsid w:val="00AC2292"/>
    <w:rsid w:val="00AC460D"/>
    <w:rsid w:val="00AC48EB"/>
    <w:rsid w:val="00AC7B47"/>
    <w:rsid w:val="00AC7B70"/>
    <w:rsid w:val="00AD4B23"/>
    <w:rsid w:val="00AD57A8"/>
    <w:rsid w:val="00AD7A86"/>
    <w:rsid w:val="00AE1153"/>
    <w:rsid w:val="00AE174A"/>
    <w:rsid w:val="00AE3C16"/>
    <w:rsid w:val="00AE4931"/>
    <w:rsid w:val="00AE69B3"/>
    <w:rsid w:val="00AE7A92"/>
    <w:rsid w:val="00AF222F"/>
    <w:rsid w:val="00AF2D26"/>
    <w:rsid w:val="00AF317A"/>
    <w:rsid w:val="00AF3F19"/>
    <w:rsid w:val="00AF5E29"/>
    <w:rsid w:val="00AF63DE"/>
    <w:rsid w:val="00AF676A"/>
    <w:rsid w:val="00B00A66"/>
    <w:rsid w:val="00B01231"/>
    <w:rsid w:val="00B01517"/>
    <w:rsid w:val="00B01756"/>
    <w:rsid w:val="00B02A69"/>
    <w:rsid w:val="00B061F5"/>
    <w:rsid w:val="00B06CF8"/>
    <w:rsid w:val="00B0707C"/>
    <w:rsid w:val="00B10D81"/>
    <w:rsid w:val="00B10F6A"/>
    <w:rsid w:val="00B137E9"/>
    <w:rsid w:val="00B13B65"/>
    <w:rsid w:val="00B2029B"/>
    <w:rsid w:val="00B21A6C"/>
    <w:rsid w:val="00B24A84"/>
    <w:rsid w:val="00B26F58"/>
    <w:rsid w:val="00B276B2"/>
    <w:rsid w:val="00B27718"/>
    <w:rsid w:val="00B32A5D"/>
    <w:rsid w:val="00B338BD"/>
    <w:rsid w:val="00B3552B"/>
    <w:rsid w:val="00B35C17"/>
    <w:rsid w:val="00B36685"/>
    <w:rsid w:val="00B373BB"/>
    <w:rsid w:val="00B37BF6"/>
    <w:rsid w:val="00B405AB"/>
    <w:rsid w:val="00B4208A"/>
    <w:rsid w:val="00B43904"/>
    <w:rsid w:val="00B52CBD"/>
    <w:rsid w:val="00B53BC1"/>
    <w:rsid w:val="00B54719"/>
    <w:rsid w:val="00B555CC"/>
    <w:rsid w:val="00B556D0"/>
    <w:rsid w:val="00B57D17"/>
    <w:rsid w:val="00B60676"/>
    <w:rsid w:val="00B60B93"/>
    <w:rsid w:val="00B62E84"/>
    <w:rsid w:val="00B641FE"/>
    <w:rsid w:val="00B65A96"/>
    <w:rsid w:val="00B66F35"/>
    <w:rsid w:val="00B72A86"/>
    <w:rsid w:val="00B74DC3"/>
    <w:rsid w:val="00B8087C"/>
    <w:rsid w:val="00B80CF3"/>
    <w:rsid w:val="00B84842"/>
    <w:rsid w:val="00B85979"/>
    <w:rsid w:val="00B87FE7"/>
    <w:rsid w:val="00B902EC"/>
    <w:rsid w:val="00B955E4"/>
    <w:rsid w:val="00B96E78"/>
    <w:rsid w:val="00B97201"/>
    <w:rsid w:val="00BA3472"/>
    <w:rsid w:val="00BA4BF3"/>
    <w:rsid w:val="00BB0AFF"/>
    <w:rsid w:val="00BB3335"/>
    <w:rsid w:val="00BB4454"/>
    <w:rsid w:val="00BB44C4"/>
    <w:rsid w:val="00BB4FA4"/>
    <w:rsid w:val="00BB7DD7"/>
    <w:rsid w:val="00BC0DF0"/>
    <w:rsid w:val="00BC1B05"/>
    <w:rsid w:val="00BC2917"/>
    <w:rsid w:val="00BC2A4E"/>
    <w:rsid w:val="00BC34F5"/>
    <w:rsid w:val="00BD3B89"/>
    <w:rsid w:val="00BD5675"/>
    <w:rsid w:val="00BD76D2"/>
    <w:rsid w:val="00BE4AC6"/>
    <w:rsid w:val="00BE7CEF"/>
    <w:rsid w:val="00BF0532"/>
    <w:rsid w:val="00BF08A7"/>
    <w:rsid w:val="00BF1FEE"/>
    <w:rsid w:val="00BF3F46"/>
    <w:rsid w:val="00BF4802"/>
    <w:rsid w:val="00BF5600"/>
    <w:rsid w:val="00BF5CB6"/>
    <w:rsid w:val="00BF74A6"/>
    <w:rsid w:val="00C01724"/>
    <w:rsid w:val="00C036B0"/>
    <w:rsid w:val="00C07B3D"/>
    <w:rsid w:val="00C10E89"/>
    <w:rsid w:val="00C1201E"/>
    <w:rsid w:val="00C1256A"/>
    <w:rsid w:val="00C1461D"/>
    <w:rsid w:val="00C15D57"/>
    <w:rsid w:val="00C15EBF"/>
    <w:rsid w:val="00C2304B"/>
    <w:rsid w:val="00C23EB6"/>
    <w:rsid w:val="00C2778A"/>
    <w:rsid w:val="00C301F1"/>
    <w:rsid w:val="00C30C66"/>
    <w:rsid w:val="00C317EE"/>
    <w:rsid w:val="00C33166"/>
    <w:rsid w:val="00C34677"/>
    <w:rsid w:val="00C37B31"/>
    <w:rsid w:val="00C40E1A"/>
    <w:rsid w:val="00C41BFF"/>
    <w:rsid w:val="00C42328"/>
    <w:rsid w:val="00C50312"/>
    <w:rsid w:val="00C50742"/>
    <w:rsid w:val="00C527E3"/>
    <w:rsid w:val="00C5455B"/>
    <w:rsid w:val="00C555CF"/>
    <w:rsid w:val="00C56648"/>
    <w:rsid w:val="00C61406"/>
    <w:rsid w:val="00C61B72"/>
    <w:rsid w:val="00C64E27"/>
    <w:rsid w:val="00C65AE0"/>
    <w:rsid w:val="00C7367E"/>
    <w:rsid w:val="00C73C52"/>
    <w:rsid w:val="00C75C83"/>
    <w:rsid w:val="00C802B5"/>
    <w:rsid w:val="00C81FA4"/>
    <w:rsid w:val="00C829C4"/>
    <w:rsid w:val="00C84596"/>
    <w:rsid w:val="00C84B0B"/>
    <w:rsid w:val="00C9296E"/>
    <w:rsid w:val="00C93AEB"/>
    <w:rsid w:val="00C94D46"/>
    <w:rsid w:val="00C94F19"/>
    <w:rsid w:val="00C95C1B"/>
    <w:rsid w:val="00CA03FA"/>
    <w:rsid w:val="00CA3E09"/>
    <w:rsid w:val="00CA3FC7"/>
    <w:rsid w:val="00CA7110"/>
    <w:rsid w:val="00CB05DE"/>
    <w:rsid w:val="00CB5633"/>
    <w:rsid w:val="00CB5A01"/>
    <w:rsid w:val="00CB6043"/>
    <w:rsid w:val="00CB683B"/>
    <w:rsid w:val="00CB69BB"/>
    <w:rsid w:val="00CB6F0F"/>
    <w:rsid w:val="00CB70BC"/>
    <w:rsid w:val="00CC10E2"/>
    <w:rsid w:val="00CC2C28"/>
    <w:rsid w:val="00CC4E3E"/>
    <w:rsid w:val="00CC654B"/>
    <w:rsid w:val="00CC6D1E"/>
    <w:rsid w:val="00CC7B78"/>
    <w:rsid w:val="00CD06B6"/>
    <w:rsid w:val="00CD3FA7"/>
    <w:rsid w:val="00CD5E26"/>
    <w:rsid w:val="00CD76B3"/>
    <w:rsid w:val="00CE0DEC"/>
    <w:rsid w:val="00CE1E75"/>
    <w:rsid w:val="00CE49A8"/>
    <w:rsid w:val="00CE50CA"/>
    <w:rsid w:val="00CF0218"/>
    <w:rsid w:val="00CF2CA2"/>
    <w:rsid w:val="00CF359B"/>
    <w:rsid w:val="00CF3E67"/>
    <w:rsid w:val="00CF411D"/>
    <w:rsid w:val="00CF4CB2"/>
    <w:rsid w:val="00CF7A2F"/>
    <w:rsid w:val="00D017E7"/>
    <w:rsid w:val="00D02558"/>
    <w:rsid w:val="00D05532"/>
    <w:rsid w:val="00D057FE"/>
    <w:rsid w:val="00D060A3"/>
    <w:rsid w:val="00D0630B"/>
    <w:rsid w:val="00D0708A"/>
    <w:rsid w:val="00D12E6B"/>
    <w:rsid w:val="00D13338"/>
    <w:rsid w:val="00D15DD2"/>
    <w:rsid w:val="00D160E6"/>
    <w:rsid w:val="00D17570"/>
    <w:rsid w:val="00D17A1B"/>
    <w:rsid w:val="00D2106F"/>
    <w:rsid w:val="00D21177"/>
    <w:rsid w:val="00D211A8"/>
    <w:rsid w:val="00D234FA"/>
    <w:rsid w:val="00D24283"/>
    <w:rsid w:val="00D24799"/>
    <w:rsid w:val="00D24B8F"/>
    <w:rsid w:val="00D258A1"/>
    <w:rsid w:val="00D25BA4"/>
    <w:rsid w:val="00D30CBA"/>
    <w:rsid w:val="00D31365"/>
    <w:rsid w:val="00D334F7"/>
    <w:rsid w:val="00D3444F"/>
    <w:rsid w:val="00D3722C"/>
    <w:rsid w:val="00D37E27"/>
    <w:rsid w:val="00D41B80"/>
    <w:rsid w:val="00D42855"/>
    <w:rsid w:val="00D42966"/>
    <w:rsid w:val="00D43490"/>
    <w:rsid w:val="00D528ED"/>
    <w:rsid w:val="00D529C8"/>
    <w:rsid w:val="00D54C2B"/>
    <w:rsid w:val="00D55033"/>
    <w:rsid w:val="00D5725D"/>
    <w:rsid w:val="00D574D7"/>
    <w:rsid w:val="00D57EDF"/>
    <w:rsid w:val="00D64433"/>
    <w:rsid w:val="00D64A3D"/>
    <w:rsid w:val="00D6775E"/>
    <w:rsid w:val="00D72626"/>
    <w:rsid w:val="00D747A8"/>
    <w:rsid w:val="00D75649"/>
    <w:rsid w:val="00D8134C"/>
    <w:rsid w:val="00D82423"/>
    <w:rsid w:val="00D84166"/>
    <w:rsid w:val="00D849C9"/>
    <w:rsid w:val="00D85B79"/>
    <w:rsid w:val="00D860E7"/>
    <w:rsid w:val="00D96E38"/>
    <w:rsid w:val="00D976F9"/>
    <w:rsid w:val="00DA3048"/>
    <w:rsid w:val="00DA4206"/>
    <w:rsid w:val="00DA6A08"/>
    <w:rsid w:val="00DB058B"/>
    <w:rsid w:val="00DB4E6D"/>
    <w:rsid w:val="00DB6972"/>
    <w:rsid w:val="00DC1732"/>
    <w:rsid w:val="00DC45B5"/>
    <w:rsid w:val="00DC5406"/>
    <w:rsid w:val="00DC6846"/>
    <w:rsid w:val="00DC6872"/>
    <w:rsid w:val="00DC776B"/>
    <w:rsid w:val="00DD11BE"/>
    <w:rsid w:val="00DD1BF3"/>
    <w:rsid w:val="00DD3D22"/>
    <w:rsid w:val="00DE0454"/>
    <w:rsid w:val="00DE1D7E"/>
    <w:rsid w:val="00DE245D"/>
    <w:rsid w:val="00DE3862"/>
    <w:rsid w:val="00DE39C6"/>
    <w:rsid w:val="00DE44EE"/>
    <w:rsid w:val="00DE4C85"/>
    <w:rsid w:val="00DE5968"/>
    <w:rsid w:val="00DE6219"/>
    <w:rsid w:val="00DE7142"/>
    <w:rsid w:val="00DF15CB"/>
    <w:rsid w:val="00DF29E9"/>
    <w:rsid w:val="00DF330E"/>
    <w:rsid w:val="00DF35DD"/>
    <w:rsid w:val="00DF3DC3"/>
    <w:rsid w:val="00DF3FDB"/>
    <w:rsid w:val="00DF4E86"/>
    <w:rsid w:val="00DF5273"/>
    <w:rsid w:val="00DF7B88"/>
    <w:rsid w:val="00E03D3C"/>
    <w:rsid w:val="00E07243"/>
    <w:rsid w:val="00E0730B"/>
    <w:rsid w:val="00E11A51"/>
    <w:rsid w:val="00E12828"/>
    <w:rsid w:val="00E14E29"/>
    <w:rsid w:val="00E15B09"/>
    <w:rsid w:val="00E229BA"/>
    <w:rsid w:val="00E2537D"/>
    <w:rsid w:val="00E26564"/>
    <w:rsid w:val="00E27483"/>
    <w:rsid w:val="00E27EDD"/>
    <w:rsid w:val="00E30241"/>
    <w:rsid w:val="00E30D26"/>
    <w:rsid w:val="00E3403A"/>
    <w:rsid w:val="00E37009"/>
    <w:rsid w:val="00E370E7"/>
    <w:rsid w:val="00E426ED"/>
    <w:rsid w:val="00E440E4"/>
    <w:rsid w:val="00E44E67"/>
    <w:rsid w:val="00E51072"/>
    <w:rsid w:val="00E51698"/>
    <w:rsid w:val="00E524E2"/>
    <w:rsid w:val="00E529FF"/>
    <w:rsid w:val="00E563E8"/>
    <w:rsid w:val="00E56553"/>
    <w:rsid w:val="00E609F4"/>
    <w:rsid w:val="00E62F78"/>
    <w:rsid w:val="00E64B47"/>
    <w:rsid w:val="00E654BD"/>
    <w:rsid w:val="00E65D1C"/>
    <w:rsid w:val="00E72A5C"/>
    <w:rsid w:val="00E73A1F"/>
    <w:rsid w:val="00E7609C"/>
    <w:rsid w:val="00E77859"/>
    <w:rsid w:val="00E83B3B"/>
    <w:rsid w:val="00E84FAE"/>
    <w:rsid w:val="00E85028"/>
    <w:rsid w:val="00E8530D"/>
    <w:rsid w:val="00E86DD2"/>
    <w:rsid w:val="00E872BC"/>
    <w:rsid w:val="00E92A57"/>
    <w:rsid w:val="00E9306F"/>
    <w:rsid w:val="00E931DB"/>
    <w:rsid w:val="00E94526"/>
    <w:rsid w:val="00E95A23"/>
    <w:rsid w:val="00E96501"/>
    <w:rsid w:val="00EA0250"/>
    <w:rsid w:val="00EA1612"/>
    <w:rsid w:val="00EA336F"/>
    <w:rsid w:val="00EB5743"/>
    <w:rsid w:val="00EB5875"/>
    <w:rsid w:val="00EB5ADF"/>
    <w:rsid w:val="00EB7252"/>
    <w:rsid w:val="00EC01A8"/>
    <w:rsid w:val="00EC2215"/>
    <w:rsid w:val="00EC46C3"/>
    <w:rsid w:val="00ED1020"/>
    <w:rsid w:val="00ED120B"/>
    <w:rsid w:val="00ED135E"/>
    <w:rsid w:val="00ED182E"/>
    <w:rsid w:val="00ED3670"/>
    <w:rsid w:val="00ED3841"/>
    <w:rsid w:val="00ED4627"/>
    <w:rsid w:val="00ED5620"/>
    <w:rsid w:val="00EE1F57"/>
    <w:rsid w:val="00EE50A3"/>
    <w:rsid w:val="00EE53AA"/>
    <w:rsid w:val="00EF005C"/>
    <w:rsid w:val="00EF1B18"/>
    <w:rsid w:val="00EF3916"/>
    <w:rsid w:val="00EF4342"/>
    <w:rsid w:val="00EF60A9"/>
    <w:rsid w:val="00EF74BB"/>
    <w:rsid w:val="00EF7718"/>
    <w:rsid w:val="00EF7750"/>
    <w:rsid w:val="00F07199"/>
    <w:rsid w:val="00F07CB1"/>
    <w:rsid w:val="00F11415"/>
    <w:rsid w:val="00F127C0"/>
    <w:rsid w:val="00F12874"/>
    <w:rsid w:val="00F158D4"/>
    <w:rsid w:val="00F2343E"/>
    <w:rsid w:val="00F23BB7"/>
    <w:rsid w:val="00F25351"/>
    <w:rsid w:val="00F254C8"/>
    <w:rsid w:val="00F25C96"/>
    <w:rsid w:val="00F2629D"/>
    <w:rsid w:val="00F30667"/>
    <w:rsid w:val="00F30D82"/>
    <w:rsid w:val="00F31206"/>
    <w:rsid w:val="00F31BA7"/>
    <w:rsid w:val="00F34179"/>
    <w:rsid w:val="00F37AEC"/>
    <w:rsid w:val="00F37BB4"/>
    <w:rsid w:val="00F40FF2"/>
    <w:rsid w:val="00F44552"/>
    <w:rsid w:val="00F46BD4"/>
    <w:rsid w:val="00F50326"/>
    <w:rsid w:val="00F50CD2"/>
    <w:rsid w:val="00F53F75"/>
    <w:rsid w:val="00F5458D"/>
    <w:rsid w:val="00F56D77"/>
    <w:rsid w:val="00F61E96"/>
    <w:rsid w:val="00F63B89"/>
    <w:rsid w:val="00F64F9D"/>
    <w:rsid w:val="00F65942"/>
    <w:rsid w:val="00F663A3"/>
    <w:rsid w:val="00F66F5D"/>
    <w:rsid w:val="00F701E3"/>
    <w:rsid w:val="00F71461"/>
    <w:rsid w:val="00F722C4"/>
    <w:rsid w:val="00F72667"/>
    <w:rsid w:val="00F73546"/>
    <w:rsid w:val="00F746D5"/>
    <w:rsid w:val="00F7528F"/>
    <w:rsid w:val="00F75C38"/>
    <w:rsid w:val="00F8086C"/>
    <w:rsid w:val="00F80D19"/>
    <w:rsid w:val="00F8313E"/>
    <w:rsid w:val="00F83CAA"/>
    <w:rsid w:val="00F84238"/>
    <w:rsid w:val="00F85FAE"/>
    <w:rsid w:val="00F8610C"/>
    <w:rsid w:val="00F8659D"/>
    <w:rsid w:val="00F86B48"/>
    <w:rsid w:val="00F91C11"/>
    <w:rsid w:val="00F92717"/>
    <w:rsid w:val="00F9545C"/>
    <w:rsid w:val="00F97325"/>
    <w:rsid w:val="00FA0189"/>
    <w:rsid w:val="00FA1265"/>
    <w:rsid w:val="00FA33A7"/>
    <w:rsid w:val="00FA393E"/>
    <w:rsid w:val="00FA7422"/>
    <w:rsid w:val="00FB149A"/>
    <w:rsid w:val="00FB36A3"/>
    <w:rsid w:val="00FB37BF"/>
    <w:rsid w:val="00FB6093"/>
    <w:rsid w:val="00FB76F8"/>
    <w:rsid w:val="00FC26E6"/>
    <w:rsid w:val="00FC2839"/>
    <w:rsid w:val="00FC4730"/>
    <w:rsid w:val="00FC674E"/>
    <w:rsid w:val="00FD4411"/>
    <w:rsid w:val="00FD73B7"/>
    <w:rsid w:val="00FE4CA5"/>
    <w:rsid w:val="00FE5369"/>
    <w:rsid w:val="00FE5B62"/>
    <w:rsid w:val="00FE64BA"/>
    <w:rsid w:val="00FF34F6"/>
    <w:rsid w:val="0D25E12C"/>
    <w:rsid w:val="29941BFC"/>
    <w:rsid w:val="2FFA1665"/>
    <w:rsid w:val="523B35FE"/>
    <w:rsid w:val="78EC43C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323DB7"/>
  <w15:docId w15:val="{C62BFAC3-1EA8-4991-A453-69EC7E69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75C"/>
    <w:rPr>
      <w:rFonts w:ascii="Times New Roman" w:hAnsi="Times New Roman"/>
      <w:sz w:val="24"/>
    </w:rPr>
  </w:style>
  <w:style w:type="paragraph" w:styleId="Heading1">
    <w:name w:val="heading 1"/>
    <w:basedOn w:val="Normal"/>
    <w:next w:val="Normal"/>
    <w:link w:val="Heading1Char"/>
    <w:uiPriority w:val="9"/>
    <w:qFormat/>
    <w:rsid w:val="00004721"/>
    <w:pPr>
      <w:keepNext/>
      <w:keepLines/>
      <w:spacing w:before="480" w:after="0"/>
      <w:jc w:val="center"/>
      <w:outlineLvl w:val="0"/>
    </w:pPr>
    <w:rPr>
      <w:rFonts w:eastAsiaTheme="majorEastAsia" w:cstheme="majorBidi"/>
      <w:b/>
      <w:bCs/>
      <w:szCs w:val="28"/>
    </w:rPr>
  </w:style>
  <w:style w:type="paragraph" w:styleId="Heading2">
    <w:name w:val="heading 2"/>
    <w:basedOn w:val="Normal"/>
    <w:next w:val="Normal"/>
    <w:link w:val="Heading2Char"/>
    <w:autoRedefine/>
    <w:uiPriority w:val="9"/>
    <w:unhideWhenUsed/>
    <w:qFormat/>
    <w:rsid w:val="00444A03"/>
    <w:pPr>
      <w:keepNext/>
      <w:keepLines/>
      <w:spacing w:before="200" w:after="0" w:line="480" w:lineRule="auto"/>
      <w:outlineLvl w:val="1"/>
    </w:pPr>
    <w:rPr>
      <w:rFonts w:eastAsiaTheme="majorEastAsia" w:cs="Times New Roman"/>
      <w:b/>
      <w:szCs w:val="24"/>
      <w:lang w:val="en-US"/>
    </w:rPr>
  </w:style>
  <w:style w:type="paragraph" w:styleId="Heading3">
    <w:name w:val="heading 3"/>
    <w:basedOn w:val="Normal"/>
    <w:next w:val="Normal"/>
    <w:link w:val="Heading3Char"/>
    <w:autoRedefine/>
    <w:uiPriority w:val="9"/>
    <w:unhideWhenUsed/>
    <w:qFormat/>
    <w:rsid w:val="00830771"/>
    <w:pPr>
      <w:keepNext/>
      <w:keepLines/>
      <w:spacing w:before="200" w:after="0" w:line="480" w:lineRule="auto"/>
      <w:ind w:left="708"/>
      <w:outlineLvl w:val="2"/>
    </w:pPr>
    <w:rPr>
      <w:rFonts w:eastAsia="Calibri" w:cs="Times New Roman"/>
      <w:b/>
      <w:bCs/>
      <w:i/>
      <w:szCs w:val="24"/>
      <w:lang w:val="en-US"/>
    </w:rPr>
  </w:style>
  <w:style w:type="paragraph" w:styleId="Heading4">
    <w:name w:val="heading 4"/>
    <w:basedOn w:val="Normal"/>
    <w:next w:val="Normal"/>
    <w:link w:val="Heading4Char"/>
    <w:autoRedefine/>
    <w:uiPriority w:val="9"/>
    <w:unhideWhenUsed/>
    <w:qFormat/>
    <w:rsid w:val="005626B6"/>
    <w:pPr>
      <w:keepNext/>
      <w:keepLines/>
      <w:spacing w:before="200" w:after="0"/>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724"/>
    <w:pPr>
      <w:ind w:left="720"/>
      <w:contextualSpacing/>
    </w:pPr>
  </w:style>
  <w:style w:type="paragraph" w:customStyle="1" w:styleId="EndNoteBibliographyTitle">
    <w:name w:val="EndNote Bibliography Title"/>
    <w:basedOn w:val="Normal"/>
    <w:link w:val="EndNoteBibliographyTitleChar"/>
    <w:rsid w:val="006C6ED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C6ED2"/>
    <w:rPr>
      <w:rFonts w:ascii="Calibri" w:hAnsi="Calibri"/>
      <w:noProof/>
      <w:lang w:val="en-US"/>
    </w:rPr>
  </w:style>
  <w:style w:type="paragraph" w:customStyle="1" w:styleId="EndNoteBibliography">
    <w:name w:val="EndNote Bibliography"/>
    <w:basedOn w:val="Normal"/>
    <w:link w:val="EndNoteBibliographyChar"/>
    <w:rsid w:val="006C6ED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C6ED2"/>
    <w:rPr>
      <w:rFonts w:ascii="Calibri" w:hAnsi="Calibri"/>
      <w:noProof/>
      <w:lang w:val="en-US"/>
    </w:rPr>
  </w:style>
  <w:style w:type="character" w:styleId="CommentReference">
    <w:name w:val="annotation reference"/>
    <w:basedOn w:val="DefaultParagraphFont"/>
    <w:uiPriority w:val="99"/>
    <w:semiHidden/>
    <w:unhideWhenUsed/>
    <w:rsid w:val="005B2346"/>
    <w:rPr>
      <w:sz w:val="16"/>
      <w:szCs w:val="16"/>
    </w:rPr>
  </w:style>
  <w:style w:type="paragraph" w:styleId="CommentText">
    <w:name w:val="annotation text"/>
    <w:basedOn w:val="Normal"/>
    <w:link w:val="CommentTextChar"/>
    <w:uiPriority w:val="99"/>
    <w:unhideWhenUsed/>
    <w:rsid w:val="005B2346"/>
    <w:pPr>
      <w:spacing w:line="240" w:lineRule="auto"/>
    </w:pPr>
    <w:rPr>
      <w:sz w:val="20"/>
      <w:szCs w:val="20"/>
    </w:rPr>
  </w:style>
  <w:style w:type="character" w:customStyle="1" w:styleId="CommentTextChar">
    <w:name w:val="Comment Text Char"/>
    <w:basedOn w:val="DefaultParagraphFont"/>
    <w:link w:val="CommentText"/>
    <w:uiPriority w:val="99"/>
    <w:rsid w:val="005B2346"/>
    <w:rPr>
      <w:sz w:val="20"/>
      <w:szCs w:val="20"/>
    </w:rPr>
  </w:style>
  <w:style w:type="paragraph" w:styleId="CommentSubject">
    <w:name w:val="annotation subject"/>
    <w:basedOn w:val="CommentText"/>
    <w:next w:val="CommentText"/>
    <w:link w:val="CommentSubjectChar"/>
    <w:uiPriority w:val="99"/>
    <w:semiHidden/>
    <w:unhideWhenUsed/>
    <w:rsid w:val="005B2346"/>
    <w:rPr>
      <w:b/>
      <w:bCs/>
    </w:rPr>
  </w:style>
  <w:style w:type="character" w:customStyle="1" w:styleId="CommentSubjectChar">
    <w:name w:val="Comment Subject Char"/>
    <w:basedOn w:val="CommentTextChar"/>
    <w:link w:val="CommentSubject"/>
    <w:uiPriority w:val="99"/>
    <w:semiHidden/>
    <w:rsid w:val="005B2346"/>
    <w:rPr>
      <w:b/>
      <w:bCs/>
      <w:sz w:val="20"/>
      <w:szCs w:val="20"/>
    </w:rPr>
  </w:style>
  <w:style w:type="paragraph" w:styleId="BalloonText">
    <w:name w:val="Balloon Text"/>
    <w:basedOn w:val="Normal"/>
    <w:link w:val="BalloonTextChar"/>
    <w:uiPriority w:val="99"/>
    <w:semiHidden/>
    <w:unhideWhenUsed/>
    <w:rsid w:val="005B2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346"/>
    <w:rPr>
      <w:rFonts w:ascii="Tahoma" w:hAnsi="Tahoma" w:cs="Tahoma"/>
      <w:sz w:val="16"/>
      <w:szCs w:val="16"/>
    </w:rPr>
  </w:style>
  <w:style w:type="character" w:customStyle="1" w:styleId="Heading1Char">
    <w:name w:val="Heading 1 Char"/>
    <w:basedOn w:val="DefaultParagraphFont"/>
    <w:link w:val="Heading1"/>
    <w:uiPriority w:val="9"/>
    <w:rsid w:val="00004721"/>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44A03"/>
    <w:rPr>
      <w:rFonts w:ascii="Times New Roman" w:eastAsiaTheme="majorEastAsia" w:hAnsi="Times New Roman" w:cs="Times New Roman"/>
      <w:b/>
      <w:sz w:val="24"/>
      <w:szCs w:val="24"/>
      <w:lang w:val="en-US"/>
    </w:rPr>
  </w:style>
  <w:style w:type="character" w:customStyle="1" w:styleId="Heading3Char">
    <w:name w:val="Heading 3 Char"/>
    <w:basedOn w:val="DefaultParagraphFont"/>
    <w:link w:val="Heading3"/>
    <w:uiPriority w:val="9"/>
    <w:rsid w:val="00830771"/>
    <w:rPr>
      <w:rFonts w:ascii="Times New Roman" w:eastAsia="Calibri" w:hAnsi="Times New Roman" w:cs="Times New Roman"/>
      <w:b/>
      <w:bCs/>
      <w:i/>
      <w:sz w:val="24"/>
      <w:szCs w:val="24"/>
      <w:lang w:val="en-US"/>
    </w:rPr>
  </w:style>
  <w:style w:type="character" w:customStyle="1" w:styleId="Heading4Char">
    <w:name w:val="Heading 4 Char"/>
    <w:basedOn w:val="DefaultParagraphFont"/>
    <w:link w:val="Heading4"/>
    <w:uiPriority w:val="9"/>
    <w:rsid w:val="005626B6"/>
    <w:rPr>
      <w:rFonts w:ascii="Times New Roman" w:eastAsiaTheme="majorEastAsia" w:hAnsi="Times New Roman" w:cstheme="majorBidi"/>
      <w:bCs/>
      <w:i/>
      <w:iCs/>
      <w:sz w:val="24"/>
    </w:rPr>
  </w:style>
  <w:style w:type="paragraph" w:styleId="TOCHeading">
    <w:name w:val="TOC Heading"/>
    <w:basedOn w:val="Heading1"/>
    <w:next w:val="Normal"/>
    <w:uiPriority w:val="39"/>
    <w:unhideWhenUsed/>
    <w:qFormat/>
    <w:rsid w:val="00877E02"/>
    <w:pPr>
      <w:outlineLvl w:val="9"/>
    </w:pPr>
    <w:rPr>
      <w:lang w:val="en-US" w:eastAsia="ja-JP"/>
    </w:rPr>
  </w:style>
  <w:style w:type="paragraph" w:styleId="TOC1">
    <w:name w:val="toc 1"/>
    <w:basedOn w:val="Normal"/>
    <w:next w:val="Normal"/>
    <w:autoRedefine/>
    <w:uiPriority w:val="39"/>
    <w:unhideWhenUsed/>
    <w:qFormat/>
    <w:rsid w:val="004F74A6"/>
    <w:pPr>
      <w:tabs>
        <w:tab w:val="right" w:leader="dot" w:pos="9350"/>
      </w:tabs>
      <w:spacing w:after="100"/>
    </w:pPr>
  </w:style>
  <w:style w:type="paragraph" w:styleId="TOC2">
    <w:name w:val="toc 2"/>
    <w:basedOn w:val="Normal"/>
    <w:next w:val="Normal"/>
    <w:autoRedefine/>
    <w:uiPriority w:val="39"/>
    <w:unhideWhenUsed/>
    <w:qFormat/>
    <w:rsid w:val="004F74A6"/>
    <w:pPr>
      <w:tabs>
        <w:tab w:val="right" w:leader="dot" w:pos="9350"/>
      </w:tabs>
      <w:spacing w:after="100"/>
      <w:ind w:left="220"/>
    </w:pPr>
  </w:style>
  <w:style w:type="paragraph" w:styleId="TOC3">
    <w:name w:val="toc 3"/>
    <w:basedOn w:val="Normal"/>
    <w:next w:val="Normal"/>
    <w:autoRedefine/>
    <w:uiPriority w:val="39"/>
    <w:unhideWhenUsed/>
    <w:qFormat/>
    <w:rsid w:val="00877E02"/>
    <w:pPr>
      <w:spacing w:after="100"/>
      <w:ind w:left="440"/>
    </w:pPr>
  </w:style>
  <w:style w:type="character" w:styleId="Hyperlink">
    <w:name w:val="Hyperlink"/>
    <w:basedOn w:val="DefaultParagraphFont"/>
    <w:uiPriority w:val="99"/>
    <w:unhideWhenUsed/>
    <w:rsid w:val="00877E02"/>
    <w:rPr>
      <w:color w:val="0000FF" w:themeColor="hyperlink"/>
      <w:u w:val="single"/>
    </w:rPr>
  </w:style>
  <w:style w:type="paragraph" w:styleId="NoSpacing">
    <w:name w:val="No Spacing"/>
    <w:uiPriority w:val="1"/>
    <w:qFormat/>
    <w:rsid w:val="00877E02"/>
    <w:pPr>
      <w:spacing w:after="0" w:line="240" w:lineRule="auto"/>
    </w:pPr>
  </w:style>
  <w:style w:type="paragraph" w:styleId="Header">
    <w:name w:val="header"/>
    <w:basedOn w:val="Normal"/>
    <w:link w:val="HeaderChar"/>
    <w:uiPriority w:val="99"/>
    <w:unhideWhenUsed/>
    <w:rsid w:val="00C41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BFF"/>
  </w:style>
  <w:style w:type="paragraph" w:styleId="Footer">
    <w:name w:val="footer"/>
    <w:basedOn w:val="Normal"/>
    <w:link w:val="FooterChar"/>
    <w:uiPriority w:val="99"/>
    <w:unhideWhenUsed/>
    <w:rsid w:val="00C41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BFF"/>
  </w:style>
  <w:style w:type="paragraph" w:styleId="Caption">
    <w:name w:val="caption"/>
    <w:basedOn w:val="Normal"/>
    <w:next w:val="Normal"/>
    <w:uiPriority w:val="35"/>
    <w:unhideWhenUsed/>
    <w:qFormat/>
    <w:rsid w:val="006152B3"/>
    <w:pPr>
      <w:spacing w:line="240" w:lineRule="auto"/>
      <w:jc w:val="center"/>
    </w:pPr>
    <w:rPr>
      <w:b/>
      <w:bCs/>
      <w:color w:val="4F81BD" w:themeColor="accent1"/>
      <w:szCs w:val="18"/>
    </w:rPr>
  </w:style>
  <w:style w:type="paragraph" w:styleId="TableofFigures">
    <w:name w:val="table of figures"/>
    <w:basedOn w:val="Normal"/>
    <w:next w:val="Normal"/>
    <w:uiPriority w:val="99"/>
    <w:unhideWhenUsed/>
    <w:rsid w:val="00821CF6"/>
    <w:pPr>
      <w:spacing w:after="0"/>
    </w:pPr>
  </w:style>
  <w:style w:type="character" w:styleId="PlaceholderText">
    <w:name w:val="Placeholder Text"/>
    <w:basedOn w:val="DefaultParagraphFont"/>
    <w:uiPriority w:val="99"/>
    <w:semiHidden/>
    <w:rsid w:val="00327BFD"/>
    <w:rPr>
      <w:color w:val="808080"/>
    </w:rPr>
  </w:style>
  <w:style w:type="character" w:styleId="LineNumber">
    <w:name w:val="line number"/>
    <w:basedOn w:val="DefaultParagraphFont"/>
    <w:uiPriority w:val="99"/>
    <w:semiHidden/>
    <w:unhideWhenUsed/>
    <w:rsid w:val="00EF7718"/>
  </w:style>
  <w:style w:type="paragraph" w:styleId="FootnoteText">
    <w:name w:val="footnote text"/>
    <w:basedOn w:val="Normal"/>
    <w:link w:val="FootnoteTextChar"/>
    <w:uiPriority w:val="99"/>
    <w:semiHidden/>
    <w:unhideWhenUsed/>
    <w:rsid w:val="001473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7367"/>
    <w:rPr>
      <w:rFonts w:ascii="Times New Roman" w:hAnsi="Times New Roman"/>
      <w:sz w:val="20"/>
      <w:szCs w:val="20"/>
    </w:rPr>
  </w:style>
  <w:style w:type="character" w:styleId="FootnoteReference">
    <w:name w:val="footnote reference"/>
    <w:basedOn w:val="DefaultParagraphFont"/>
    <w:uiPriority w:val="99"/>
    <w:semiHidden/>
    <w:unhideWhenUsed/>
    <w:rsid w:val="00147367"/>
    <w:rPr>
      <w:vertAlign w:val="superscript"/>
    </w:rPr>
  </w:style>
  <w:style w:type="table" w:styleId="TableGrid">
    <w:name w:val="Table Grid"/>
    <w:basedOn w:val="TableNormal"/>
    <w:uiPriority w:val="39"/>
    <w:rsid w:val="008A26B6"/>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3BB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81276">
      <w:bodyDiv w:val="1"/>
      <w:marLeft w:val="0"/>
      <w:marRight w:val="0"/>
      <w:marTop w:val="0"/>
      <w:marBottom w:val="0"/>
      <w:divBdr>
        <w:top w:val="none" w:sz="0" w:space="0" w:color="auto"/>
        <w:left w:val="none" w:sz="0" w:space="0" w:color="auto"/>
        <w:bottom w:val="none" w:sz="0" w:space="0" w:color="auto"/>
        <w:right w:val="none" w:sz="0" w:space="0" w:color="auto"/>
      </w:divBdr>
    </w:div>
    <w:div w:id="279728293">
      <w:bodyDiv w:val="1"/>
      <w:marLeft w:val="0"/>
      <w:marRight w:val="0"/>
      <w:marTop w:val="0"/>
      <w:marBottom w:val="0"/>
      <w:divBdr>
        <w:top w:val="none" w:sz="0" w:space="0" w:color="auto"/>
        <w:left w:val="none" w:sz="0" w:space="0" w:color="auto"/>
        <w:bottom w:val="none" w:sz="0" w:space="0" w:color="auto"/>
        <w:right w:val="none" w:sz="0" w:space="0" w:color="auto"/>
      </w:divBdr>
    </w:div>
    <w:div w:id="923799583">
      <w:bodyDiv w:val="1"/>
      <w:marLeft w:val="0"/>
      <w:marRight w:val="0"/>
      <w:marTop w:val="0"/>
      <w:marBottom w:val="0"/>
      <w:divBdr>
        <w:top w:val="none" w:sz="0" w:space="0" w:color="auto"/>
        <w:left w:val="none" w:sz="0" w:space="0" w:color="auto"/>
        <w:bottom w:val="none" w:sz="0" w:space="0" w:color="auto"/>
        <w:right w:val="none" w:sz="0" w:space="0" w:color="auto"/>
      </w:divBdr>
    </w:div>
    <w:div w:id="176379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chart" Target="charts/chart2.xml"/><Relationship Id="rId39" Type="http://schemas.openxmlformats.org/officeDocument/2006/relationships/chart" Target="charts/chart8.xml"/><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chart" Target="charts/chart18.xml"/><Relationship Id="rId68" Type="http://schemas.openxmlformats.org/officeDocument/2006/relationships/chart" Target="charts/chart23.xml"/><Relationship Id="rId76" Type="http://schemas.openxmlformats.org/officeDocument/2006/relationships/chart" Target="charts/chart31.xml"/><Relationship Id="rId7" Type="http://schemas.openxmlformats.org/officeDocument/2006/relationships/settings" Target="settings.xml"/><Relationship Id="rId71" Type="http://schemas.openxmlformats.org/officeDocument/2006/relationships/chart" Target="charts/chart26.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media/image16.png"/><Relationship Id="rId40" Type="http://schemas.openxmlformats.org/officeDocument/2006/relationships/chart" Target="charts/chart9.xml"/><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chart" Target="charts/chart13.xml"/><Relationship Id="rId66" Type="http://schemas.openxmlformats.org/officeDocument/2006/relationships/chart" Target="charts/chart21.xml"/><Relationship Id="rId74" Type="http://schemas.openxmlformats.org/officeDocument/2006/relationships/chart" Target="charts/chart29.xml"/><Relationship Id="rId79" Type="http://schemas.openxmlformats.org/officeDocument/2006/relationships/chart" Target="charts/chart34.xml"/><Relationship Id="rId5" Type="http://schemas.openxmlformats.org/officeDocument/2006/relationships/numbering" Target="numbering.xml"/><Relationship Id="rId61" Type="http://schemas.openxmlformats.org/officeDocument/2006/relationships/chart" Target="charts/chart16.xml"/><Relationship Id="rId10" Type="http://schemas.openxmlformats.org/officeDocument/2006/relationships/endnotes" Target="endnotes.xml"/><Relationship Id="rId19" Type="http://schemas.openxmlformats.org/officeDocument/2006/relationships/hyperlink" Target="https://www.mdpi.com/2079-4991/10/6/1099/pdf" TargetMode="External"/><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chart" Target="charts/chart15.xml"/><Relationship Id="rId65" Type="http://schemas.openxmlformats.org/officeDocument/2006/relationships/chart" Target="charts/chart20.xml"/><Relationship Id="rId73" Type="http://schemas.openxmlformats.org/officeDocument/2006/relationships/chart" Target="charts/chart28.xml"/><Relationship Id="rId78" Type="http://schemas.openxmlformats.org/officeDocument/2006/relationships/chart" Target="charts/chart3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jpg"/><Relationship Id="rId27" Type="http://schemas.openxmlformats.org/officeDocument/2006/relationships/chart" Target="charts/chart3.xml"/><Relationship Id="rId30" Type="http://schemas.openxmlformats.org/officeDocument/2006/relationships/image" Target="media/image11.jpeg"/><Relationship Id="rId35" Type="http://schemas.openxmlformats.org/officeDocument/2006/relationships/chart" Target="charts/chart5.xml"/><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chart" Target="charts/chart11.xml"/><Relationship Id="rId64" Type="http://schemas.openxmlformats.org/officeDocument/2006/relationships/chart" Target="charts/chart19.xml"/><Relationship Id="rId69" Type="http://schemas.openxmlformats.org/officeDocument/2006/relationships/chart" Target="charts/chart24.xml"/><Relationship Id="rId77" Type="http://schemas.openxmlformats.org/officeDocument/2006/relationships/chart" Target="charts/chart32.xml"/><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chart" Target="charts/chart27.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sooners-my.sharepoint.com/personal/smgarner_ou_edu/Documents/Documents/Research%20Stuff/MY%20THESIS/Thesis%207-11-%202020%20EAO.docx" TargetMode="External"/><Relationship Id="rId17" Type="http://schemas.openxmlformats.org/officeDocument/2006/relationships/image" Target="media/image4.pn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chart" Target="charts/chart7.xml"/><Relationship Id="rId46" Type="http://schemas.openxmlformats.org/officeDocument/2006/relationships/image" Target="media/image21.png"/><Relationship Id="rId59" Type="http://schemas.openxmlformats.org/officeDocument/2006/relationships/chart" Target="charts/chart14.xml"/><Relationship Id="rId67" Type="http://schemas.openxmlformats.org/officeDocument/2006/relationships/chart" Target="charts/chart22.xml"/><Relationship Id="rId20" Type="http://schemas.openxmlformats.org/officeDocument/2006/relationships/image" Target="media/image6.emf"/><Relationship Id="rId41" Type="http://schemas.openxmlformats.org/officeDocument/2006/relationships/chart" Target="charts/chart10.xml"/><Relationship Id="rId54" Type="http://schemas.openxmlformats.org/officeDocument/2006/relationships/image" Target="media/image29.png"/><Relationship Id="rId62" Type="http://schemas.openxmlformats.org/officeDocument/2006/relationships/chart" Target="charts/chart17.xml"/><Relationship Id="rId70" Type="http://schemas.openxmlformats.org/officeDocument/2006/relationships/chart" Target="charts/chart25.xml"/><Relationship Id="rId75" Type="http://schemas.openxmlformats.org/officeDocument/2006/relationships/chart" Target="charts/chart3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chart" Target="charts/chart1.xml"/><Relationship Id="rId28" Type="http://schemas.openxmlformats.org/officeDocument/2006/relationships/chart" Target="charts/chart4.xml"/><Relationship Id="rId36" Type="http://schemas.openxmlformats.org/officeDocument/2006/relationships/chart" Target="charts/chart6.xml"/><Relationship Id="rId49" Type="http://schemas.openxmlformats.org/officeDocument/2006/relationships/image" Target="media/image24.png"/><Relationship Id="rId57"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https://sooners-my.sharepoint.com/personal/smgarner_ou_edu/Documents/Documents/Research%20Stuff/MY%20THESIS/ZnO_TiO2%20-%20Data/VOID/CurrentNewVol%20-%20ZnO_Consolidated%20Data21SEP1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sooners-my.sharepoint.com/personal/smgarner_ou_edu/Documents/Documents/Research%20Stuff/MY%20THESIS/ZnO_TiO2%20-%20Data/CurrentNewVol%20-%20ZnO_Consolidated%20Data30OCT19.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3.xml"/><Relationship Id="rId1" Type="http://schemas.microsoft.com/office/2011/relationships/chartStyle" Target="style3.xml"/></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4.xml"/><Relationship Id="rId1" Type="http://schemas.microsoft.com/office/2011/relationships/chartStyle" Target="style4.xml"/></Relationships>
</file>

<file path=word/charts/_rels/chart13.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5.xml"/><Relationship Id="rId1" Type="http://schemas.microsoft.com/office/2011/relationships/chartStyle" Target="style5.xml"/></Relationships>
</file>

<file path=word/charts/_rels/chart14.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6.xml"/><Relationship Id="rId1" Type="http://schemas.microsoft.com/office/2011/relationships/chartStyle" Target="style6.xml"/></Relationships>
</file>

<file path=word/charts/_rels/chart15.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7.xml"/><Relationship Id="rId1" Type="http://schemas.microsoft.com/office/2011/relationships/chartStyle" Target="style7.xml"/></Relationships>
</file>

<file path=word/charts/_rels/chart16.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8.xml"/><Relationship Id="rId1" Type="http://schemas.microsoft.com/office/2011/relationships/chartStyle" Target="style8.xml"/></Relationships>
</file>

<file path=word/charts/_rels/chart17.xml.rels><?xml version="1.0" encoding="UTF-8" standalone="yes"?>
<Relationships xmlns="http://schemas.openxmlformats.org/package/2006/relationships"><Relationship Id="rId1" Type="http://schemas.openxmlformats.org/officeDocument/2006/relationships/oleObject" Target="https://sooners-my.sharepoint.com/personal/smgarner_ou_edu/Documents/Documents/Research%20Stuff/MY%20THESIS/ZnO%20Bioluminesence%20Data/ZNO%20Sabrina%20Data%20Bio%20luminscence.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9.xml"/><Relationship Id="rId1" Type="http://schemas.microsoft.com/office/2011/relationships/chartStyle" Target="style9.xml"/></Relationships>
</file>

<file path=word/charts/_rels/chart19.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sooners-my.sharepoint.com/personal/smgarner_ou_edu/Documents/Documents/Research%20Stuff/MY%20THESIS/ZnO_TiO2%20-%20Data/ZnO_TiO2-Table%20summary26JAN20.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1.xml"/><Relationship Id="rId1" Type="http://schemas.microsoft.com/office/2011/relationships/chartStyle" Target="style11.xml"/></Relationships>
</file>

<file path=word/charts/_rels/chart21.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2.xml"/><Relationship Id="rId1" Type="http://schemas.microsoft.com/office/2011/relationships/chartStyle" Target="style12.xml"/></Relationships>
</file>

<file path=word/charts/_rels/chart22.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3.xml"/><Relationship Id="rId1" Type="http://schemas.microsoft.com/office/2011/relationships/chartStyle" Target="style13.xml"/></Relationships>
</file>

<file path=word/charts/_rels/chart23.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4.xml"/><Relationship Id="rId1" Type="http://schemas.microsoft.com/office/2011/relationships/chartStyle" Target="style14.xml"/></Relationships>
</file>

<file path=word/charts/_rels/chart24.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5.xml"/><Relationship Id="rId1" Type="http://schemas.microsoft.com/office/2011/relationships/chartStyle" Target="style15.xml"/></Relationships>
</file>

<file path=word/charts/_rels/chart25.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6.xml"/><Relationship Id="rId1" Type="http://schemas.microsoft.com/office/2011/relationships/chartStyle" Target="style16.xml"/></Relationships>
</file>

<file path=word/charts/_rels/chart26.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7.xml"/><Relationship Id="rId1" Type="http://schemas.microsoft.com/office/2011/relationships/chartStyle" Target="style17.xml"/></Relationships>
</file>

<file path=word/charts/_rels/chart27.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8.xml"/><Relationship Id="rId1" Type="http://schemas.microsoft.com/office/2011/relationships/chartStyle" Target="style18.xml"/></Relationships>
</file>

<file path=word/charts/_rels/chart28.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19.xml"/><Relationship Id="rId1" Type="http://schemas.microsoft.com/office/2011/relationships/chartStyle" Target="style19.xml"/></Relationships>
</file>

<file path=word/charts/_rels/chart29.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https://sooners-my.sharepoint.com/personal/smgarner_ou_edu/Documents/Documents/Research%20Stuff/MY%20THESIS/ZnO_TiO2%20-%20Data/ZnO_TiO2-Table%20summary26JAN20.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21.xml"/><Relationship Id="rId1" Type="http://schemas.microsoft.com/office/2011/relationships/chartStyle" Target="style21.xml"/></Relationships>
</file>

<file path=word/charts/_rels/chart31.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22.xml"/><Relationship Id="rId1" Type="http://schemas.microsoft.com/office/2011/relationships/chartStyle" Target="style22.xml"/></Relationships>
</file>

<file path=word/charts/_rels/chart32.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23.xml"/><Relationship Id="rId1" Type="http://schemas.microsoft.com/office/2011/relationships/chartStyle" Target="style23.xml"/></Relationships>
</file>

<file path=word/charts/_rels/chart33.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24.xml"/><Relationship Id="rId1" Type="http://schemas.microsoft.com/office/2011/relationships/chartStyle" Target="style24.xml"/></Relationships>
</file>

<file path=word/charts/_rels/chart34.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20Bioluminesence%20Data/ZNO%20Sabrina%20Data%20Bio%20luminscence.xlsx" TargetMode="External"/><Relationship Id="rId2" Type="http://schemas.microsoft.com/office/2011/relationships/chartColorStyle" Target="colors25.xml"/><Relationship Id="rId1" Type="http://schemas.microsoft.com/office/2011/relationships/chartStyle" Target="style25.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smgarner_ou_edu/Documents/Documents/Research%20Stuff/MY%20THESIS/ZnO_TiO2%20-%20Data/ZnO_TiO2-Table%20summary26JAN20.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ooners-my.sharepoint.com/personal/smgarner_ou_edu/Documents/Documents/Research%20Stuff/MY%20THESIS/CAG%20Data%20for%20glass%20disc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sooners-my.sharepoint.com/personal/smgarner_ou_edu/Documents/Documents/Research%20Stuff/MY%20THESIS/ZnO%20Bioluminesence%20Data/ZNO%20Sabrina%20Data%20Bio%20luminscenc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sooners-my.sharepoint.com/personal/smgarner_ou_edu/Documents/Documents/Research%20Stuff/MY%20THESIS/ZnO_TiO2%20-%20Data/CurrentNewVol%20-%20ZnO_Consolidated%20Data30OCT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sooners-my.sharepoint.com/personal/smgarner_ou_edu/Documents/Documents/Research%20Stuff/MY%20THESIS/ZnO_TiO2%20-%20Data/CurrentNewVol%20-%20ZnO_Consolidated%20Data30OCT1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sooners-my.sharepoint.com/personal/smgarner_ou_edu/Documents/Documents/Research%20Stuff/MY%20THESIS/ZnO_TiO2%20-%20Data/CurrentNewVol%20-%20ZnO_Consolidated%20Data30OCT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7"/>
          <c:order val="0"/>
          <c:tx>
            <c:v>Surface 1, Droplet 1</c:v>
          </c:tx>
          <c:marker>
            <c:symbol val="none"/>
          </c:marker>
          <c:xVal>
            <c:numRef>
              <c:f>'Raw Data Time Penetration'!$W$10179:$W$10194</c:f>
              <c:numCache>
                <c:formatCode>General</c:formatCode>
                <c:ptCount val="16"/>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numCache>
            </c:numRef>
          </c:xVal>
          <c:yVal>
            <c:numRef>
              <c:f>'Raw Data Time Penetration'!$AN$10179:$AN$10194</c:f>
              <c:numCache>
                <c:formatCode>General</c:formatCode>
                <c:ptCount val="16"/>
                <c:pt idx="0">
                  <c:v>0</c:v>
                </c:pt>
                <c:pt idx="1">
                  <c:v>2.9850746268656714</c:v>
                </c:pt>
                <c:pt idx="2">
                  <c:v>3.7383177570093462</c:v>
                </c:pt>
                <c:pt idx="3">
                  <c:v>4.0816326530612246</c:v>
                </c:pt>
                <c:pt idx="4">
                  <c:v>4.2780748663101607</c:v>
                </c:pt>
                <c:pt idx="5">
                  <c:v>4.4052863436123353</c:v>
                </c:pt>
                <c:pt idx="6">
                  <c:v>4.4943820224719095</c:v>
                </c:pt>
                <c:pt idx="7">
                  <c:v>4.5602605863192185</c:v>
                </c:pt>
                <c:pt idx="8">
                  <c:v>4.6109510086455332</c:v>
                </c:pt>
                <c:pt idx="9">
                  <c:v>4.6511627906976747</c:v>
                </c:pt>
                <c:pt idx="10">
                  <c:v>4.6838407494145198</c:v>
                </c:pt>
                <c:pt idx="11">
                  <c:v>4.7109207708779435</c:v>
                </c:pt>
                <c:pt idx="12">
                  <c:v>4.7337278106508869</c:v>
                </c:pt>
                <c:pt idx="13">
                  <c:v>4.753199268738574</c:v>
                </c:pt>
                <c:pt idx="14">
                  <c:v>4.7700170357751279</c:v>
                </c:pt>
                <c:pt idx="15">
                  <c:v>4.7846889952153111</c:v>
                </c:pt>
              </c:numCache>
            </c:numRef>
          </c:yVal>
          <c:smooth val="1"/>
          <c:extLst>
            <c:ext xmlns:c16="http://schemas.microsoft.com/office/drawing/2014/chart" uri="{C3380CC4-5D6E-409C-BE32-E72D297353CC}">
              <c16:uniqueId val="{00000000-E588-46BB-BAF7-05E4BBBF9A6F}"/>
            </c:ext>
          </c:extLst>
        </c:ser>
        <c:ser>
          <c:idx val="0"/>
          <c:order val="1"/>
          <c:tx>
            <c:v>Surface 1, Droplet 2</c:v>
          </c:tx>
          <c:marker>
            <c:symbol val="none"/>
          </c:marker>
          <c:xVal>
            <c:numRef>
              <c:f>'Raw Data Time Penetration'!$W$10033:$W$10048</c:f>
              <c:numCache>
                <c:formatCode>General</c:formatCode>
                <c:ptCount val="16"/>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numCache>
            </c:numRef>
          </c:xVal>
          <c:yVal>
            <c:numRef>
              <c:f>'Raw Data Time Penetration'!$AN$10033:$AN$10048</c:f>
              <c:numCache>
                <c:formatCode>General</c:formatCode>
                <c:ptCount val="16"/>
                <c:pt idx="0">
                  <c:v>0</c:v>
                </c:pt>
                <c:pt idx="1">
                  <c:v>2.5</c:v>
                </c:pt>
                <c:pt idx="2">
                  <c:v>3.3333333333333339</c:v>
                </c:pt>
                <c:pt idx="3">
                  <c:v>3.75</c:v>
                </c:pt>
                <c:pt idx="4">
                  <c:v>3.9999999999999996</c:v>
                </c:pt>
                <c:pt idx="5">
                  <c:v>4.1666666666666661</c:v>
                </c:pt>
                <c:pt idx="6">
                  <c:v>4.2857142857142865</c:v>
                </c:pt>
                <c:pt idx="7">
                  <c:v>4.3750000000000009</c:v>
                </c:pt>
                <c:pt idx="8">
                  <c:v>4.4444444444444446</c:v>
                </c:pt>
                <c:pt idx="9">
                  <c:v>4.5</c:v>
                </c:pt>
                <c:pt idx="10">
                  <c:v>4.5454545454545459</c:v>
                </c:pt>
                <c:pt idx="11">
                  <c:v>4.5833333333333339</c:v>
                </c:pt>
                <c:pt idx="12">
                  <c:v>4.615384615384615</c:v>
                </c:pt>
                <c:pt idx="13">
                  <c:v>4.6428571428571423</c:v>
                </c:pt>
                <c:pt idx="14">
                  <c:v>4.6666666666666661</c:v>
                </c:pt>
                <c:pt idx="15">
                  <c:v>4.6875</c:v>
                </c:pt>
              </c:numCache>
            </c:numRef>
          </c:yVal>
          <c:smooth val="1"/>
          <c:extLst>
            <c:ext xmlns:c16="http://schemas.microsoft.com/office/drawing/2014/chart" uri="{C3380CC4-5D6E-409C-BE32-E72D297353CC}">
              <c16:uniqueId val="{00000001-E588-46BB-BAF7-05E4BBBF9A6F}"/>
            </c:ext>
          </c:extLst>
        </c:ser>
        <c:ser>
          <c:idx val="6"/>
          <c:order val="2"/>
          <c:tx>
            <c:v>Surface 1, Droplet 3</c:v>
          </c:tx>
          <c:marker>
            <c:symbol val="none"/>
          </c:marker>
          <c:xVal>
            <c:numRef>
              <c:f>'Raw Data Time Penetration'!$W$10159:$W$10178</c:f>
              <c:numCache>
                <c:formatCode>General</c:formatCode>
                <c:ptCount val="20"/>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numCache>
            </c:numRef>
          </c:xVal>
          <c:yVal>
            <c:numRef>
              <c:f>'Raw Data Time Penetration'!$AN$10159:$AN$10178</c:f>
              <c:numCache>
                <c:formatCode>General</c:formatCode>
                <c:ptCount val="20"/>
                <c:pt idx="0">
                  <c:v>0</c:v>
                </c:pt>
                <c:pt idx="1">
                  <c:v>2.4390243902439024</c:v>
                </c:pt>
                <c:pt idx="2">
                  <c:v>3.278688524590164</c:v>
                </c:pt>
                <c:pt idx="3">
                  <c:v>3.7037037037037033</c:v>
                </c:pt>
                <c:pt idx="4">
                  <c:v>3.9603960396039599</c:v>
                </c:pt>
                <c:pt idx="5">
                  <c:v>4.1322314049586781</c:v>
                </c:pt>
                <c:pt idx="6">
                  <c:v>4.2553191489361701</c:v>
                </c:pt>
                <c:pt idx="7">
                  <c:v>4.3478260869565224</c:v>
                </c:pt>
                <c:pt idx="8">
                  <c:v>4.4198895027624312</c:v>
                </c:pt>
                <c:pt idx="9">
                  <c:v>4.477611940298508</c:v>
                </c:pt>
                <c:pt idx="10">
                  <c:v>4.5248868778280542</c:v>
                </c:pt>
                <c:pt idx="11">
                  <c:v>4.5643153526970961</c:v>
                </c:pt>
                <c:pt idx="12">
                  <c:v>4.5977011494252871</c:v>
                </c:pt>
                <c:pt idx="13">
                  <c:v>4.6263345195729535</c:v>
                </c:pt>
                <c:pt idx="14">
                  <c:v>4.6511627906976747</c:v>
                </c:pt>
                <c:pt idx="15">
                  <c:v>4.6728971962616823</c:v>
                </c:pt>
                <c:pt idx="16">
                  <c:v>4.6920821114369495</c:v>
                </c:pt>
                <c:pt idx="17">
                  <c:v>4.7091412742382275</c:v>
                </c:pt>
                <c:pt idx="18">
                  <c:v>4.7244094488188972</c:v>
                </c:pt>
                <c:pt idx="19">
                  <c:v>4.7381546134663335</c:v>
                </c:pt>
              </c:numCache>
            </c:numRef>
          </c:yVal>
          <c:smooth val="1"/>
          <c:extLst>
            <c:ext xmlns:c16="http://schemas.microsoft.com/office/drawing/2014/chart" uri="{C3380CC4-5D6E-409C-BE32-E72D297353CC}">
              <c16:uniqueId val="{00000002-E588-46BB-BAF7-05E4BBBF9A6F}"/>
            </c:ext>
          </c:extLst>
        </c:ser>
        <c:ser>
          <c:idx val="5"/>
          <c:order val="3"/>
          <c:tx>
            <c:v>Surface 1, Droplet 4</c:v>
          </c:tx>
          <c:marker>
            <c:symbol val="none"/>
          </c:marker>
          <c:xVal>
            <c:numRef>
              <c:f>'Raw Data Time Penetration'!$W$10140:$W$10158</c:f>
              <c:numCache>
                <c:formatCode>General</c:formatCode>
                <c:ptCount val="19"/>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numCache>
            </c:numRef>
          </c:xVal>
          <c:yVal>
            <c:numRef>
              <c:f>'Raw Data Time Penetration'!$AN$10140:$AN$10158</c:f>
              <c:numCache>
                <c:formatCode>General</c:formatCode>
                <c:ptCount val="19"/>
                <c:pt idx="0">
                  <c:v>0</c:v>
                </c:pt>
                <c:pt idx="1">
                  <c:v>2.5316455696202533</c:v>
                </c:pt>
                <c:pt idx="2">
                  <c:v>3.3613445378151265</c:v>
                </c:pt>
                <c:pt idx="3">
                  <c:v>3.773584905660377</c:v>
                </c:pt>
                <c:pt idx="4">
                  <c:v>4.0201005025125625</c:v>
                </c:pt>
                <c:pt idx="5">
                  <c:v>4.1841004184100417</c:v>
                </c:pt>
                <c:pt idx="6">
                  <c:v>4.301075268817204</c:v>
                </c:pt>
                <c:pt idx="7">
                  <c:v>4.3887147335423196</c:v>
                </c:pt>
                <c:pt idx="8">
                  <c:v>4.4568245125348191</c:v>
                </c:pt>
                <c:pt idx="9">
                  <c:v>4.511278195488722</c:v>
                </c:pt>
                <c:pt idx="10">
                  <c:v>4.5558086560364472</c:v>
                </c:pt>
                <c:pt idx="11">
                  <c:v>4.5929018789144056</c:v>
                </c:pt>
                <c:pt idx="12">
                  <c:v>4.6242774566473983</c:v>
                </c:pt>
                <c:pt idx="13">
                  <c:v>4.6511627906976747</c:v>
                </c:pt>
                <c:pt idx="14">
                  <c:v>4.674457429048414</c:v>
                </c:pt>
                <c:pt idx="15">
                  <c:v>4.6948356807511731</c:v>
                </c:pt>
                <c:pt idx="16">
                  <c:v>4.7128129602356408</c:v>
                </c:pt>
                <c:pt idx="17">
                  <c:v>4.7287899860917939</c:v>
                </c:pt>
                <c:pt idx="18">
                  <c:v>4.7430830039525693</c:v>
                </c:pt>
              </c:numCache>
            </c:numRef>
          </c:yVal>
          <c:smooth val="1"/>
          <c:extLst>
            <c:ext xmlns:c16="http://schemas.microsoft.com/office/drawing/2014/chart" uri="{C3380CC4-5D6E-409C-BE32-E72D297353CC}">
              <c16:uniqueId val="{00000003-E588-46BB-BAF7-05E4BBBF9A6F}"/>
            </c:ext>
          </c:extLst>
        </c:ser>
        <c:ser>
          <c:idx val="4"/>
          <c:order val="4"/>
          <c:tx>
            <c:v>Surface 1, Droplet 5</c:v>
          </c:tx>
          <c:marker>
            <c:symbol val="none"/>
          </c:marker>
          <c:xVal>
            <c:numRef>
              <c:f>'Raw Data Time Penetration'!$W$10124:$W$10139</c:f>
              <c:numCache>
                <c:formatCode>General</c:formatCode>
                <c:ptCount val="16"/>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numCache>
            </c:numRef>
          </c:xVal>
          <c:yVal>
            <c:numRef>
              <c:f>'Raw Data Time Penetration'!$AN$10124:$AN$10139</c:f>
              <c:numCache>
                <c:formatCode>General</c:formatCode>
                <c:ptCount val="16"/>
                <c:pt idx="0">
                  <c:v>0</c:v>
                </c:pt>
                <c:pt idx="1">
                  <c:v>3.0769230769230771</c:v>
                </c:pt>
                <c:pt idx="2">
                  <c:v>3.8095238095238093</c:v>
                </c:pt>
                <c:pt idx="3">
                  <c:v>4.1379310344827589</c:v>
                </c:pt>
                <c:pt idx="4">
                  <c:v>4.3243243243243246</c:v>
                </c:pt>
                <c:pt idx="5">
                  <c:v>4.4444444444444446</c:v>
                </c:pt>
                <c:pt idx="6">
                  <c:v>4.5283018867924527</c:v>
                </c:pt>
                <c:pt idx="7">
                  <c:v>4.5901639344262293</c:v>
                </c:pt>
                <c:pt idx="8">
                  <c:v>4.6376811594202891</c:v>
                </c:pt>
                <c:pt idx="9">
                  <c:v>4.6753246753246751</c:v>
                </c:pt>
                <c:pt idx="10">
                  <c:v>4.7058823529411766</c:v>
                </c:pt>
                <c:pt idx="11">
                  <c:v>4.7311827956989241</c:v>
                </c:pt>
                <c:pt idx="12">
                  <c:v>4.7524752475247523</c:v>
                </c:pt>
                <c:pt idx="13">
                  <c:v>4.7706422018348622</c:v>
                </c:pt>
                <c:pt idx="14">
                  <c:v>4.7863247863247862</c:v>
                </c:pt>
                <c:pt idx="15">
                  <c:v>4.8</c:v>
                </c:pt>
              </c:numCache>
            </c:numRef>
          </c:yVal>
          <c:smooth val="1"/>
          <c:extLst>
            <c:ext xmlns:c16="http://schemas.microsoft.com/office/drawing/2014/chart" uri="{C3380CC4-5D6E-409C-BE32-E72D297353CC}">
              <c16:uniqueId val="{00000004-E588-46BB-BAF7-05E4BBBF9A6F}"/>
            </c:ext>
          </c:extLst>
        </c:ser>
        <c:ser>
          <c:idx val="2"/>
          <c:order val="5"/>
          <c:tx>
            <c:v>Surface 2, Droplet 1</c:v>
          </c:tx>
          <c:marker>
            <c:symbol val="none"/>
          </c:marker>
          <c:xVal>
            <c:numRef>
              <c:f>'Raw Data Time Penetration'!$W$10074:$W$10099</c:f>
              <c:numCache>
                <c:formatCode>General</c:formatCode>
                <c:ptCount val="26"/>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pt idx="24">
                  <c:v>0.96</c:v>
                </c:pt>
                <c:pt idx="25">
                  <c:v>1</c:v>
                </c:pt>
              </c:numCache>
            </c:numRef>
          </c:xVal>
          <c:yVal>
            <c:numRef>
              <c:f>'Raw Data Time Penetration'!$AN$10074:$AN$10099</c:f>
              <c:numCache>
                <c:formatCode>General</c:formatCode>
                <c:ptCount val="26"/>
                <c:pt idx="0">
                  <c:v>0</c:v>
                </c:pt>
                <c:pt idx="1">
                  <c:v>3.3333333333333339</c:v>
                </c:pt>
                <c:pt idx="2">
                  <c:v>3.9999999999999996</c:v>
                </c:pt>
                <c:pt idx="3">
                  <c:v>4.2857142857142865</c:v>
                </c:pt>
                <c:pt idx="4">
                  <c:v>4.4444444444444446</c:v>
                </c:pt>
                <c:pt idx="5">
                  <c:v>4.5454545454545459</c:v>
                </c:pt>
                <c:pt idx="6">
                  <c:v>4.615384615384615</c:v>
                </c:pt>
                <c:pt idx="7">
                  <c:v>4.6666666666666661</c:v>
                </c:pt>
                <c:pt idx="8">
                  <c:v>4.7058823529411766</c:v>
                </c:pt>
                <c:pt idx="9">
                  <c:v>4.7368421052631575</c:v>
                </c:pt>
                <c:pt idx="10">
                  <c:v>4.7619047619047619</c:v>
                </c:pt>
                <c:pt idx="11">
                  <c:v>4.7826086956521738</c:v>
                </c:pt>
                <c:pt idx="12">
                  <c:v>4.8</c:v>
                </c:pt>
                <c:pt idx="13">
                  <c:v>4.8148148148148149</c:v>
                </c:pt>
                <c:pt idx="14">
                  <c:v>4.8275862068965516</c:v>
                </c:pt>
                <c:pt idx="15">
                  <c:v>4.8387096774193541</c:v>
                </c:pt>
                <c:pt idx="16">
                  <c:v>4.8484848484848486</c:v>
                </c:pt>
                <c:pt idx="17">
                  <c:v>4.8571428571428568</c:v>
                </c:pt>
                <c:pt idx="18">
                  <c:v>4.8648648648648649</c:v>
                </c:pt>
                <c:pt idx="19">
                  <c:v>4.8717948717948714</c:v>
                </c:pt>
                <c:pt idx="20">
                  <c:v>4.8780487804878048</c:v>
                </c:pt>
                <c:pt idx="21">
                  <c:v>4.8837209302325579</c:v>
                </c:pt>
                <c:pt idx="22">
                  <c:v>4.8888888888888884</c:v>
                </c:pt>
                <c:pt idx="23">
                  <c:v>4.8936170212765955</c:v>
                </c:pt>
                <c:pt idx="24">
                  <c:v>4.8979591836734695</c:v>
                </c:pt>
                <c:pt idx="25">
                  <c:v>4.901960784313725</c:v>
                </c:pt>
              </c:numCache>
            </c:numRef>
          </c:yVal>
          <c:smooth val="1"/>
          <c:extLst>
            <c:ext xmlns:c16="http://schemas.microsoft.com/office/drawing/2014/chart" uri="{C3380CC4-5D6E-409C-BE32-E72D297353CC}">
              <c16:uniqueId val="{00000005-E588-46BB-BAF7-05E4BBBF9A6F}"/>
            </c:ext>
          </c:extLst>
        </c:ser>
        <c:ser>
          <c:idx val="3"/>
          <c:order val="6"/>
          <c:tx>
            <c:v>Surface 2, Droplet 2</c:v>
          </c:tx>
          <c:marker>
            <c:symbol val="none"/>
          </c:marker>
          <c:xVal>
            <c:numRef>
              <c:f>'Raw Data Time Penetration'!$W$10115:$W$10123</c:f>
              <c:numCache>
                <c:formatCode>General</c:formatCode>
                <c:ptCount val="9"/>
                <c:pt idx="0">
                  <c:v>0</c:v>
                </c:pt>
                <c:pt idx="1">
                  <c:v>0.04</c:v>
                </c:pt>
                <c:pt idx="2">
                  <c:v>0.08</c:v>
                </c:pt>
                <c:pt idx="3">
                  <c:v>0.12</c:v>
                </c:pt>
                <c:pt idx="4">
                  <c:v>0.16</c:v>
                </c:pt>
                <c:pt idx="5">
                  <c:v>0.2</c:v>
                </c:pt>
                <c:pt idx="6">
                  <c:v>0.24</c:v>
                </c:pt>
                <c:pt idx="7">
                  <c:v>0.28000000000000003</c:v>
                </c:pt>
                <c:pt idx="8">
                  <c:v>0.32</c:v>
                </c:pt>
              </c:numCache>
            </c:numRef>
          </c:xVal>
          <c:yVal>
            <c:numRef>
              <c:f>'Raw Data Time Penetration'!$AN$10115:$AN$10123</c:f>
              <c:numCache>
                <c:formatCode>General</c:formatCode>
                <c:ptCount val="9"/>
                <c:pt idx="0">
                  <c:v>0</c:v>
                </c:pt>
                <c:pt idx="1">
                  <c:v>3.278688524590164</c:v>
                </c:pt>
                <c:pt idx="2">
                  <c:v>3.9603960396039599</c:v>
                </c:pt>
                <c:pt idx="3">
                  <c:v>4.2553191489361701</c:v>
                </c:pt>
                <c:pt idx="4">
                  <c:v>4.4198895027624312</c:v>
                </c:pt>
                <c:pt idx="5">
                  <c:v>4.5248868778280542</c:v>
                </c:pt>
                <c:pt idx="6">
                  <c:v>4.5977011494252871</c:v>
                </c:pt>
                <c:pt idx="7">
                  <c:v>4.6511627906976747</c:v>
                </c:pt>
                <c:pt idx="8">
                  <c:v>4.6920821114369495</c:v>
                </c:pt>
              </c:numCache>
            </c:numRef>
          </c:yVal>
          <c:smooth val="1"/>
          <c:extLst>
            <c:ext xmlns:c16="http://schemas.microsoft.com/office/drawing/2014/chart" uri="{C3380CC4-5D6E-409C-BE32-E72D297353CC}">
              <c16:uniqueId val="{00000006-E588-46BB-BAF7-05E4BBBF9A6F}"/>
            </c:ext>
          </c:extLst>
        </c:ser>
        <c:ser>
          <c:idx val="1"/>
          <c:order val="7"/>
          <c:tx>
            <c:v>Surface 2, Droplet 3</c:v>
          </c:tx>
          <c:marker>
            <c:symbol val="none"/>
          </c:marker>
          <c:xVal>
            <c:numRef>
              <c:f>'Raw Data Time Penetration'!$W$10049:$W$10073</c:f>
              <c:numCache>
                <c:formatCode>General</c:formatCode>
                <c:ptCount val="25"/>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pt idx="24">
                  <c:v>0.96</c:v>
                </c:pt>
              </c:numCache>
            </c:numRef>
          </c:xVal>
          <c:yVal>
            <c:numRef>
              <c:f>'Raw Data Time Penetration'!$AN$10049:$AN$10073</c:f>
              <c:numCache>
                <c:formatCode>General</c:formatCode>
                <c:ptCount val="25"/>
                <c:pt idx="0">
                  <c:v>0</c:v>
                </c:pt>
                <c:pt idx="1">
                  <c:v>2.2222222222222223</c:v>
                </c:pt>
                <c:pt idx="2">
                  <c:v>3.0769230769230771</c:v>
                </c:pt>
                <c:pt idx="3">
                  <c:v>3.5294117647058827</c:v>
                </c:pt>
                <c:pt idx="4">
                  <c:v>3.8095238095238093</c:v>
                </c:pt>
                <c:pt idx="5">
                  <c:v>4</c:v>
                </c:pt>
                <c:pt idx="6">
                  <c:v>4.1379310344827589</c:v>
                </c:pt>
                <c:pt idx="7">
                  <c:v>4.2424242424242422</c:v>
                </c:pt>
                <c:pt idx="8">
                  <c:v>4.3243243243243246</c:v>
                </c:pt>
                <c:pt idx="9">
                  <c:v>4.3902439024390247</c:v>
                </c:pt>
                <c:pt idx="10">
                  <c:v>4.4444444444444446</c:v>
                </c:pt>
                <c:pt idx="11">
                  <c:v>4.4897959183673466</c:v>
                </c:pt>
                <c:pt idx="12">
                  <c:v>4.5283018867924527</c:v>
                </c:pt>
                <c:pt idx="13">
                  <c:v>4.5614035087719298</c:v>
                </c:pt>
                <c:pt idx="14">
                  <c:v>4.5901639344262293</c:v>
                </c:pt>
                <c:pt idx="15">
                  <c:v>4.615384615384615</c:v>
                </c:pt>
                <c:pt idx="16">
                  <c:v>4.6376811594202891</c:v>
                </c:pt>
                <c:pt idx="17">
                  <c:v>4.6575342465753424</c:v>
                </c:pt>
                <c:pt idx="18">
                  <c:v>4.6753246753246751</c:v>
                </c:pt>
                <c:pt idx="19">
                  <c:v>4.6913580246913575</c:v>
                </c:pt>
                <c:pt idx="20">
                  <c:v>4.7058823529411766</c:v>
                </c:pt>
                <c:pt idx="21">
                  <c:v>4.7191011235955056</c:v>
                </c:pt>
                <c:pt idx="22">
                  <c:v>4.7311827956989241</c:v>
                </c:pt>
                <c:pt idx="23">
                  <c:v>4.7422680412371134</c:v>
                </c:pt>
                <c:pt idx="24">
                  <c:v>4.7524752475247523</c:v>
                </c:pt>
              </c:numCache>
            </c:numRef>
          </c:yVal>
          <c:smooth val="1"/>
          <c:extLst>
            <c:ext xmlns:c16="http://schemas.microsoft.com/office/drawing/2014/chart" uri="{C3380CC4-5D6E-409C-BE32-E72D297353CC}">
              <c16:uniqueId val="{00000007-E588-46BB-BAF7-05E4BBBF9A6F}"/>
            </c:ext>
          </c:extLst>
        </c:ser>
        <c:dLbls>
          <c:showLegendKey val="0"/>
          <c:showVal val="0"/>
          <c:showCatName val="0"/>
          <c:showSerName val="0"/>
          <c:showPercent val="0"/>
          <c:showBubbleSize val="0"/>
        </c:dLbls>
        <c:axId val="434008224"/>
        <c:axId val="441023168"/>
      </c:scatterChart>
      <c:valAx>
        <c:axId val="434008224"/>
        <c:scaling>
          <c:orientation val="minMax"/>
        </c:scaling>
        <c:delete val="0"/>
        <c:axPos val="b"/>
        <c:title>
          <c:tx>
            <c:rich>
              <a:bodyPr/>
              <a:lstStyle/>
              <a:p>
                <a:pPr>
                  <a:defRPr/>
                </a:pPr>
                <a:r>
                  <a:rPr lang="es-US" sz="1200"/>
                  <a:t>Time (minutes)</a:t>
                </a:r>
              </a:p>
            </c:rich>
          </c:tx>
          <c:overlay val="0"/>
        </c:title>
        <c:numFmt formatCode="General" sourceLinked="1"/>
        <c:majorTickMark val="out"/>
        <c:minorTickMark val="none"/>
        <c:tickLblPos val="nextTo"/>
        <c:crossAx val="441023168"/>
        <c:crosses val="autoZero"/>
        <c:crossBetween val="midCat"/>
      </c:valAx>
      <c:valAx>
        <c:axId val="441023168"/>
        <c:scaling>
          <c:orientation val="minMax"/>
        </c:scaling>
        <c:delete val="0"/>
        <c:axPos val="l"/>
        <c:majorGridlines/>
        <c:title>
          <c:tx>
            <c:rich>
              <a:bodyPr rot="-5400000" vert="horz"/>
              <a:lstStyle/>
              <a:p>
                <a:pPr>
                  <a:defRPr/>
                </a:pPr>
                <a:r>
                  <a:rPr lang="es-US" sz="1200"/>
                  <a:t>Volume Penetrated (uL)</a:t>
                </a:r>
              </a:p>
            </c:rich>
          </c:tx>
          <c:overlay val="0"/>
        </c:title>
        <c:numFmt formatCode="General" sourceLinked="1"/>
        <c:majorTickMark val="out"/>
        <c:minorTickMark val="none"/>
        <c:tickLblPos val="nextTo"/>
        <c:crossAx val="434008224"/>
        <c:crosses val="autoZero"/>
        <c:crossBetween val="midCat"/>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US"/>
              <a:t>DI</a:t>
            </a:r>
            <a:r>
              <a:rPr lang="es-US" baseline="0"/>
              <a:t> Water on Nanogard</a:t>
            </a:r>
            <a:endParaRPr lang="es-US"/>
          </a:p>
        </c:rich>
      </c:tx>
      <c:overlay val="0"/>
    </c:title>
    <c:autoTitleDeleted val="0"/>
    <c:plotArea>
      <c:layout/>
      <c:scatterChart>
        <c:scatterStyle val="smoothMarker"/>
        <c:varyColors val="0"/>
        <c:ser>
          <c:idx val="0"/>
          <c:order val="0"/>
          <c:tx>
            <c:v>3,3</c:v>
          </c:tx>
          <c:marker>
            <c:symbol val="none"/>
          </c:marker>
          <c:xVal>
            <c:numRef>
              <c:f>'Raw Data Time Penetration'!$T$29734:$T$29743</c:f>
              <c:numCache>
                <c:formatCode>General</c:formatCode>
                <c:ptCount val="10"/>
                <c:pt idx="0">
                  <c:v>0</c:v>
                </c:pt>
                <c:pt idx="1">
                  <c:v>0.04</c:v>
                </c:pt>
                <c:pt idx="2">
                  <c:v>0.08</c:v>
                </c:pt>
                <c:pt idx="3">
                  <c:v>0.12</c:v>
                </c:pt>
                <c:pt idx="4">
                  <c:v>0.16</c:v>
                </c:pt>
                <c:pt idx="5">
                  <c:v>0.2</c:v>
                </c:pt>
                <c:pt idx="6">
                  <c:v>0.24</c:v>
                </c:pt>
                <c:pt idx="7">
                  <c:v>0.28000000000000003</c:v>
                </c:pt>
                <c:pt idx="8">
                  <c:v>0.32</c:v>
                </c:pt>
                <c:pt idx="9">
                  <c:v>0.36</c:v>
                </c:pt>
              </c:numCache>
            </c:numRef>
          </c:xVal>
          <c:yVal>
            <c:numRef>
              <c:f>'Raw Data Time Penetration'!$AN$29734:$AN$29743</c:f>
              <c:numCache>
                <c:formatCode>General</c:formatCode>
                <c:ptCount val="10"/>
                <c:pt idx="0">
                  <c:v>0</c:v>
                </c:pt>
                <c:pt idx="1">
                  <c:v>2</c:v>
                </c:pt>
                <c:pt idx="2">
                  <c:v>2.4</c:v>
                </c:pt>
                <c:pt idx="3">
                  <c:v>2.5714285714285716</c:v>
                </c:pt>
                <c:pt idx="4">
                  <c:v>2.666666666666667</c:v>
                </c:pt>
                <c:pt idx="5">
                  <c:v>2.7272727272727275</c:v>
                </c:pt>
                <c:pt idx="6">
                  <c:v>2.7692307692307692</c:v>
                </c:pt>
                <c:pt idx="7">
                  <c:v>2.8</c:v>
                </c:pt>
                <c:pt idx="8">
                  <c:v>2.8235294117647056</c:v>
                </c:pt>
                <c:pt idx="9">
                  <c:v>2.8421052631578947</c:v>
                </c:pt>
              </c:numCache>
            </c:numRef>
          </c:yVal>
          <c:smooth val="1"/>
          <c:extLst>
            <c:ext xmlns:c16="http://schemas.microsoft.com/office/drawing/2014/chart" uri="{C3380CC4-5D6E-409C-BE32-E72D297353CC}">
              <c16:uniqueId val="{00000000-2942-441C-9280-990023C5465C}"/>
            </c:ext>
          </c:extLst>
        </c:ser>
        <c:ser>
          <c:idx val="1"/>
          <c:order val="1"/>
          <c:tx>
            <c:v>3,2</c:v>
          </c:tx>
          <c:marker>
            <c:symbol val="none"/>
          </c:marker>
          <c:xVal>
            <c:numRef>
              <c:f>'Raw Data Time Penetration'!$T$29744:$T$29753</c:f>
              <c:numCache>
                <c:formatCode>General</c:formatCode>
                <c:ptCount val="10"/>
                <c:pt idx="0">
                  <c:v>0</c:v>
                </c:pt>
                <c:pt idx="1">
                  <c:v>0.04</c:v>
                </c:pt>
                <c:pt idx="2">
                  <c:v>0.08</c:v>
                </c:pt>
                <c:pt idx="3">
                  <c:v>0.12</c:v>
                </c:pt>
                <c:pt idx="4">
                  <c:v>0.16</c:v>
                </c:pt>
                <c:pt idx="5">
                  <c:v>0.2</c:v>
                </c:pt>
                <c:pt idx="6">
                  <c:v>0.24</c:v>
                </c:pt>
                <c:pt idx="7">
                  <c:v>0.28000000000000003</c:v>
                </c:pt>
                <c:pt idx="8">
                  <c:v>0.32</c:v>
                </c:pt>
                <c:pt idx="9">
                  <c:v>0.36</c:v>
                </c:pt>
              </c:numCache>
            </c:numRef>
          </c:xVal>
          <c:yVal>
            <c:numRef>
              <c:f>'Raw Data Time Penetration'!$AN$29744:$AN$29753</c:f>
              <c:numCache>
                <c:formatCode>General</c:formatCode>
                <c:ptCount val="10"/>
                <c:pt idx="0">
                  <c:v>0</c:v>
                </c:pt>
                <c:pt idx="1">
                  <c:v>1.9672131147540985</c:v>
                </c:pt>
                <c:pt idx="2">
                  <c:v>2.3762376237623761</c:v>
                </c:pt>
                <c:pt idx="3">
                  <c:v>2.5531914893617023</c:v>
                </c:pt>
                <c:pt idx="4">
                  <c:v>2.6519337016574589</c:v>
                </c:pt>
                <c:pt idx="5">
                  <c:v>2.7149321266968327</c:v>
                </c:pt>
                <c:pt idx="6">
                  <c:v>2.7586206896551722</c:v>
                </c:pt>
                <c:pt idx="7">
                  <c:v>2.7906976744186047</c:v>
                </c:pt>
                <c:pt idx="8">
                  <c:v>2.8152492668621698</c:v>
                </c:pt>
                <c:pt idx="9">
                  <c:v>2.8346456692913384</c:v>
                </c:pt>
              </c:numCache>
            </c:numRef>
          </c:yVal>
          <c:smooth val="1"/>
          <c:extLst>
            <c:ext xmlns:c16="http://schemas.microsoft.com/office/drawing/2014/chart" uri="{C3380CC4-5D6E-409C-BE32-E72D297353CC}">
              <c16:uniqueId val="{00000001-2942-441C-9280-990023C5465C}"/>
            </c:ext>
          </c:extLst>
        </c:ser>
        <c:ser>
          <c:idx val="2"/>
          <c:order val="2"/>
          <c:tx>
            <c:v>1,5</c:v>
          </c:tx>
          <c:marker>
            <c:symbol val="none"/>
          </c:marker>
          <c:xVal>
            <c:numRef>
              <c:f>'Raw Data Time Penetration'!$T$29754:$T$29761</c:f>
              <c:numCache>
                <c:formatCode>General</c:formatCode>
                <c:ptCount val="8"/>
                <c:pt idx="0">
                  <c:v>0</c:v>
                </c:pt>
                <c:pt idx="1">
                  <c:v>0.04</c:v>
                </c:pt>
                <c:pt idx="2">
                  <c:v>0.08</c:v>
                </c:pt>
                <c:pt idx="3">
                  <c:v>0.12</c:v>
                </c:pt>
                <c:pt idx="4">
                  <c:v>0.16</c:v>
                </c:pt>
                <c:pt idx="5">
                  <c:v>0.2</c:v>
                </c:pt>
                <c:pt idx="6">
                  <c:v>0.24</c:v>
                </c:pt>
                <c:pt idx="7">
                  <c:v>0.28000000000000003</c:v>
                </c:pt>
              </c:numCache>
            </c:numRef>
          </c:xVal>
          <c:yVal>
            <c:numRef>
              <c:f>'Raw Data Time Penetration'!$AN$29754:$AN$29761</c:f>
              <c:numCache>
                <c:formatCode>General</c:formatCode>
                <c:ptCount val="8"/>
                <c:pt idx="0">
                  <c:v>0</c:v>
                </c:pt>
                <c:pt idx="1">
                  <c:v>0.97560975609756095</c:v>
                </c:pt>
                <c:pt idx="2">
                  <c:v>1.4723926380368098</c:v>
                </c:pt>
                <c:pt idx="3">
                  <c:v>1.773399014778325</c:v>
                </c:pt>
                <c:pt idx="4">
                  <c:v>1.9753086419753085</c:v>
                </c:pt>
                <c:pt idx="5">
                  <c:v>2.1201413427561837</c:v>
                </c:pt>
                <c:pt idx="6">
                  <c:v>2.2291021671826625</c:v>
                </c:pt>
                <c:pt idx="7">
                  <c:v>2.3140495867768598</c:v>
                </c:pt>
              </c:numCache>
            </c:numRef>
          </c:yVal>
          <c:smooth val="1"/>
          <c:extLst>
            <c:ext xmlns:c16="http://schemas.microsoft.com/office/drawing/2014/chart" uri="{C3380CC4-5D6E-409C-BE32-E72D297353CC}">
              <c16:uniqueId val="{00000002-2942-441C-9280-990023C5465C}"/>
            </c:ext>
          </c:extLst>
        </c:ser>
        <c:ser>
          <c:idx val="3"/>
          <c:order val="3"/>
          <c:tx>
            <c:v>1,2</c:v>
          </c:tx>
          <c:marker>
            <c:symbol val="none"/>
          </c:marker>
          <c:xVal>
            <c:numRef>
              <c:f>'Raw Data Time Penetration'!$T$29792:$T$29798</c:f>
              <c:numCache>
                <c:formatCode>General</c:formatCode>
                <c:ptCount val="7"/>
                <c:pt idx="0">
                  <c:v>0</c:v>
                </c:pt>
                <c:pt idx="1">
                  <c:v>0.04</c:v>
                </c:pt>
                <c:pt idx="2">
                  <c:v>0.08</c:v>
                </c:pt>
                <c:pt idx="3">
                  <c:v>0.12</c:v>
                </c:pt>
                <c:pt idx="4">
                  <c:v>0.16</c:v>
                </c:pt>
                <c:pt idx="5">
                  <c:v>0.2</c:v>
                </c:pt>
                <c:pt idx="6">
                  <c:v>0.24</c:v>
                </c:pt>
              </c:numCache>
            </c:numRef>
          </c:xVal>
          <c:yVal>
            <c:numRef>
              <c:f>'Raw Data Time Penetration'!$AN$29792:$AN$29798</c:f>
              <c:numCache>
                <c:formatCode>General</c:formatCode>
                <c:ptCount val="7"/>
                <c:pt idx="0">
                  <c:v>0</c:v>
                </c:pt>
                <c:pt idx="1">
                  <c:v>2.1052631578947367</c:v>
                </c:pt>
                <c:pt idx="2">
                  <c:v>2.4742268041237114</c:v>
                </c:pt>
                <c:pt idx="3">
                  <c:v>2.6277372262773722</c:v>
                </c:pt>
                <c:pt idx="4">
                  <c:v>2.7118644067796613</c:v>
                </c:pt>
                <c:pt idx="5">
                  <c:v>2.7649769585253452</c:v>
                </c:pt>
                <c:pt idx="6">
                  <c:v>2.8015564202334629</c:v>
                </c:pt>
              </c:numCache>
            </c:numRef>
          </c:yVal>
          <c:smooth val="1"/>
          <c:extLst>
            <c:ext xmlns:c16="http://schemas.microsoft.com/office/drawing/2014/chart" uri="{C3380CC4-5D6E-409C-BE32-E72D297353CC}">
              <c16:uniqueId val="{00000003-2942-441C-9280-990023C5465C}"/>
            </c:ext>
          </c:extLst>
        </c:ser>
        <c:dLbls>
          <c:showLegendKey val="0"/>
          <c:showVal val="0"/>
          <c:showCatName val="0"/>
          <c:showSerName val="0"/>
          <c:showPercent val="0"/>
          <c:showBubbleSize val="0"/>
        </c:dLbls>
        <c:axId val="519531528"/>
        <c:axId val="519531136"/>
      </c:scatterChart>
      <c:valAx>
        <c:axId val="519531528"/>
        <c:scaling>
          <c:orientation val="minMax"/>
        </c:scaling>
        <c:delete val="0"/>
        <c:axPos val="b"/>
        <c:title>
          <c:tx>
            <c:rich>
              <a:bodyPr/>
              <a:lstStyle/>
              <a:p>
                <a:pPr>
                  <a:defRPr/>
                </a:pPr>
                <a:r>
                  <a:rPr lang="es-US"/>
                  <a:t>Time (</a:t>
                </a:r>
                <a:r>
                  <a:rPr lang="es-US" baseline="0"/>
                  <a:t>second)</a:t>
                </a:r>
                <a:endParaRPr lang="es-US"/>
              </a:p>
            </c:rich>
          </c:tx>
          <c:overlay val="0"/>
        </c:title>
        <c:numFmt formatCode="General" sourceLinked="1"/>
        <c:majorTickMark val="out"/>
        <c:minorTickMark val="none"/>
        <c:tickLblPos val="nextTo"/>
        <c:crossAx val="519531136"/>
        <c:crosses val="autoZero"/>
        <c:crossBetween val="midCat"/>
      </c:valAx>
      <c:valAx>
        <c:axId val="519531136"/>
        <c:scaling>
          <c:orientation val="minMax"/>
          <c:min val="0"/>
        </c:scaling>
        <c:delete val="0"/>
        <c:axPos val="l"/>
        <c:majorGridlines/>
        <c:title>
          <c:tx>
            <c:rich>
              <a:bodyPr rot="-5400000" vert="horz"/>
              <a:lstStyle/>
              <a:p>
                <a:pPr>
                  <a:defRPr/>
                </a:pPr>
                <a:r>
                  <a:rPr lang="es-US"/>
                  <a:t>Volume Penetrated(uL)</a:t>
                </a:r>
              </a:p>
            </c:rich>
          </c:tx>
          <c:overlay val="0"/>
        </c:title>
        <c:numFmt formatCode="General" sourceLinked="1"/>
        <c:majorTickMark val="out"/>
        <c:minorTickMark val="none"/>
        <c:tickLblPos val="nextTo"/>
        <c:crossAx val="519531528"/>
        <c:crosses val="autoZero"/>
        <c:crossBetween val="midCat"/>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NG</a:t>
            </a:r>
            <a:r>
              <a:rPr lang="en-US" baseline="0"/>
              <a:t> in Water-Bacteria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Data!$B$7:$B$10</c:f>
              <c:numCache>
                <c:formatCode>General</c:formatCode>
                <c:ptCount val="4"/>
                <c:pt idx="0">
                  <c:v>0</c:v>
                </c:pt>
                <c:pt idx="1">
                  <c:v>2</c:v>
                </c:pt>
                <c:pt idx="2">
                  <c:v>4</c:v>
                </c:pt>
                <c:pt idx="3">
                  <c:v>6</c:v>
                </c:pt>
              </c:numCache>
            </c:numRef>
          </c:xVal>
          <c:yVal>
            <c:numRef>
              <c:f>Data!$C$7:$C$10</c:f>
              <c:numCache>
                <c:formatCode>General</c:formatCode>
                <c:ptCount val="4"/>
                <c:pt idx="0">
                  <c:v>8570</c:v>
                </c:pt>
                <c:pt idx="1">
                  <c:v>11704</c:v>
                </c:pt>
                <c:pt idx="2">
                  <c:v>10571</c:v>
                </c:pt>
                <c:pt idx="3">
                  <c:v>8140</c:v>
                </c:pt>
              </c:numCache>
            </c:numRef>
          </c:yVal>
          <c:smooth val="1"/>
          <c:extLst>
            <c:ext xmlns:c16="http://schemas.microsoft.com/office/drawing/2014/chart" uri="{C3380CC4-5D6E-409C-BE32-E72D297353CC}">
              <c16:uniqueId val="{00000000-3C00-46E7-971D-88627274AB55}"/>
            </c:ext>
          </c:extLst>
        </c:ser>
        <c:ser>
          <c:idx val="1"/>
          <c:order val="1"/>
          <c:tx>
            <c:v>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Data!$B$7:$B$10</c:f>
              <c:numCache>
                <c:formatCode>General</c:formatCode>
                <c:ptCount val="4"/>
                <c:pt idx="0">
                  <c:v>0</c:v>
                </c:pt>
                <c:pt idx="1">
                  <c:v>2</c:v>
                </c:pt>
                <c:pt idx="2">
                  <c:v>4</c:v>
                </c:pt>
                <c:pt idx="3">
                  <c:v>6</c:v>
                </c:pt>
              </c:numCache>
            </c:numRef>
          </c:xVal>
          <c:yVal>
            <c:numRef>
              <c:f>Data!$D$7:$D$10</c:f>
              <c:numCache>
                <c:formatCode>General</c:formatCode>
                <c:ptCount val="4"/>
                <c:pt idx="0">
                  <c:v>1342</c:v>
                </c:pt>
                <c:pt idx="1">
                  <c:v>1026</c:v>
                </c:pt>
                <c:pt idx="2">
                  <c:v>2868</c:v>
                </c:pt>
                <c:pt idx="3">
                  <c:v>4322</c:v>
                </c:pt>
              </c:numCache>
            </c:numRef>
          </c:yVal>
          <c:smooth val="1"/>
          <c:extLst>
            <c:ext xmlns:c16="http://schemas.microsoft.com/office/drawing/2014/chart" uri="{C3380CC4-5D6E-409C-BE32-E72D297353CC}">
              <c16:uniqueId val="{00000001-3C00-46E7-971D-88627274AB55}"/>
            </c:ext>
          </c:extLst>
        </c:ser>
        <c:ser>
          <c:idx val="2"/>
          <c:order val="2"/>
          <c:tx>
            <c:v>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Data!$B$7:$B$10</c:f>
              <c:numCache>
                <c:formatCode>General</c:formatCode>
                <c:ptCount val="4"/>
                <c:pt idx="0">
                  <c:v>0</c:v>
                </c:pt>
                <c:pt idx="1">
                  <c:v>2</c:v>
                </c:pt>
                <c:pt idx="2">
                  <c:v>4</c:v>
                </c:pt>
                <c:pt idx="3">
                  <c:v>6</c:v>
                </c:pt>
              </c:numCache>
            </c:numRef>
          </c:xVal>
          <c:yVal>
            <c:numRef>
              <c:f>Data!$E$7:$E$10</c:f>
              <c:numCache>
                <c:formatCode>General</c:formatCode>
                <c:ptCount val="4"/>
                <c:pt idx="0">
                  <c:v>16674</c:v>
                </c:pt>
                <c:pt idx="1">
                  <c:v>16964</c:v>
                </c:pt>
                <c:pt idx="2">
                  <c:v>13748</c:v>
                </c:pt>
                <c:pt idx="3">
                  <c:v>16486</c:v>
                </c:pt>
              </c:numCache>
            </c:numRef>
          </c:yVal>
          <c:smooth val="1"/>
          <c:extLst>
            <c:ext xmlns:c16="http://schemas.microsoft.com/office/drawing/2014/chart" uri="{C3380CC4-5D6E-409C-BE32-E72D297353CC}">
              <c16:uniqueId val="{00000002-3C00-46E7-971D-88627274AB55}"/>
            </c:ext>
          </c:extLst>
        </c:ser>
        <c:ser>
          <c:idx val="3"/>
          <c:order val="3"/>
          <c:tx>
            <c:v>4</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Data!$B$7:$B$10</c:f>
              <c:numCache>
                <c:formatCode>General</c:formatCode>
                <c:ptCount val="4"/>
                <c:pt idx="0">
                  <c:v>0</c:v>
                </c:pt>
                <c:pt idx="1">
                  <c:v>2</c:v>
                </c:pt>
                <c:pt idx="2">
                  <c:v>4</c:v>
                </c:pt>
                <c:pt idx="3">
                  <c:v>6</c:v>
                </c:pt>
              </c:numCache>
            </c:numRef>
          </c:xVal>
          <c:yVal>
            <c:numRef>
              <c:f>Data!$F$7:$F$10</c:f>
              <c:numCache>
                <c:formatCode>General</c:formatCode>
                <c:ptCount val="4"/>
                <c:pt idx="0">
                  <c:v>12274</c:v>
                </c:pt>
                <c:pt idx="1">
                  <c:v>9244</c:v>
                </c:pt>
                <c:pt idx="2">
                  <c:v>8530</c:v>
                </c:pt>
                <c:pt idx="3">
                  <c:v>7751</c:v>
                </c:pt>
              </c:numCache>
            </c:numRef>
          </c:yVal>
          <c:smooth val="1"/>
          <c:extLst>
            <c:ext xmlns:c16="http://schemas.microsoft.com/office/drawing/2014/chart" uri="{C3380CC4-5D6E-409C-BE32-E72D297353CC}">
              <c16:uniqueId val="{00000003-3C00-46E7-971D-88627274AB55}"/>
            </c:ext>
          </c:extLst>
        </c:ser>
        <c:ser>
          <c:idx val="4"/>
          <c:order val="4"/>
          <c:tx>
            <c:v>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Data!$B$7:$B$10</c:f>
              <c:numCache>
                <c:formatCode>General</c:formatCode>
                <c:ptCount val="4"/>
                <c:pt idx="0">
                  <c:v>0</c:v>
                </c:pt>
                <c:pt idx="1">
                  <c:v>2</c:v>
                </c:pt>
                <c:pt idx="2">
                  <c:v>4</c:v>
                </c:pt>
                <c:pt idx="3">
                  <c:v>6</c:v>
                </c:pt>
              </c:numCache>
            </c:numRef>
          </c:xVal>
          <c:yVal>
            <c:numRef>
              <c:f>Data!$G$7:$G$10</c:f>
              <c:numCache>
                <c:formatCode>General</c:formatCode>
                <c:ptCount val="4"/>
                <c:pt idx="0">
                  <c:v>8524</c:v>
                </c:pt>
                <c:pt idx="1">
                  <c:v>8700</c:v>
                </c:pt>
                <c:pt idx="2">
                  <c:v>7149</c:v>
                </c:pt>
                <c:pt idx="3">
                  <c:v>8045</c:v>
                </c:pt>
              </c:numCache>
            </c:numRef>
          </c:yVal>
          <c:smooth val="1"/>
          <c:extLst>
            <c:ext xmlns:c16="http://schemas.microsoft.com/office/drawing/2014/chart" uri="{C3380CC4-5D6E-409C-BE32-E72D297353CC}">
              <c16:uniqueId val="{00000004-3C00-46E7-971D-88627274AB55}"/>
            </c:ext>
          </c:extLst>
        </c:ser>
        <c:ser>
          <c:idx val="5"/>
          <c:order val="5"/>
          <c:tx>
            <c:v>6</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Data!$B$7:$B$10</c:f>
              <c:numCache>
                <c:formatCode>General</c:formatCode>
                <c:ptCount val="4"/>
                <c:pt idx="0">
                  <c:v>0</c:v>
                </c:pt>
                <c:pt idx="1">
                  <c:v>2</c:v>
                </c:pt>
                <c:pt idx="2">
                  <c:v>4</c:v>
                </c:pt>
                <c:pt idx="3">
                  <c:v>6</c:v>
                </c:pt>
              </c:numCache>
            </c:numRef>
          </c:xVal>
          <c:yVal>
            <c:numRef>
              <c:f>Data!$H$7:$H$10</c:f>
              <c:numCache>
                <c:formatCode>General</c:formatCode>
                <c:ptCount val="4"/>
                <c:pt idx="0">
                  <c:v>9052</c:v>
                </c:pt>
                <c:pt idx="1">
                  <c:v>8545</c:v>
                </c:pt>
                <c:pt idx="2">
                  <c:v>10008</c:v>
                </c:pt>
                <c:pt idx="3">
                  <c:v>9547</c:v>
                </c:pt>
              </c:numCache>
            </c:numRef>
          </c:yVal>
          <c:smooth val="1"/>
          <c:extLst>
            <c:ext xmlns:c16="http://schemas.microsoft.com/office/drawing/2014/chart" uri="{C3380CC4-5D6E-409C-BE32-E72D297353CC}">
              <c16:uniqueId val="{00000005-3C00-46E7-971D-88627274AB55}"/>
            </c:ext>
          </c:extLst>
        </c:ser>
        <c:dLbls>
          <c:showLegendKey val="0"/>
          <c:showVal val="0"/>
          <c:showCatName val="0"/>
          <c:showSerName val="0"/>
          <c:showPercent val="0"/>
          <c:showBubbleSize val="0"/>
        </c:dLbls>
        <c:axId val="519654752"/>
        <c:axId val="519655144"/>
      </c:scatterChart>
      <c:valAx>
        <c:axId val="5196547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655144"/>
        <c:crosses val="autoZero"/>
        <c:crossBetween val="midCat"/>
      </c:valAx>
      <c:valAx>
        <c:axId val="519655144"/>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6547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NT</a:t>
            </a:r>
            <a:r>
              <a:rPr lang="en-US" baseline="0"/>
              <a:t> in EtOH-Bacteria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Data!$B$12:$B$15</c:f>
              <c:numCache>
                <c:formatCode>General</c:formatCode>
                <c:ptCount val="4"/>
                <c:pt idx="0">
                  <c:v>0</c:v>
                </c:pt>
                <c:pt idx="1">
                  <c:v>2</c:v>
                </c:pt>
                <c:pt idx="2">
                  <c:v>4</c:v>
                </c:pt>
                <c:pt idx="3">
                  <c:v>6</c:v>
                </c:pt>
              </c:numCache>
            </c:numRef>
          </c:xVal>
          <c:yVal>
            <c:numRef>
              <c:f>Data!$C$12:$C$15</c:f>
              <c:numCache>
                <c:formatCode>General</c:formatCode>
                <c:ptCount val="4"/>
                <c:pt idx="0">
                  <c:v>23153</c:v>
                </c:pt>
                <c:pt idx="1">
                  <c:v>28307</c:v>
                </c:pt>
                <c:pt idx="2">
                  <c:v>23759</c:v>
                </c:pt>
                <c:pt idx="3">
                  <c:v>25452</c:v>
                </c:pt>
              </c:numCache>
            </c:numRef>
          </c:yVal>
          <c:smooth val="1"/>
          <c:extLst>
            <c:ext xmlns:c16="http://schemas.microsoft.com/office/drawing/2014/chart" uri="{C3380CC4-5D6E-409C-BE32-E72D297353CC}">
              <c16:uniqueId val="{00000000-1DD1-4F64-9E17-4BEE0571383B}"/>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Data!$B$12:$B$15</c:f>
              <c:numCache>
                <c:formatCode>General</c:formatCode>
                <c:ptCount val="4"/>
                <c:pt idx="0">
                  <c:v>0</c:v>
                </c:pt>
                <c:pt idx="1">
                  <c:v>2</c:v>
                </c:pt>
                <c:pt idx="2">
                  <c:v>4</c:v>
                </c:pt>
                <c:pt idx="3">
                  <c:v>6</c:v>
                </c:pt>
              </c:numCache>
            </c:numRef>
          </c:xVal>
          <c:yVal>
            <c:numRef>
              <c:f>Data!$D$12:$D$15</c:f>
              <c:numCache>
                <c:formatCode>General</c:formatCode>
                <c:ptCount val="4"/>
                <c:pt idx="0">
                  <c:v>15247</c:v>
                </c:pt>
                <c:pt idx="1">
                  <c:v>12532</c:v>
                </c:pt>
                <c:pt idx="2">
                  <c:v>13962</c:v>
                </c:pt>
                <c:pt idx="3">
                  <c:v>16624</c:v>
                </c:pt>
              </c:numCache>
            </c:numRef>
          </c:yVal>
          <c:smooth val="1"/>
          <c:extLst>
            <c:ext xmlns:c16="http://schemas.microsoft.com/office/drawing/2014/chart" uri="{C3380CC4-5D6E-409C-BE32-E72D297353CC}">
              <c16:uniqueId val="{00000001-1DD1-4F64-9E17-4BEE0571383B}"/>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Data!$B$12:$B$15</c:f>
              <c:numCache>
                <c:formatCode>General</c:formatCode>
                <c:ptCount val="4"/>
                <c:pt idx="0">
                  <c:v>0</c:v>
                </c:pt>
                <c:pt idx="1">
                  <c:v>2</c:v>
                </c:pt>
                <c:pt idx="2">
                  <c:v>4</c:v>
                </c:pt>
                <c:pt idx="3">
                  <c:v>6</c:v>
                </c:pt>
              </c:numCache>
            </c:numRef>
          </c:xVal>
          <c:yVal>
            <c:numRef>
              <c:f>Data!$E$12:$E$15</c:f>
              <c:numCache>
                <c:formatCode>General</c:formatCode>
                <c:ptCount val="4"/>
                <c:pt idx="0">
                  <c:v>1632</c:v>
                </c:pt>
                <c:pt idx="1">
                  <c:v>1528</c:v>
                </c:pt>
                <c:pt idx="2">
                  <c:v>1232</c:v>
                </c:pt>
                <c:pt idx="3">
                  <c:v>1976</c:v>
                </c:pt>
              </c:numCache>
            </c:numRef>
          </c:yVal>
          <c:smooth val="1"/>
          <c:extLst>
            <c:ext xmlns:c16="http://schemas.microsoft.com/office/drawing/2014/chart" uri="{C3380CC4-5D6E-409C-BE32-E72D297353CC}">
              <c16:uniqueId val="{00000002-1DD1-4F64-9E17-4BEE0571383B}"/>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Data!$B$12:$B$15</c:f>
              <c:numCache>
                <c:formatCode>General</c:formatCode>
                <c:ptCount val="4"/>
                <c:pt idx="0">
                  <c:v>0</c:v>
                </c:pt>
                <c:pt idx="1">
                  <c:v>2</c:v>
                </c:pt>
                <c:pt idx="2">
                  <c:v>4</c:v>
                </c:pt>
                <c:pt idx="3">
                  <c:v>6</c:v>
                </c:pt>
              </c:numCache>
            </c:numRef>
          </c:xVal>
          <c:yVal>
            <c:numRef>
              <c:f>Data!$F$12:$F$15</c:f>
              <c:numCache>
                <c:formatCode>General</c:formatCode>
                <c:ptCount val="4"/>
                <c:pt idx="0">
                  <c:v>7449</c:v>
                </c:pt>
                <c:pt idx="1">
                  <c:v>8301</c:v>
                </c:pt>
                <c:pt idx="2">
                  <c:v>9742</c:v>
                </c:pt>
                <c:pt idx="3">
                  <c:v>7804</c:v>
                </c:pt>
              </c:numCache>
            </c:numRef>
          </c:yVal>
          <c:smooth val="1"/>
          <c:extLst>
            <c:ext xmlns:c16="http://schemas.microsoft.com/office/drawing/2014/chart" uri="{C3380CC4-5D6E-409C-BE32-E72D297353CC}">
              <c16:uniqueId val="{00000003-1DD1-4F64-9E17-4BEE0571383B}"/>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Data!$B$12:$B$15</c:f>
              <c:numCache>
                <c:formatCode>General</c:formatCode>
                <c:ptCount val="4"/>
                <c:pt idx="0">
                  <c:v>0</c:v>
                </c:pt>
                <c:pt idx="1">
                  <c:v>2</c:v>
                </c:pt>
                <c:pt idx="2">
                  <c:v>4</c:v>
                </c:pt>
                <c:pt idx="3">
                  <c:v>6</c:v>
                </c:pt>
              </c:numCache>
            </c:numRef>
          </c:xVal>
          <c:yVal>
            <c:numRef>
              <c:f>Data!$G$12:$G$15</c:f>
              <c:numCache>
                <c:formatCode>General</c:formatCode>
                <c:ptCount val="4"/>
                <c:pt idx="0">
                  <c:v>36113</c:v>
                </c:pt>
                <c:pt idx="1">
                  <c:v>43853</c:v>
                </c:pt>
                <c:pt idx="2">
                  <c:v>45550</c:v>
                </c:pt>
                <c:pt idx="3">
                  <c:v>48860</c:v>
                </c:pt>
              </c:numCache>
            </c:numRef>
          </c:yVal>
          <c:smooth val="1"/>
          <c:extLst>
            <c:ext xmlns:c16="http://schemas.microsoft.com/office/drawing/2014/chart" uri="{C3380CC4-5D6E-409C-BE32-E72D297353CC}">
              <c16:uniqueId val="{00000004-1DD1-4F64-9E17-4BEE0571383B}"/>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Data!$B$12:$B$15</c:f>
              <c:numCache>
                <c:formatCode>General</c:formatCode>
                <c:ptCount val="4"/>
                <c:pt idx="0">
                  <c:v>0</c:v>
                </c:pt>
                <c:pt idx="1">
                  <c:v>2</c:v>
                </c:pt>
                <c:pt idx="2">
                  <c:v>4</c:v>
                </c:pt>
                <c:pt idx="3">
                  <c:v>6</c:v>
                </c:pt>
              </c:numCache>
            </c:numRef>
          </c:xVal>
          <c:yVal>
            <c:numRef>
              <c:f>Data!$H$12:$H$15</c:f>
              <c:numCache>
                <c:formatCode>General</c:formatCode>
                <c:ptCount val="4"/>
                <c:pt idx="0">
                  <c:v>37642</c:v>
                </c:pt>
                <c:pt idx="1">
                  <c:v>32612</c:v>
                </c:pt>
                <c:pt idx="2">
                  <c:v>31914</c:v>
                </c:pt>
                <c:pt idx="3">
                  <c:v>35417</c:v>
                </c:pt>
              </c:numCache>
            </c:numRef>
          </c:yVal>
          <c:smooth val="1"/>
          <c:extLst>
            <c:ext xmlns:c16="http://schemas.microsoft.com/office/drawing/2014/chart" uri="{C3380CC4-5D6E-409C-BE32-E72D297353CC}">
              <c16:uniqueId val="{00000005-1DD1-4F64-9E17-4BEE0571383B}"/>
            </c:ext>
          </c:extLst>
        </c:ser>
        <c:dLbls>
          <c:showLegendKey val="0"/>
          <c:showVal val="0"/>
          <c:showCatName val="0"/>
          <c:showSerName val="0"/>
          <c:showPercent val="0"/>
          <c:showBubbleSize val="0"/>
        </c:dLbls>
        <c:axId val="513109736"/>
        <c:axId val="513110128"/>
      </c:scatterChart>
      <c:valAx>
        <c:axId val="5131097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110128"/>
        <c:crosses val="autoZero"/>
        <c:crossBetween val="midCat"/>
      </c:valAx>
      <c:valAx>
        <c:axId val="513110128"/>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1097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NG</a:t>
            </a:r>
            <a:r>
              <a:rPr lang="en-US" baseline="0"/>
              <a:t> in Water DDAO-Bacteria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Data!$B$17:$B$20</c:f>
              <c:numCache>
                <c:formatCode>General</c:formatCode>
                <c:ptCount val="4"/>
                <c:pt idx="0">
                  <c:v>0</c:v>
                </c:pt>
                <c:pt idx="1">
                  <c:v>2</c:v>
                </c:pt>
                <c:pt idx="2">
                  <c:v>4</c:v>
                </c:pt>
                <c:pt idx="3">
                  <c:v>6</c:v>
                </c:pt>
              </c:numCache>
            </c:numRef>
          </c:xVal>
          <c:yVal>
            <c:numRef>
              <c:f>Data!$C$17:$C$20</c:f>
              <c:numCache>
                <c:formatCode>General</c:formatCode>
                <c:ptCount val="4"/>
                <c:pt idx="0">
                  <c:v>73235</c:v>
                </c:pt>
                <c:pt idx="1">
                  <c:v>76666</c:v>
                </c:pt>
                <c:pt idx="2">
                  <c:v>65443</c:v>
                </c:pt>
                <c:pt idx="3">
                  <c:v>60239</c:v>
                </c:pt>
              </c:numCache>
            </c:numRef>
          </c:yVal>
          <c:smooth val="1"/>
          <c:extLst>
            <c:ext xmlns:c16="http://schemas.microsoft.com/office/drawing/2014/chart" uri="{C3380CC4-5D6E-409C-BE32-E72D297353CC}">
              <c16:uniqueId val="{00000000-3CC5-41F4-BECD-C4CF55A3AF7C}"/>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Data!$B$17:$B$20</c:f>
              <c:numCache>
                <c:formatCode>General</c:formatCode>
                <c:ptCount val="4"/>
                <c:pt idx="0">
                  <c:v>0</c:v>
                </c:pt>
                <c:pt idx="1">
                  <c:v>2</c:v>
                </c:pt>
                <c:pt idx="2">
                  <c:v>4</c:v>
                </c:pt>
                <c:pt idx="3">
                  <c:v>6</c:v>
                </c:pt>
              </c:numCache>
            </c:numRef>
          </c:xVal>
          <c:yVal>
            <c:numRef>
              <c:f>Data!$D$17:$D$20</c:f>
              <c:numCache>
                <c:formatCode>General</c:formatCode>
                <c:ptCount val="4"/>
                <c:pt idx="0">
                  <c:v>21057</c:v>
                </c:pt>
                <c:pt idx="1">
                  <c:v>16239</c:v>
                </c:pt>
                <c:pt idx="2">
                  <c:v>14091</c:v>
                </c:pt>
                <c:pt idx="3">
                  <c:v>13603</c:v>
                </c:pt>
              </c:numCache>
            </c:numRef>
          </c:yVal>
          <c:smooth val="1"/>
          <c:extLst>
            <c:ext xmlns:c16="http://schemas.microsoft.com/office/drawing/2014/chart" uri="{C3380CC4-5D6E-409C-BE32-E72D297353CC}">
              <c16:uniqueId val="{00000001-3CC5-41F4-BECD-C4CF55A3AF7C}"/>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Data!$B$17:$B$20</c:f>
              <c:numCache>
                <c:formatCode>General</c:formatCode>
                <c:ptCount val="4"/>
                <c:pt idx="0">
                  <c:v>0</c:v>
                </c:pt>
                <c:pt idx="1">
                  <c:v>2</c:v>
                </c:pt>
                <c:pt idx="2">
                  <c:v>4</c:v>
                </c:pt>
                <c:pt idx="3">
                  <c:v>6</c:v>
                </c:pt>
              </c:numCache>
            </c:numRef>
          </c:xVal>
          <c:yVal>
            <c:numRef>
              <c:f>Data!$E$17:$E$20</c:f>
              <c:numCache>
                <c:formatCode>General</c:formatCode>
                <c:ptCount val="4"/>
                <c:pt idx="0">
                  <c:v>56611</c:v>
                </c:pt>
                <c:pt idx="1">
                  <c:v>59218</c:v>
                </c:pt>
                <c:pt idx="2">
                  <c:v>46781</c:v>
                </c:pt>
                <c:pt idx="3">
                  <c:v>44209</c:v>
                </c:pt>
              </c:numCache>
            </c:numRef>
          </c:yVal>
          <c:smooth val="1"/>
          <c:extLst>
            <c:ext xmlns:c16="http://schemas.microsoft.com/office/drawing/2014/chart" uri="{C3380CC4-5D6E-409C-BE32-E72D297353CC}">
              <c16:uniqueId val="{00000002-3CC5-41F4-BECD-C4CF55A3AF7C}"/>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Data!$B$17:$B$20</c:f>
              <c:numCache>
                <c:formatCode>General</c:formatCode>
                <c:ptCount val="4"/>
                <c:pt idx="0">
                  <c:v>0</c:v>
                </c:pt>
                <c:pt idx="1">
                  <c:v>2</c:v>
                </c:pt>
                <c:pt idx="2">
                  <c:v>4</c:v>
                </c:pt>
                <c:pt idx="3">
                  <c:v>6</c:v>
                </c:pt>
              </c:numCache>
            </c:numRef>
          </c:xVal>
          <c:yVal>
            <c:numRef>
              <c:f>Data!$F$17:$F$20</c:f>
              <c:numCache>
                <c:formatCode>General</c:formatCode>
                <c:ptCount val="4"/>
                <c:pt idx="0">
                  <c:v>17445</c:v>
                </c:pt>
                <c:pt idx="1">
                  <c:v>16281</c:v>
                </c:pt>
                <c:pt idx="2">
                  <c:v>12842</c:v>
                </c:pt>
                <c:pt idx="3">
                  <c:v>11287</c:v>
                </c:pt>
              </c:numCache>
            </c:numRef>
          </c:yVal>
          <c:smooth val="1"/>
          <c:extLst>
            <c:ext xmlns:c16="http://schemas.microsoft.com/office/drawing/2014/chart" uri="{C3380CC4-5D6E-409C-BE32-E72D297353CC}">
              <c16:uniqueId val="{00000003-3CC5-41F4-BECD-C4CF55A3AF7C}"/>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Data!$B$17:$B$20</c:f>
              <c:numCache>
                <c:formatCode>General</c:formatCode>
                <c:ptCount val="4"/>
                <c:pt idx="0">
                  <c:v>0</c:v>
                </c:pt>
                <c:pt idx="1">
                  <c:v>2</c:v>
                </c:pt>
                <c:pt idx="2">
                  <c:v>4</c:v>
                </c:pt>
                <c:pt idx="3">
                  <c:v>6</c:v>
                </c:pt>
              </c:numCache>
            </c:numRef>
          </c:xVal>
          <c:yVal>
            <c:numRef>
              <c:f>Data!$G$17:$G$20</c:f>
              <c:numCache>
                <c:formatCode>General</c:formatCode>
                <c:ptCount val="4"/>
                <c:pt idx="0">
                  <c:v>22892</c:v>
                </c:pt>
                <c:pt idx="1">
                  <c:v>29244</c:v>
                </c:pt>
                <c:pt idx="2">
                  <c:v>28649</c:v>
                </c:pt>
                <c:pt idx="3">
                  <c:v>28223</c:v>
                </c:pt>
              </c:numCache>
            </c:numRef>
          </c:yVal>
          <c:smooth val="1"/>
          <c:extLst>
            <c:ext xmlns:c16="http://schemas.microsoft.com/office/drawing/2014/chart" uri="{C3380CC4-5D6E-409C-BE32-E72D297353CC}">
              <c16:uniqueId val="{00000004-3CC5-41F4-BECD-C4CF55A3AF7C}"/>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Data!$B$17:$B$20</c:f>
              <c:numCache>
                <c:formatCode>General</c:formatCode>
                <c:ptCount val="4"/>
                <c:pt idx="0">
                  <c:v>0</c:v>
                </c:pt>
                <c:pt idx="1">
                  <c:v>2</c:v>
                </c:pt>
                <c:pt idx="2">
                  <c:v>4</c:v>
                </c:pt>
                <c:pt idx="3">
                  <c:v>6</c:v>
                </c:pt>
              </c:numCache>
            </c:numRef>
          </c:xVal>
          <c:yVal>
            <c:numRef>
              <c:f>Data!$H$17:$H$20</c:f>
              <c:numCache>
                <c:formatCode>General</c:formatCode>
                <c:ptCount val="4"/>
                <c:pt idx="0">
                  <c:v>31113</c:v>
                </c:pt>
                <c:pt idx="1">
                  <c:v>29689</c:v>
                </c:pt>
                <c:pt idx="2">
                  <c:v>35244</c:v>
                </c:pt>
                <c:pt idx="3">
                  <c:v>32854</c:v>
                </c:pt>
              </c:numCache>
            </c:numRef>
          </c:yVal>
          <c:smooth val="1"/>
          <c:extLst>
            <c:ext xmlns:c16="http://schemas.microsoft.com/office/drawing/2014/chart" uri="{C3380CC4-5D6E-409C-BE32-E72D297353CC}">
              <c16:uniqueId val="{00000005-3CC5-41F4-BECD-C4CF55A3AF7C}"/>
            </c:ext>
          </c:extLst>
        </c:ser>
        <c:dLbls>
          <c:showLegendKey val="0"/>
          <c:showVal val="0"/>
          <c:showCatName val="0"/>
          <c:showSerName val="0"/>
          <c:showPercent val="0"/>
          <c:showBubbleSize val="0"/>
        </c:dLbls>
        <c:axId val="300966712"/>
        <c:axId val="300967104"/>
      </c:scatterChart>
      <c:valAx>
        <c:axId val="300966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967104"/>
        <c:crosses val="autoZero"/>
        <c:crossBetween val="midCat"/>
      </c:valAx>
      <c:valAx>
        <c:axId val="300967104"/>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9667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NT</a:t>
            </a:r>
            <a:r>
              <a:rPr lang="en-US" baseline="0"/>
              <a:t> in Water DDAO-Bacteria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Data!$B$22:$B$25</c:f>
              <c:numCache>
                <c:formatCode>General</c:formatCode>
                <c:ptCount val="4"/>
                <c:pt idx="0">
                  <c:v>0</c:v>
                </c:pt>
                <c:pt idx="1">
                  <c:v>2</c:v>
                </c:pt>
                <c:pt idx="2">
                  <c:v>4</c:v>
                </c:pt>
                <c:pt idx="3">
                  <c:v>6</c:v>
                </c:pt>
              </c:numCache>
            </c:numRef>
          </c:xVal>
          <c:yVal>
            <c:numRef>
              <c:f>Data!$C$22:$C$25</c:f>
              <c:numCache>
                <c:formatCode>General</c:formatCode>
                <c:ptCount val="4"/>
                <c:pt idx="0">
                  <c:v>48184</c:v>
                </c:pt>
                <c:pt idx="1">
                  <c:v>55017</c:v>
                </c:pt>
                <c:pt idx="2">
                  <c:v>48425</c:v>
                </c:pt>
                <c:pt idx="3">
                  <c:v>42191</c:v>
                </c:pt>
              </c:numCache>
            </c:numRef>
          </c:yVal>
          <c:smooth val="1"/>
          <c:extLst>
            <c:ext xmlns:c16="http://schemas.microsoft.com/office/drawing/2014/chart" uri="{C3380CC4-5D6E-409C-BE32-E72D297353CC}">
              <c16:uniqueId val="{00000000-6C87-4805-9DC4-6DD365811A13}"/>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Data!$B$22:$B$25</c:f>
              <c:numCache>
                <c:formatCode>General</c:formatCode>
                <c:ptCount val="4"/>
                <c:pt idx="0">
                  <c:v>0</c:v>
                </c:pt>
                <c:pt idx="1">
                  <c:v>2</c:v>
                </c:pt>
                <c:pt idx="2">
                  <c:v>4</c:v>
                </c:pt>
                <c:pt idx="3">
                  <c:v>6</c:v>
                </c:pt>
              </c:numCache>
            </c:numRef>
          </c:xVal>
          <c:yVal>
            <c:numRef>
              <c:f>Data!$D$22:$D$25</c:f>
              <c:numCache>
                <c:formatCode>General</c:formatCode>
                <c:ptCount val="4"/>
                <c:pt idx="0">
                  <c:v>166830</c:v>
                </c:pt>
                <c:pt idx="1">
                  <c:v>143760</c:v>
                </c:pt>
                <c:pt idx="2">
                  <c:v>139628</c:v>
                </c:pt>
                <c:pt idx="3">
                  <c:v>141742</c:v>
                </c:pt>
              </c:numCache>
            </c:numRef>
          </c:yVal>
          <c:smooth val="1"/>
          <c:extLst>
            <c:ext xmlns:c16="http://schemas.microsoft.com/office/drawing/2014/chart" uri="{C3380CC4-5D6E-409C-BE32-E72D297353CC}">
              <c16:uniqueId val="{00000001-6C87-4805-9DC4-6DD365811A13}"/>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Data!$B$22:$B$25</c:f>
              <c:numCache>
                <c:formatCode>General</c:formatCode>
                <c:ptCount val="4"/>
                <c:pt idx="0">
                  <c:v>0</c:v>
                </c:pt>
                <c:pt idx="1">
                  <c:v>2</c:v>
                </c:pt>
                <c:pt idx="2">
                  <c:v>4</c:v>
                </c:pt>
                <c:pt idx="3">
                  <c:v>6</c:v>
                </c:pt>
              </c:numCache>
            </c:numRef>
          </c:xVal>
          <c:yVal>
            <c:numRef>
              <c:f>Data!$E$22:$E$25</c:f>
              <c:numCache>
                <c:formatCode>General</c:formatCode>
                <c:ptCount val="4"/>
                <c:pt idx="0">
                  <c:v>30923</c:v>
                </c:pt>
                <c:pt idx="1">
                  <c:v>30934</c:v>
                </c:pt>
                <c:pt idx="2">
                  <c:v>25050</c:v>
                </c:pt>
                <c:pt idx="3">
                  <c:v>26092</c:v>
                </c:pt>
              </c:numCache>
            </c:numRef>
          </c:yVal>
          <c:smooth val="1"/>
          <c:extLst>
            <c:ext xmlns:c16="http://schemas.microsoft.com/office/drawing/2014/chart" uri="{C3380CC4-5D6E-409C-BE32-E72D297353CC}">
              <c16:uniqueId val="{00000002-6C87-4805-9DC4-6DD365811A13}"/>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Data!$B$22:$B$25</c:f>
              <c:numCache>
                <c:formatCode>General</c:formatCode>
                <c:ptCount val="4"/>
                <c:pt idx="0">
                  <c:v>0</c:v>
                </c:pt>
                <c:pt idx="1">
                  <c:v>2</c:v>
                </c:pt>
                <c:pt idx="2">
                  <c:v>4</c:v>
                </c:pt>
                <c:pt idx="3">
                  <c:v>6</c:v>
                </c:pt>
              </c:numCache>
            </c:numRef>
          </c:xVal>
          <c:yVal>
            <c:numRef>
              <c:f>Data!$F$22:$F$25</c:f>
              <c:numCache>
                <c:formatCode>General</c:formatCode>
                <c:ptCount val="4"/>
                <c:pt idx="0">
                  <c:v>23108</c:v>
                </c:pt>
                <c:pt idx="1">
                  <c:v>20593</c:v>
                </c:pt>
                <c:pt idx="2">
                  <c:v>20682</c:v>
                </c:pt>
                <c:pt idx="3">
                  <c:v>22035</c:v>
                </c:pt>
              </c:numCache>
            </c:numRef>
          </c:yVal>
          <c:smooth val="1"/>
          <c:extLst>
            <c:ext xmlns:c16="http://schemas.microsoft.com/office/drawing/2014/chart" uri="{C3380CC4-5D6E-409C-BE32-E72D297353CC}">
              <c16:uniqueId val="{00000003-6C87-4805-9DC4-6DD365811A13}"/>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Data!$B$22:$B$25</c:f>
              <c:numCache>
                <c:formatCode>General</c:formatCode>
                <c:ptCount val="4"/>
                <c:pt idx="0">
                  <c:v>0</c:v>
                </c:pt>
                <c:pt idx="1">
                  <c:v>2</c:v>
                </c:pt>
                <c:pt idx="2">
                  <c:v>4</c:v>
                </c:pt>
                <c:pt idx="3">
                  <c:v>6</c:v>
                </c:pt>
              </c:numCache>
            </c:numRef>
          </c:xVal>
          <c:yVal>
            <c:numRef>
              <c:f>Data!$G$22:$G$25</c:f>
              <c:numCache>
                <c:formatCode>General</c:formatCode>
                <c:ptCount val="4"/>
                <c:pt idx="0">
                  <c:v>24037</c:v>
                </c:pt>
                <c:pt idx="1">
                  <c:v>20052</c:v>
                </c:pt>
                <c:pt idx="2">
                  <c:v>20749</c:v>
                </c:pt>
                <c:pt idx="3">
                  <c:v>14784</c:v>
                </c:pt>
              </c:numCache>
            </c:numRef>
          </c:yVal>
          <c:smooth val="1"/>
          <c:extLst>
            <c:ext xmlns:c16="http://schemas.microsoft.com/office/drawing/2014/chart" uri="{C3380CC4-5D6E-409C-BE32-E72D297353CC}">
              <c16:uniqueId val="{00000004-6C87-4805-9DC4-6DD365811A13}"/>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Data!$B$22:$B$25</c:f>
              <c:numCache>
                <c:formatCode>General</c:formatCode>
                <c:ptCount val="4"/>
                <c:pt idx="0">
                  <c:v>0</c:v>
                </c:pt>
                <c:pt idx="1">
                  <c:v>2</c:v>
                </c:pt>
                <c:pt idx="2">
                  <c:v>4</c:v>
                </c:pt>
                <c:pt idx="3">
                  <c:v>6</c:v>
                </c:pt>
              </c:numCache>
            </c:numRef>
          </c:xVal>
          <c:yVal>
            <c:numRef>
              <c:f>Data!$H$22:$H$25</c:f>
              <c:numCache>
                <c:formatCode>General</c:formatCode>
                <c:ptCount val="4"/>
                <c:pt idx="0">
                  <c:v>86942</c:v>
                </c:pt>
                <c:pt idx="1">
                  <c:v>79144</c:v>
                </c:pt>
                <c:pt idx="2">
                  <c:v>83219</c:v>
                </c:pt>
                <c:pt idx="3">
                  <c:v>70264</c:v>
                </c:pt>
              </c:numCache>
            </c:numRef>
          </c:yVal>
          <c:smooth val="1"/>
          <c:extLst>
            <c:ext xmlns:c16="http://schemas.microsoft.com/office/drawing/2014/chart" uri="{C3380CC4-5D6E-409C-BE32-E72D297353CC}">
              <c16:uniqueId val="{00000005-6C87-4805-9DC4-6DD365811A13}"/>
            </c:ext>
          </c:extLst>
        </c:ser>
        <c:dLbls>
          <c:showLegendKey val="0"/>
          <c:showVal val="0"/>
          <c:showCatName val="0"/>
          <c:showSerName val="0"/>
          <c:showPercent val="0"/>
          <c:showBubbleSize val="0"/>
        </c:dLbls>
        <c:axId val="300968280"/>
        <c:axId val="614137952"/>
      </c:scatterChart>
      <c:valAx>
        <c:axId val="300968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137952"/>
        <c:crosses val="autoZero"/>
        <c:crossBetween val="midCat"/>
      </c:valAx>
      <c:valAx>
        <c:axId val="614137952"/>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9682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NG</a:t>
            </a:r>
            <a:r>
              <a:rPr lang="en-US" baseline="0"/>
              <a:t> in EtOH DDAO-Bacteria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Data!$B$27:$B$30</c:f>
              <c:numCache>
                <c:formatCode>General</c:formatCode>
                <c:ptCount val="4"/>
                <c:pt idx="0">
                  <c:v>0</c:v>
                </c:pt>
                <c:pt idx="1">
                  <c:v>2</c:v>
                </c:pt>
                <c:pt idx="2">
                  <c:v>4</c:v>
                </c:pt>
                <c:pt idx="3">
                  <c:v>6</c:v>
                </c:pt>
              </c:numCache>
            </c:numRef>
          </c:xVal>
          <c:yVal>
            <c:numRef>
              <c:f>Data!$C$27:$C$30</c:f>
              <c:numCache>
                <c:formatCode>General</c:formatCode>
                <c:ptCount val="4"/>
                <c:pt idx="0">
                  <c:v>52364</c:v>
                </c:pt>
                <c:pt idx="1">
                  <c:v>59842</c:v>
                </c:pt>
                <c:pt idx="2">
                  <c:v>49874</c:v>
                </c:pt>
                <c:pt idx="3">
                  <c:v>51367</c:v>
                </c:pt>
              </c:numCache>
            </c:numRef>
          </c:yVal>
          <c:smooth val="1"/>
          <c:extLst>
            <c:ext xmlns:c16="http://schemas.microsoft.com/office/drawing/2014/chart" uri="{C3380CC4-5D6E-409C-BE32-E72D297353CC}">
              <c16:uniqueId val="{00000000-7C97-4F94-B0BE-9F5C42DAB85F}"/>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Data!$B$27:$B$30</c:f>
              <c:numCache>
                <c:formatCode>General</c:formatCode>
                <c:ptCount val="4"/>
                <c:pt idx="0">
                  <c:v>0</c:v>
                </c:pt>
                <c:pt idx="1">
                  <c:v>2</c:v>
                </c:pt>
                <c:pt idx="2">
                  <c:v>4</c:v>
                </c:pt>
                <c:pt idx="3">
                  <c:v>6</c:v>
                </c:pt>
              </c:numCache>
            </c:numRef>
          </c:xVal>
          <c:yVal>
            <c:numRef>
              <c:f>Data!$D$27:$D$30</c:f>
              <c:numCache>
                <c:formatCode>General</c:formatCode>
                <c:ptCount val="4"/>
                <c:pt idx="0">
                  <c:v>33549</c:v>
                </c:pt>
                <c:pt idx="1">
                  <c:v>30820</c:v>
                </c:pt>
                <c:pt idx="2">
                  <c:v>27169</c:v>
                </c:pt>
                <c:pt idx="3">
                  <c:v>30724</c:v>
                </c:pt>
              </c:numCache>
            </c:numRef>
          </c:yVal>
          <c:smooth val="1"/>
          <c:extLst>
            <c:ext xmlns:c16="http://schemas.microsoft.com/office/drawing/2014/chart" uri="{C3380CC4-5D6E-409C-BE32-E72D297353CC}">
              <c16:uniqueId val="{00000001-7C97-4F94-B0BE-9F5C42DAB85F}"/>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Data!$B$27:$B$30</c:f>
              <c:numCache>
                <c:formatCode>General</c:formatCode>
                <c:ptCount val="4"/>
                <c:pt idx="0">
                  <c:v>0</c:v>
                </c:pt>
                <c:pt idx="1">
                  <c:v>2</c:v>
                </c:pt>
                <c:pt idx="2">
                  <c:v>4</c:v>
                </c:pt>
                <c:pt idx="3">
                  <c:v>6</c:v>
                </c:pt>
              </c:numCache>
            </c:numRef>
          </c:xVal>
          <c:yVal>
            <c:numRef>
              <c:f>Data!$E$27:$E$30</c:f>
              <c:numCache>
                <c:formatCode>General</c:formatCode>
                <c:ptCount val="4"/>
                <c:pt idx="0">
                  <c:v>52680</c:v>
                </c:pt>
                <c:pt idx="1">
                  <c:v>58914</c:v>
                </c:pt>
                <c:pt idx="2">
                  <c:v>47658</c:v>
                </c:pt>
                <c:pt idx="3">
                  <c:v>63475</c:v>
                </c:pt>
              </c:numCache>
            </c:numRef>
          </c:yVal>
          <c:smooth val="1"/>
          <c:extLst>
            <c:ext xmlns:c16="http://schemas.microsoft.com/office/drawing/2014/chart" uri="{C3380CC4-5D6E-409C-BE32-E72D297353CC}">
              <c16:uniqueId val="{00000002-7C97-4F94-B0BE-9F5C42DAB85F}"/>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Data!$B$27:$B$30</c:f>
              <c:numCache>
                <c:formatCode>General</c:formatCode>
                <c:ptCount val="4"/>
                <c:pt idx="0">
                  <c:v>0</c:v>
                </c:pt>
                <c:pt idx="1">
                  <c:v>2</c:v>
                </c:pt>
                <c:pt idx="2">
                  <c:v>4</c:v>
                </c:pt>
                <c:pt idx="3">
                  <c:v>6</c:v>
                </c:pt>
              </c:numCache>
            </c:numRef>
          </c:xVal>
          <c:yVal>
            <c:numRef>
              <c:f>Data!$F$27:$F$30</c:f>
              <c:numCache>
                <c:formatCode>General</c:formatCode>
                <c:ptCount val="4"/>
                <c:pt idx="0">
                  <c:v>83569</c:v>
                </c:pt>
                <c:pt idx="1">
                  <c:v>64748</c:v>
                </c:pt>
                <c:pt idx="2">
                  <c:v>56963</c:v>
                </c:pt>
                <c:pt idx="3">
                  <c:v>52197</c:v>
                </c:pt>
              </c:numCache>
            </c:numRef>
          </c:yVal>
          <c:smooth val="1"/>
          <c:extLst>
            <c:ext xmlns:c16="http://schemas.microsoft.com/office/drawing/2014/chart" uri="{C3380CC4-5D6E-409C-BE32-E72D297353CC}">
              <c16:uniqueId val="{00000003-7C97-4F94-B0BE-9F5C42DAB85F}"/>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Data!$B$27:$B$30</c:f>
              <c:numCache>
                <c:formatCode>General</c:formatCode>
                <c:ptCount val="4"/>
                <c:pt idx="0">
                  <c:v>0</c:v>
                </c:pt>
                <c:pt idx="1">
                  <c:v>2</c:v>
                </c:pt>
                <c:pt idx="2">
                  <c:v>4</c:v>
                </c:pt>
                <c:pt idx="3">
                  <c:v>6</c:v>
                </c:pt>
              </c:numCache>
            </c:numRef>
          </c:xVal>
          <c:yVal>
            <c:numRef>
              <c:f>Data!$G$27:$G$30</c:f>
              <c:numCache>
                <c:formatCode>General</c:formatCode>
                <c:ptCount val="4"/>
                <c:pt idx="0">
                  <c:v>186832</c:v>
                </c:pt>
                <c:pt idx="1">
                  <c:v>184373</c:v>
                </c:pt>
                <c:pt idx="2">
                  <c:v>167265</c:v>
                </c:pt>
                <c:pt idx="3">
                  <c:v>150475</c:v>
                </c:pt>
              </c:numCache>
            </c:numRef>
          </c:yVal>
          <c:smooth val="1"/>
          <c:extLst>
            <c:ext xmlns:c16="http://schemas.microsoft.com/office/drawing/2014/chart" uri="{C3380CC4-5D6E-409C-BE32-E72D297353CC}">
              <c16:uniqueId val="{00000004-7C97-4F94-B0BE-9F5C42DAB85F}"/>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Data!$B$27:$B$30</c:f>
              <c:numCache>
                <c:formatCode>General</c:formatCode>
                <c:ptCount val="4"/>
                <c:pt idx="0">
                  <c:v>0</c:v>
                </c:pt>
                <c:pt idx="1">
                  <c:v>2</c:v>
                </c:pt>
                <c:pt idx="2">
                  <c:v>4</c:v>
                </c:pt>
                <c:pt idx="3">
                  <c:v>6</c:v>
                </c:pt>
              </c:numCache>
            </c:numRef>
          </c:xVal>
          <c:yVal>
            <c:numRef>
              <c:f>Data!$H$27:$H$30</c:f>
              <c:numCache>
                <c:formatCode>General</c:formatCode>
                <c:ptCount val="4"/>
                <c:pt idx="0">
                  <c:v>72801</c:v>
                </c:pt>
                <c:pt idx="1">
                  <c:v>91347</c:v>
                </c:pt>
                <c:pt idx="2">
                  <c:v>122453</c:v>
                </c:pt>
                <c:pt idx="3">
                  <c:v>121802</c:v>
                </c:pt>
              </c:numCache>
            </c:numRef>
          </c:yVal>
          <c:smooth val="1"/>
          <c:extLst>
            <c:ext xmlns:c16="http://schemas.microsoft.com/office/drawing/2014/chart" uri="{C3380CC4-5D6E-409C-BE32-E72D297353CC}">
              <c16:uniqueId val="{00000005-7C97-4F94-B0BE-9F5C42DAB85F}"/>
            </c:ext>
          </c:extLst>
        </c:ser>
        <c:dLbls>
          <c:showLegendKey val="0"/>
          <c:showVal val="0"/>
          <c:showCatName val="0"/>
          <c:showSerName val="0"/>
          <c:showPercent val="0"/>
          <c:showBubbleSize val="0"/>
        </c:dLbls>
        <c:axId val="614139128"/>
        <c:axId val="614139520"/>
      </c:scatterChart>
      <c:valAx>
        <c:axId val="6141391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139520"/>
        <c:crosses val="autoZero"/>
        <c:crossBetween val="midCat"/>
      </c:valAx>
      <c:valAx>
        <c:axId val="614139520"/>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13912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NT</a:t>
            </a:r>
            <a:r>
              <a:rPr lang="en-US" baseline="0"/>
              <a:t> in EtOH DDAO-Bacteria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Data!$B$32:$B$35</c:f>
              <c:numCache>
                <c:formatCode>General</c:formatCode>
                <c:ptCount val="4"/>
                <c:pt idx="0">
                  <c:v>0</c:v>
                </c:pt>
                <c:pt idx="1">
                  <c:v>2</c:v>
                </c:pt>
                <c:pt idx="2">
                  <c:v>4</c:v>
                </c:pt>
                <c:pt idx="3">
                  <c:v>6</c:v>
                </c:pt>
              </c:numCache>
            </c:numRef>
          </c:xVal>
          <c:yVal>
            <c:numRef>
              <c:f>Data!$C$32:$C$35</c:f>
              <c:numCache>
                <c:formatCode>General</c:formatCode>
                <c:ptCount val="4"/>
                <c:pt idx="0">
                  <c:v>8929</c:v>
                </c:pt>
                <c:pt idx="1">
                  <c:v>10514</c:v>
                </c:pt>
                <c:pt idx="2">
                  <c:v>10536</c:v>
                </c:pt>
                <c:pt idx="3">
                  <c:v>9011</c:v>
                </c:pt>
              </c:numCache>
            </c:numRef>
          </c:yVal>
          <c:smooth val="1"/>
          <c:extLst>
            <c:ext xmlns:c16="http://schemas.microsoft.com/office/drawing/2014/chart" uri="{C3380CC4-5D6E-409C-BE32-E72D297353CC}">
              <c16:uniqueId val="{00000000-67A9-4FE8-8B9E-0ED846C32DE5}"/>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Data!$B$32:$B$35</c:f>
              <c:numCache>
                <c:formatCode>General</c:formatCode>
                <c:ptCount val="4"/>
                <c:pt idx="0">
                  <c:v>0</c:v>
                </c:pt>
                <c:pt idx="1">
                  <c:v>2</c:v>
                </c:pt>
                <c:pt idx="2">
                  <c:v>4</c:v>
                </c:pt>
                <c:pt idx="3">
                  <c:v>6</c:v>
                </c:pt>
              </c:numCache>
            </c:numRef>
          </c:xVal>
          <c:yVal>
            <c:numRef>
              <c:f>Data!$D$32:$D$35</c:f>
              <c:numCache>
                <c:formatCode>General</c:formatCode>
                <c:ptCount val="4"/>
                <c:pt idx="0">
                  <c:v>30117</c:v>
                </c:pt>
                <c:pt idx="1">
                  <c:v>30048</c:v>
                </c:pt>
                <c:pt idx="2">
                  <c:v>29996</c:v>
                </c:pt>
                <c:pt idx="3">
                  <c:v>32081</c:v>
                </c:pt>
              </c:numCache>
            </c:numRef>
          </c:yVal>
          <c:smooth val="1"/>
          <c:extLst>
            <c:ext xmlns:c16="http://schemas.microsoft.com/office/drawing/2014/chart" uri="{C3380CC4-5D6E-409C-BE32-E72D297353CC}">
              <c16:uniqueId val="{00000001-67A9-4FE8-8B9E-0ED846C32DE5}"/>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Data!$B$32:$B$35</c:f>
              <c:numCache>
                <c:formatCode>General</c:formatCode>
                <c:ptCount val="4"/>
                <c:pt idx="0">
                  <c:v>0</c:v>
                </c:pt>
                <c:pt idx="1">
                  <c:v>2</c:v>
                </c:pt>
                <c:pt idx="2">
                  <c:v>4</c:v>
                </c:pt>
                <c:pt idx="3">
                  <c:v>6</c:v>
                </c:pt>
              </c:numCache>
            </c:numRef>
          </c:xVal>
          <c:yVal>
            <c:numRef>
              <c:f>Data!$E$32:$E$35</c:f>
              <c:numCache>
                <c:formatCode>General</c:formatCode>
                <c:ptCount val="4"/>
                <c:pt idx="0">
                  <c:v>15262</c:v>
                </c:pt>
                <c:pt idx="1">
                  <c:v>14036</c:v>
                </c:pt>
                <c:pt idx="2">
                  <c:v>15529</c:v>
                </c:pt>
                <c:pt idx="3">
                  <c:v>12940</c:v>
                </c:pt>
              </c:numCache>
            </c:numRef>
          </c:yVal>
          <c:smooth val="1"/>
          <c:extLst>
            <c:ext xmlns:c16="http://schemas.microsoft.com/office/drawing/2014/chart" uri="{C3380CC4-5D6E-409C-BE32-E72D297353CC}">
              <c16:uniqueId val="{00000002-67A9-4FE8-8B9E-0ED846C32DE5}"/>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Data!$B$32:$B$35</c:f>
              <c:numCache>
                <c:formatCode>General</c:formatCode>
                <c:ptCount val="4"/>
                <c:pt idx="0">
                  <c:v>0</c:v>
                </c:pt>
                <c:pt idx="1">
                  <c:v>2</c:v>
                </c:pt>
                <c:pt idx="2">
                  <c:v>4</c:v>
                </c:pt>
                <c:pt idx="3">
                  <c:v>6</c:v>
                </c:pt>
              </c:numCache>
            </c:numRef>
          </c:xVal>
          <c:yVal>
            <c:numRef>
              <c:f>Data!$F$32:$F$35</c:f>
              <c:numCache>
                <c:formatCode>General</c:formatCode>
                <c:ptCount val="4"/>
                <c:pt idx="0">
                  <c:v>71518</c:v>
                </c:pt>
                <c:pt idx="1">
                  <c:v>64391</c:v>
                </c:pt>
                <c:pt idx="2">
                  <c:v>64719</c:v>
                </c:pt>
                <c:pt idx="3">
                  <c:v>56456</c:v>
                </c:pt>
              </c:numCache>
            </c:numRef>
          </c:yVal>
          <c:smooth val="1"/>
          <c:extLst>
            <c:ext xmlns:c16="http://schemas.microsoft.com/office/drawing/2014/chart" uri="{C3380CC4-5D6E-409C-BE32-E72D297353CC}">
              <c16:uniqueId val="{00000003-67A9-4FE8-8B9E-0ED846C32DE5}"/>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Data!$B$32:$B$35</c:f>
              <c:numCache>
                <c:formatCode>General</c:formatCode>
                <c:ptCount val="4"/>
                <c:pt idx="0">
                  <c:v>0</c:v>
                </c:pt>
                <c:pt idx="1">
                  <c:v>2</c:v>
                </c:pt>
                <c:pt idx="2">
                  <c:v>4</c:v>
                </c:pt>
                <c:pt idx="3">
                  <c:v>6</c:v>
                </c:pt>
              </c:numCache>
            </c:numRef>
          </c:xVal>
          <c:yVal>
            <c:numRef>
              <c:f>Data!$G$32:$G$35</c:f>
              <c:numCache>
                <c:formatCode>General</c:formatCode>
                <c:ptCount val="4"/>
                <c:pt idx="0">
                  <c:v>15375</c:v>
                </c:pt>
                <c:pt idx="1">
                  <c:v>12712</c:v>
                </c:pt>
                <c:pt idx="2">
                  <c:v>15696</c:v>
                </c:pt>
                <c:pt idx="3">
                  <c:v>11621</c:v>
                </c:pt>
              </c:numCache>
            </c:numRef>
          </c:yVal>
          <c:smooth val="1"/>
          <c:extLst>
            <c:ext xmlns:c16="http://schemas.microsoft.com/office/drawing/2014/chart" uri="{C3380CC4-5D6E-409C-BE32-E72D297353CC}">
              <c16:uniqueId val="{00000004-67A9-4FE8-8B9E-0ED846C32DE5}"/>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Data!$B$32:$B$35</c:f>
              <c:numCache>
                <c:formatCode>General</c:formatCode>
                <c:ptCount val="4"/>
                <c:pt idx="0">
                  <c:v>0</c:v>
                </c:pt>
                <c:pt idx="1">
                  <c:v>2</c:v>
                </c:pt>
                <c:pt idx="2">
                  <c:v>4</c:v>
                </c:pt>
                <c:pt idx="3">
                  <c:v>6</c:v>
                </c:pt>
              </c:numCache>
            </c:numRef>
          </c:xVal>
          <c:yVal>
            <c:numRef>
              <c:f>Data!$H$32:$H$35</c:f>
              <c:numCache>
                <c:formatCode>General</c:formatCode>
                <c:ptCount val="4"/>
                <c:pt idx="0">
                  <c:v>26239</c:v>
                </c:pt>
                <c:pt idx="1">
                  <c:v>21544</c:v>
                </c:pt>
                <c:pt idx="2">
                  <c:v>24772</c:v>
                </c:pt>
                <c:pt idx="3">
                  <c:v>21575</c:v>
                </c:pt>
              </c:numCache>
            </c:numRef>
          </c:yVal>
          <c:smooth val="1"/>
          <c:extLst>
            <c:ext xmlns:c16="http://schemas.microsoft.com/office/drawing/2014/chart" uri="{C3380CC4-5D6E-409C-BE32-E72D297353CC}">
              <c16:uniqueId val="{00000005-67A9-4FE8-8B9E-0ED846C32DE5}"/>
            </c:ext>
          </c:extLst>
        </c:ser>
        <c:dLbls>
          <c:showLegendKey val="0"/>
          <c:showVal val="0"/>
          <c:showCatName val="0"/>
          <c:showSerName val="0"/>
          <c:showPercent val="0"/>
          <c:showBubbleSize val="0"/>
        </c:dLbls>
        <c:axId val="514687256"/>
        <c:axId val="514687648"/>
      </c:scatterChart>
      <c:valAx>
        <c:axId val="514687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687648"/>
        <c:crosses val="autoZero"/>
        <c:crossBetween val="midCat"/>
      </c:valAx>
      <c:valAx>
        <c:axId val="514687648"/>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6872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DDAO-Bacteria vs Time</a:t>
            </a:r>
          </a:p>
        </c:rich>
      </c:tx>
      <c:overlay val="0"/>
      <c:spPr>
        <a:noFill/>
        <a:ln>
          <a:noFill/>
        </a:ln>
        <a:effectLst/>
      </c:spPr>
    </c:title>
    <c:autoTitleDeleted val="0"/>
    <c:plotArea>
      <c:layout/>
      <c:scatterChart>
        <c:scatterStyle val="smoothMarker"/>
        <c:varyColors val="0"/>
        <c:ser>
          <c:idx val="6"/>
          <c:order val="0"/>
          <c:xVal>
            <c:numRef>
              <c:f>Data!$B$37:$B$40</c:f>
              <c:numCache>
                <c:formatCode>General</c:formatCode>
                <c:ptCount val="4"/>
                <c:pt idx="0">
                  <c:v>0</c:v>
                </c:pt>
                <c:pt idx="1">
                  <c:v>2</c:v>
                </c:pt>
                <c:pt idx="2">
                  <c:v>4</c:v>
                </c:pt>
                <c:pt idx="3">
                  <c:v>6</c:v>
                </c:pt>
              </c:numCache>
            </c:numRef>
          </c:xVal>
          <c:yVal>
            <c:numRef>
              <c:f>Data!$C$37:$C$40</c:f>
              <c:numCache>
                <c:formatCode>General</c:formatCode>
                <c:ptCount val="4"/>
                <c:pt idx="0">
                  <c:v>22123</c:v>
                </c:pt>
                <c:pt idx="1">
                  <c:v>18595</c:v>
                </c:pt>
                <c:pt idx="2">
                  <c:v>16343</c:v>
                </c:pt>
                <c:pt idx="3">
                  <c:v>20417</c:v>
                </c:pt>
              </c:numCache>
            </c:numRef>
          </c:yVal>
          <c:smooth val="1"/>
          <c:extLst>
            <c:ext xmlns:c16="http://schemas.microsoft.com/office/drawing/2014/chart" uri="{C3380CC4-5D6E-409C-BE32-E72D297353CC}">
              <c16:uniqueId val="{00000000-CE84-4DBE-BF2E-42135304676D}"/>
            </c:ext>
          </c:extLst>
        </c:ser>
        <c:ser>
          <c:idx val="7"/>
          <c:order val="1"/>
          <c:xVal>
            <c:numRef>
              <c:f>Data!$B$37:$B$40</c:f>
              <c:numCache>
                <c:formatCode>General</c:formatCode>
                <c:ptCount val="4"/>
                <c:pt idx="0">
                  <c:v>0</c:v>
                </c:pt>
                <c:pt idx="1">
                  <c:v>2</c:v>
                </c:pt>
                <c:pt idx="2">
                  <c:v>4</c:v>
                </c:pt>
                <c:pt idx="3">
                  <c:v>6</c:v>
                </c:pt>
              </c:numCache>
            </c:numRef>
          </c:xVal>
          <c:yVal>
            <c:numRef>
              <c:f>Data!$D$37:$D$40</c:f>
              <c:numCache>
                <c:formatCode>General</c:formatCode>
                <c:ptCount val="4"/>
                <c:pt idx="0">
                  <c:v>27096</c:v>
                </c:pt>
                <c:pt idx="1">
                  <c:v>28375</c:v>
                </c:pt>
                <c:pt idx="2">
                  <c:v>27681</c:v>
                </c:pt>
                <c:pt idx="3">
                  <c:v>21211</c:v>
                </c:pt>
              </c:numCache>
            </c:numRef>
          </c:yVal>
          <c:smooth val="1"/>
          <c:extLst>
            <c:ext xmlns:c16="http://schemas.microsoft.com/office/drawing/2014/chart" uri="{C3380CC4-5D6E-409C-BE32-E72D297353CC}">
              <c16:uniqueId val="{00000001-CE84-4DBE-BF2E-42135304676D}"/>
            </c:ext>
          </c:extLst>
        </c:ser>
        <c:ser>
          <c:idx val="8"/>
          <c:order val="2"/>
          <c:xVal>
            <c:numRef>
              <c:f>Data!$B$37:$B$40</c:f>
              <c:numCache>
                <c:formatCode>General</c:formatCode>
                <c:ptCount val="4"/>
                <c:pt idx="0">
                  <c:v>0</c:v>
                </c:pt>
                <c:pt idx="1">
                  <c:v>2</c:v>
                </c:pt>
                <c:pt idx="2">
                  <c:v>4</c:v>
                </c:pt>
                <c:pt idx="3">
                  <c:v>6</c:v>
                </c:pt>
              </c:numCache>
            </c:numRef>
          </c:xVal>
          <c:yVal>
            <c:numRef>
              <c:f>Data!$E$37:$E$40</c:f>
              <c:numCache>
                <c:formatCode>General</c:formatCode>
                <c:ptCount val="4"/>
                <c:pt idx="0">
                  <c:v>45183</c:v>
                </c:pt>
                <c:pt idx="1">
                  <c:v>44735</c:v>
                </c:pt>
                <c:pt idx="2">
                  <c:v>37654</c:v>
                </c:pt>
                <c:pt idx="3">
                  <c:v>35156</c:v>
                </c:pt>
              </c:numCache>
            </c:numRef>
          </c:yVal>
          <c:smooth val="1"/>
          <c:extLst>
            <c:ext xmlns:c16="http://schemas.microsoft.com/office/drawing/2014/chart" uri="{C3380CC4-5D6E-409C-BE32-E72D297353CC}">
              <c16:uniqueId val="{00000002-CE84-4DBE-BF2E-42135304676D}"/>
            </c:ext>
          </c:extLst>
        </c:ser>
        <c:ser>
          <c:idx val="9"/>
          <c:order val="3"/>
          <c:xVal>
            <c:numRef>
              <c:f>Data!$B$37:$B$40</c:f>
              <c:numCache>
                <c:formatCode>General</c:formatCode>
                <c:ptCount val="4"/>
                <c:pt idx="0">
                  <c:v>0</c:v>
                </c:pt>
                <c:pt idx="1">
                  <c:v>2</c:v>
                </c:pt>
                <c:pt idx="2">
                  <c:v>4</c:v>
                </c:pt>
                <c:pt idx="3">
                  <c:v>6</c:v>
                </c:pt>
              </c:numCache>
            </c:numRef>
          </c:xVal>
          <c:yVal>
            <c:numRef>
              <c:f>Data!$F$37:$F$40</c:f>
              <c:numCache>
                <c:formatCode>General</c:formatCode>
                <c:ptCount val="4"/>
                <c:pt idx="0">
                  <c:v>24260</c:v>
                </c:pt>
                <c:pt idx="1">
                  <c:v>19910</c:v>
                </c:pt>
                <c:pt idx="2">
                  <c:v>18445</c:v>
                </c:pt>
                <c:pt idx="3">
                  <c:v>19753</c:v>
                </c:pt>
              </c:numCache>
            </c:numRef>
          </c:yVal>
          <c:smooth val="1"/>
          <c:extLst>
            <c:ext xmlns:c16="http://schemas.microsoft.com/office/drawing/2014/chart" uri="{C3380CC4-5D6E-409C-BE32-E72D297353CC}">
              <c16:uniqueId val="{00000003-CE84-4DBE-BF2E-42135304676D}"/>
            </c:ext>
          </c:extLst>
        </c:ser>
        <c:ser>
          <c:idx val="10"/>
          <c:order val="4"/>
          <c:xVal>
            <c:numRef>
              <c:f>Data!$B$37:$B$40</c:f>
              <c:numCache>
                <c:formatCode>General</c:formatCode>
                <c:ptCount val="4"/>
                <c:pt idx="0">
                  <c:v>0</c:v>
                </c:pt>
                <c:pt idx="1">
                  <c:v>2</c:v>
                </c:pt>
                <c:pt idx="2">
                  <c:v>4</c:v>
                </c:pt>
                <c:pt idx="3">
                  <c:v>6</c:v>
                </c:pt>
              </c:numCache>
            </c:numRef>
          </c:xVal>
          <c:yVal>
            <c:numRef>
              <c:f>Data!$G$37:$G$40</c:f>
              <c:numCache>
                <c:formatCode>General</c:formatCode>
                <c:ptCount val="4"/>
                <c:pt idx="0">
                  <c:v>9203</c:v>
                </c:pt>
                <c:pt idx="1">
                  <c:v>7682</c:v>
                </c:pt>
                <c:pt idx="2">
                  <c:v>10487</c:v>
                </c:pt>
                <c:pt idx="3">
                  <c:v>12226</c:v>
                </c:pt>
              </c:numCache>
            </c:numRef>
          </c:yVal>
          <c:smooth val="1"/>
          <c:extLst>
            <c:ext xmlns:c16="http://schemas.microsoft.com/office/drawing/2014/chart" uri="{C3380CC4-5D6E-409C-BE32-E72D297353CC}">
              <c16:uniqueId val="{00000004-CE84-4DBE-BF2E-42135304676D}"/>
            </c:ext>
          </c:extLst>
        </c:ser>
        <c:ser>
          <c:idx val="11"/>
          <c:order val="5"/>
          <c:xVal>
            <c:numRef>
              <c:f>Data!$B$37:$B$40</c:f>
              <c:numCache>
                <c:formatCode>General</c:formatCode>
                <c:ptCount val="4"/>
                <c:pt idx="0">
                  <c:v>0</c:v>
                </c:pt>
                <c:pt idx="1">
                  <c:v>2</c:v>
                </c:pt>
                <c:pt idx="2">
                  <c:v>4</c:v>
                </c:pt>
                <c:pt idx="3">
                  <c:v>6</c:v>
                </c:pt>
              </c:numCache>
            </c:numRef>
          </c:xVal>
          <c:yVal>
            <c:numRef>
              <c:f>Data!$H$37:$H$40</c:f>
              <c:numCache>
                <c:formatCode>General</c:formatCode>
                <c:ptCount val="4"/>
                <c:pt idx="0">
                  <c:v>18544</c:v>
                </c:pt>
                <c:pt idx="1">
                  <c:v>15307</c:v>
                </c:pt>
                <c:pt idx="2">
                  <c:v>15240</c:v>
                </c:pt>
                <c:pt idx="3">
                  <c:v>17102</c:v>
                </c:pt>
              </c:numCache>
            </c:numRef>
          </c:yVal>
          <c:smooth val="1"/>
          <c:extLst>
            <c:ext xmlns:c16="http://schemas.microsoft.com/office/drawing/2014/chart" uri="{C3380CC4-5D6E-409C-BE32-E72D297353CC}">
              <c16:uniqueId val="{00000005-CE84-4DBE-BF2E-42135304676D}"/>
            </c:ext>
          </c:extLst>
        </c:ser>
        <c:ser>
          <c:idx val="0"/>
          <c:order val="6"/>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Data!$B$37:$B$40</c:f>
              <c:numCache>
                <c:formatCode>General</c:formatCode>
                <c:ptCount val="4"/>
                <c:pt idx="0">
                  <c:v>0</c:v>
                </c:pt>
                <c:pt idx="1">
                  <c:v>2</c:v>
                </c:pt>
                <c:pt idx="2">
                  <c:v>4</c:v>
                </c:pt>
                <c:pt idx="3">
                  <c:v>6</c:v>
                </c:pt>
              </c:numCache>
            </c:numRef>
          </c:xVal>
          <c:yVal>
            <c:numRef>
              <c:f>Data!$C$37:$C$40</c:f>
              <c:numCache>
                <c:formatCode>General</c:formatCode>
                <c:ptCount val="4"/>
                <c:pt idx="0">
                  <c:v>22123</c:v>
                </c:pt>
                <c:pt idx="1">
                  <c:v>18595</c:v>
                </c:pt>
                <c:pt idx="2">
                  <c:v>16343</c:v>
                </c:pt>
                <c:pt idx="3">
                  <c:v>20417</c:v>
                </c:pt>
              </c:numCache>
            </c:numRef>
          </c:yVal>
          <c:smooth val="1"/>
          <c:extLst>
            <c:ext xmlns:c16="http://schemas.microsoft.com/office/drawing/2014/chart" uri="{C3380CC4-5D6E-409C-BE32-E72D297353CC}">
              <c16:uniqueId val="{00000006-CE84-4DBE-BF2E-42135304676D}"/>
            </c:ext>
          </c:extLst>
        </c:ser>
        <c:ser>
          <c:idx val="1"/>
          <c:order val="7"/>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Data!$B$37:$B$40</c:f>
              <c:numCache>
                <c:formatCode>General</c:formatCode>
                <c:ptCount val="4"/>
                <c:pt idx="0">
                  <c:v>0</c:v>
                </c:pt>
                <c:pt idx="1">
                  <c:v>2</c:v>
                </c:pt>
                <c:pt idx="2">
                  <c:v>4</c:v>
                </c:pt>
                <c:pt idx="3">
                  <c:v>6</c:v>
                </c:pt>
              </c:numCache>
            </c:numRef>
          </c:xVal>
          <c:yVal>
            <c:numRef>
              <c:f>Data!$D$37:$D$40</c:f>
              <c:numCache>
                <c:formatCode>General</c:formatCode>
                <c:ptCount val="4"/>
                <c:pt idx="0">
                  <c:v>27096</c:v>
                </c:pt>
                <c:pt idx="1">
                  <c:v>28375</c:v>
                </c:pt>
                <c:pt idx="2">
                  <c:v>27681</c:v>
                </c:pt>
                <c:pt idx="3">
                  <c:v>21211</c:v>
                </c:pt>
              </c:numCache>
            </c:numRef>
          </c:yVal>
          <c:smooth val="1"/>
          <c:extLst>
            <c:ext xmlns:c16="http://schemas.microsoft.com/office/drawing/2014/chart" uri="{C3380CC4-5D6E-409C-BE32-E72D297353CC}">
              <c16:uniqueId val="{00000007-CE84-4DBE-BF2E-42135304676D}"/>
            </c:ext>
          </c:extLst>
        </c:ser>
        <c:ser>
          <c:idx val="2"/>
          <c:order val="8"/>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Data!$B$37:$B$40</c:f>
              <c:numCache>
                <c:formatCode>General</c:formatCode>
                <c:ptCount val="4"/>
                <c:pt idx="0">
                  <c:v>0</c:v>
                </c:pt>
                <c:pt idx="1">
                  <c:v>2</c:v>
                </c:pt>
                <c:pt idx="2">
                  <c:v>4</c:v>
                </c:pt>
                <c:pt idx="3">
                  <c:v>6</c:v>
                </c:pt>
              </c:numCache>
            </c:numRef>
          </c:xVal>
          <c:yVal>
            <c:numRef>
              <c:f>Data!$E$37:$E$40</c:f>
              <c:numCache>
                <c:formatCode>General</c:formatCode>
                <c:ptCount val="4"/>
                <c:pt idx="0">
                  <c:v>45183</c:v>
                </c:pt>
                <c:pt idx="1">
                  <c:v>44735</c:v>
                </c:pt>
                <c:pt idx="2">
                  <c:v>37654</c:v>
                </c:pt>
                <c:pt idx="3">
                  <c:v>35156</c:v>
                </c:pt>
              </c:numCache>
            </c:numRef>
          </c:yVal>
          <c:smooth val="1"/>
          <c:extLst>
            <c:ext xmlns:c16="http://schemas.microsoft.com/office/drawing/2014/chart" uri="{C3380CC4-5D6E-409C-BE32-E72D297353CC}">
              <c16:uniqueId val="{00000008-CE84-4DBE-BF2E-42135304676D}"/>
            </c:ext>
          </c:extLst>
        </c:ser>
        <c:ser>
          <c:idx val="3"/>
          <c:order val="9"/>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Data!$B$37:$B$40</c:f>
              <c:numCache>
                <c:formatCode>General</c:formatCode>
                <c:ptCount val="4"/>
                <c:pt idx="0">
                  <c:v>0</c:v>
                </c:pt>
                <c:pt idx="1">
                  <c:v>2</c:v>
                </c:pt>
                <c:pt idx="2">
                  <c:v>4</c:v>
                </c:pt>
                <c:pt idx="3">
                  <c:v>6</c:v>
                </c:pt>
              </c:numCache>
            </c:numRef>
          </c:xVal>
          <c:yVal>
            <c:numRef>
              <c:f>Data!$F$37:$F$40</c:f>
              <c:numCache>
                <c:formatCode>General</c:formatCode>
                <c:ptCount val="4"/>
                <c:pt idx="0">
                  <c:v>24260</c:v>
                </c:pt>
                <c:pt idx="1">
                  <c:v>19910</c:v>
                </c:pt>
                <c:pt idx="2">
                  <c:v>18445</c:v>
                </c:pt>
                <c:pt idx="3">
                  <c:v>19753</c:v>
                </c:pt>
              </c:numCache>
            </c:numRef>
          </c:yVal>
          <c:smooth val="1"/>
          <c:extLst>
            <c:ext xmlns:c16="http://schemas.microsoft.com/office/drawing/2014/chart" uri="{C3380CC4-5D6E-409C-BE32-E72D297353CC}">
              <c16:uniqueId val="{00000009-CE84-4DBE-BF2E-42135304676D}"/>
            </c:ext>
          </c:extLst>
        </c:ser>
        <c:ser>
          <c:idx val="4"/>
          <c:order val="10"/>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Data!$B$37:$B$40</c:f>
              <c:numCache>
                <c:formatCode>General</c:formatCode>
                <c:ptCount val="4"/>
                <c:pt idx="0">
                  <c:v>0</c:v>
                </c:pt>
                <c:pt idx="1">
                  <c:v>2</c:v>
                </c:pt>
                <c:pt idx="2">
                  <c:v>4</c:v>
                </c:pt>
                <c:pt idx="3">
                  <c:v>6</c:v>
                </c:pt>
              </c:numCache>
            </c:numRef>
          </c:xVal>
          <c:yVal>
            <c:numRef>
              <c:f>Data!$G$37:$G$40</c:f>
              <c:numCache>
                <c:formatCode>General</c:formatCode>
                <c:ptCount val="4"/>
                <c:pt idx="0">
                  <c:v>9203</c:v>
                </c:pt>
                <c:pt idx="1">
                  <c:v>7682</c:v>
                </c:pt>
                <c:pt idx="2">
                  <c:v>10487</c:v>
                </c:pt>
                <c:pt idx="3">
                  <c:v>12226</c:v>
                </c:pt>
              </c:numCache>
            </c:numRef>
          </c:yVal>
          <c:smooth val="1"/>
          <c:extLst>
            <c:ext xmlns:c16="http://schemas.microsoft.com/office/drawing/2014/chart" uri="{C3380CC4-5D6E-409C-BE32-E72D297353CC}">
              <c16:uniqueId val="{0000000A-CE84-4DBE-BF2E-42135304676D}"/>
            </c:ext>
          </c:extLst>
        </c:ser>
        <c:ser>
          <c:idx val="5"/>
          <c:order val="11"/>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Data!$B$37:$B$40</c:f>
              <c:numCache>
                <c:formatCode>General</c:formatCode>
                <c:ptCount val="4"/>
                <c:pt idx="0">
                  <c:v>0</c:v>
                </c:pt>
                <c:pt idx="1">
                  <c:v>2</c:v>
                </c:pt>
                <c:pt idx="2">
                  <c:v>4</c:v>
                </c:pt>
                <c:pt idx="3">
                  <c:v>6</c:v>
                </c:pt>
              </c:numCache>
            </c:numRef>
          </c:xVal>
          <c:yVal>
            <c:numRef>
              <c:f>Data!$H$37:$H$40</c:f>
              <c:numCache>
                <c:formatCode>General</c:formatCode>
                <c:ptCount val="4"/>
                <c:pt idx="0">
                  <c:v>18544</c:v>
                </c:pt>
                <c:pt idx="1">
                  <c:v>15307</c:v>
                </c:pt>
                <c:pt idx="2">
                  <c:v>15240</c:v>
                </c:pt>
                <c:pt idx="3">
                  <c:v>17102</c:v>
                </c:pt>
              </c:numCache>
            </c:numRef>
          </c:yVal>
          <c:smooth val="1"/>
          <c:extLst>
            <c:ext xmlns:c16="http://schemas.microsoft.com/office/drawing/2014/chart" uri="{C3380CC4-5D6E-409C-BE32-E72D297353CC}">
              <c16:uniqueId val="{0000000B-CE84-4DBE-BF2E-42135304676D}"/>
            </c:ext>
          </c:extLst>
        </c:ser>
        <c:dLbls>
          <c:showLegendKey val="0"/>
          <c:showVal val="0"/>
          <c:showCatName val="0"/>
          <c:showSerName val="0"/>
          <c:showPercent val="0"/>
          <c:showBubbleSize val="0"/>
        </c:dLbls>
        <c:axId val="433839984"/>
        <c:axId val="433840376"/>
      </c:scatterChart>
      <c:valAx>
        <c:axId val="433839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840376"/>
        <c:crosses val="autoZero"/>
        <c:crossBetween val="midCat"/>
      </c:valAx>
      <c:valAx>
        <c:axId val="433840376"/>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839984"/>
        <c:crosses val="autoZero"/>
        <c:crossBetween val="midCat"/>
      </c:valAx>
    </c:plotArea>
    <c:plotVisOnly val="1"/>
    <c:dispBlanksAs val="gap"/>
    <c:showDLblsOverMax val="0"/>
    <c:extLst/>
  </c:chart>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Optibond</a:t>
            </a:r>
            <a:r>
              <a:rPr lang="en-US" baseline="0"/>
              <a:t>-Bacteria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Data!$B$42:$B$45</c:f>
              <c:numCache>
                <c:formatCode>General</c:formatCode>
                <c:ptCount val="4"/>
                <c:pt idx="0">
                  <c:v>0</c:v>
                </c:pt>
                <c:pt idx="1">
                  <c:v>2</c:v>
                </c:pt>
                <c:pt idx="2">
                  <c:v>4</c:v>
                </c:pt>
                <c:pt idx="3">
                  <c:v>6</c:v>
                </c:pt>
              </c:numCache>
            </c:numRef>
          </c:xVal>
          <c:yVal>
            <c:numRef>
              <c:f>Data!$C$42:$C$45</c:f>
              <c:numCache>
                <c:formatCode>General</c:formatCode>
                <c:ptCount val="4"/>
                <c:pt idx="0">
                  <c:v>14773</c:v>
                </c:pt>
                <c:pt idx="1">
                  <c:v>15219</c:v>
                </c:pt>
                <c:pt idx="2">
                  <c:v>14984</c:v>
                </c:pt>
                <c:pt idx="3">
                  <c:v>12330</c:v>
                </c:pt>
              </c:numCache>
            </c:numRef>
          </c:yVal>
          <c:smooth val="1"/>
          <c:extLst>
            <c:ext xmlns:c16="http://schemas.microsoft.com/office/drawing/2014/chart" uri="{C3380CC4-5D6E-409C-BE32-E72D297353CC}">
              <c16:uniqueId val="{00000000-BDA9-4C6E-BA1A-8769712A7C97}"/>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Data!$B$42:$B$45</c:f>
              <c:numCache>
                <c:formatCode>General</c:formatCode>
                <c:ptCount val="4"/>
                <c:pt idx="0">
                  <c:v>0</c:v>
                </c:pt>
                <c:pt idx="1">
                  <c:v>2</c:v>
                </c:pt>
                <c:pt idx="2">
                  <c:v>4</c:v>
                </c:pt>
                <c:pt idx="3">
                  <c:v>6</c:v>
                </c:pt>
              </c:numCache>
            </c:numRef>
          </c:xVal>
          <c:yVal>
            <c:numRef>
              <c:f>Data!$D$42:$D$45</c:f>
              <c:numCache>
                <c:formatCode>General</c:formatCode>
                <c:ptCount val="4"/>
                <c:pt idx="0">
                  <c:v>11877</c:v>
                </c:pt>
                <c:pt idx="1">
                  <c:v>13585</c:v>
                </c:pt>
                <c:pt idx="2">
                  <c:v>14412</c:v>
                </c:pt>
                <c:pt idx="3">
                  <c:v>10530</c:v>
                </c:pt>
              </c:numCache>
            </c:numRef>
          </c:yVal>
          <c:smooth val="1"/>
          <c:extLst>
            <c:ext xmlns:c16="http://schemas.microsoft.com/office/drawing/2014/chart" uri="{C3380CC4-5D6E-409C-BE32-E72D297353CC}">
              <c16:uniqueId val="{00000001-BDA9-4C6E-BA1A-8769712A7C97}"/>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Data!$B$42:$B$45</c:f>
              <c:numCache>
                <c:formatCode>General</c:formatCode>
                <c:ptCount val="4"/>
                <c:pt idx="0">
                  <c:v>0</c:v>
                </c:pt>
                <c:pt idx="1">
                  <c:v>2</c:v>
                </c:pt>
                <c:pt idx="2">
                  <c:v>4</c:v>
                </c:pt>
                <c:pt idx="3">
                  <c:v>6</c:v>
                </c:pt>
              </c:numCache>
            </c:numRef>
          </c:xVal>
          <c:yVal>
            <c:numRef>
              <c:f>Data!$E$42:$E$45</c:f>
              <c:numCache>
                <c:formatCode>General</c:formatCode>
                <c:ptCount val="4"/>
                <c:pt idx="0">
                  <c:v>14864</c:v>
                </c:pt>
                <c:pt idx="1">
                  <c:v>13153</c:v>
                </c:pt>
                <c:pt idx="2">
                  <c:v>23197</c:v>
                </c:pt>
                <c:pt idx="3">
                  <c:v>14595</c:v>
                </c:pt>
              </c:numCache>
            </c:numRef>
          </c:yVal>
          <c:smooth val="1"/>
          <c:extLst>
            <c:ext xmlns:c16="http://schemas.microsoft.com/office/drawing/2014/chart" uri="{C3380CC4-5D6E-409C-BE32-E72D297353CC}">
              <c16:uniqueId val="{00000002-BDA9-4C6E-BA1A-8769712A7C97}"/>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Data!$B$42:$B$45</c:f>
              <c:numCache>
                <c:formatCode>General</c:formatCode>
                <c:ptCount val="4"/>
                <c:pt idx="0">
                  <c:v>0</c:v>
                </c:pt>
                <c:pt idx="1">
                  <c:v>2</c:v>
                </c:pt>
                <c:pt idx="2">
                  <c:v>4</c:v>
                </c:pt>
                <c:pt idx="3">
                  <c:v>6</c:v>
                </c:pt>
              </c:numCache>
            </c:numRef>
          </c:xVal>
          <c:yVal>
            <c:numRef>
              <c:f>Data!$F$42:$F$45</c:f>
              <c:numCache>
                <c:formatCode>General</c:formatCode>
                <c:ptCount val="4"/>
                <c:pt idx="0">
                  <c:v>16667</c:v>
                </c:pt>
                <c:pt idx="1">
                  <c:v>14916</c:v>
                </c:pt>
                <c:pt idx="2">
                  <c:v>15652</c:v>
                </c:pt>
                <c:pt idx="3">
                  <c:v>16353</c:v>
                </c:pt>
              </c:numCache>
            </c:numRef>
          </c:yVal>
          <c:smooth val="1"/>
          <c:extLst>
            <c:ext xmlns:c16="http://schemas.microsoft.com/office/drawing/2014/chart" uri="{C3380CC4-5D6E-409C-BE32-E72D297353CC}">
              <c16:uniqueId val="{00000003-BDA9-4C6E-BA1A-8769712A7C97}"/>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Data!$B$42:$B$45</c:f>
              <c:numCache>
                <c:formatCode>General</c:formatCode>
                <c:ptCount val="4"/>
                <c:pt idx="0">
                  <c:v>0</c:v>
                </c:pt>
                <c:pt idx="1">
                  <c:v>2</c:v>
                </c:pt>
                <c:pt idx="2">
                  <c:v>4</c:v>
                </c:pt>
                <c:pt idx="3">
                  <c:v>6</c:v>
                </c:pt>
              </c:numCache>
            </c:numRef>
          </c:xVal>
          <c:yVal>
            <c:numRef>
              <c:f>Data!$G$42:$G$45</c:f>
              <c:numCache>
                <c:formatCode>General</c:formatCode>
                <c:ptCount val="4"/>
                <c:pt idx="0">
                  <c:v>15303</c:v>
                </c:pt>
                <c:pt idx="1">
                  <c:v>15113</c:v>
                </c:pt>
                <c:pt idx="2">
                  <c:v>14131</c:v>
                </c:pt>
                <c:pt idx="3">
                  <c:v>17468</c:v>
                </c:pt>
              </c:numCache>
            </c:numRef>
          </c:yVal>
          <c:smooth val="1"/>
          <c:extLst>
            <c:ext xmlns:c16="http://schemas.microsoft.com/office/drawing/2014/chart" uri="{C3380CC4-5D6E-409C-BE32-E72D297353CC}">
              <c16:uniqueId val="{00000004-BDA9-4C6E-BA1A-8769712A7C97}"/>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Data!$B$42:$B$45</c:f>
              <c:numCache>
                <c:formatCode>General</c:formatCode>
                <c:ptCount val="4"/>
                <c:pt idx="0">
                  <c:v>0</c:v>
                </c:pt>
                <c:pt idx="1">
                  <c:v>2</c:v>
                </c:pt>
                <c:pt idx="2">
                  <c:v>4</c:v>
                </c:pt>
                <c:pt idx="3">
                  <c:v>6</c:v>
                </c:pt>
              </c:numCache>
            </c:numRef>
          </c:xVal>
          <c:yVal>
            <c:numRef>
              <c:f>Data!$H$42:$H$45</c:f>
              <c:numCache>
                <c:formatCode>General</c:formatCode>
                <c:ptCount val="4"/>
                <c:pt idx="0">
                  <c:v>32291</c:v>
                </c:pt>
                <c:pt idx="1">
                  <c:v>29572</c:v>
                </c:pt>
                <c:pt idx="2">
                  <c:v>37973</c:v>
                </c:pt>
                <c:pt idx="3">
                  <c:v>28914</c:v>
                </c:pt>
              </c:numCache>
            </c:numRef>
          </c:yVal>
          <c:smooth val="1"/>
          <c:extLst>
            <c:ext xmlns:c16="http://schemas.microsoft.com/office/drawing/2014/chart" uri="{C3380CC4-5D6E-409C-BE32-E72D297353CC}">
              <c16:uniqueId val="{00000005-BDA9-4C6E-BA1A-8769712A7C97}"/>
            </c:ext>
          </c:extLst>
        </c:ser>
        <c:dLbls>
          <c:showLegendKey val="0"/>
          <c:showVal val="0"/>
          <c:showCatName val="0"/>
          <c:showSerName val="0"/>
          <c:showPercent val="0"/>
          <c:showBubbleSize val="0"/>
        </c:dLbls>
        <c:axId val="433841552"/>
        <c:axId val="433841944"/>
      </c:scatterChart>
      <c:valAx>
        <c:axId val="4338415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841944"/>
        <c:crosses val="autoZero"/>
        <c:crossBetween val="midCat"/>
      </c:valAx>
      <c:valAx>
        <c:axId val="433841944"/>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8415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NG in Water-Bacteria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Data!$B$7:$B$10</c:f>
              <c:numCache>
                <c:formatCode>General</c:formatCode>
                <c:ptCount val="4"/>
                <c:pt idx="0">
                  <c:v>0</c:v>
                </c:pt>
                <c:pt idx="1">
                  <c:v>2</c:v>
                </c:pt>
                <c:pt idx="2">
                  <c:v>4</c:v>
                </c:pt>
                <c:pt idx="3">
                  <c:v>6</c:v>
                </c:pt>
              </c:numCache>
            </c:numRef>
          </c:xVal>
          <c:yVal>
            <c:numRef>
              <c:f>Data!$K$7:$K$10</c:f>
              <c:numCache>
                <c:formatCode>General</c:formatCode>
                <c:ptCount val="4"/>
                <c:pt idx="0">
                  <c:v>79868</c:v>
                </c:pt>
                <c:pt idx="1">
                  <c:v>62290</c:v>
                </c:pt>
                <c:pt idx="2">
                  <c:v>61490</c:v>
                </c:pt>
                <c:pt idx="3">
                  <c:v>55576</c:v>
                </c:pt>
              </c:numCache>
            </c:numRef>
          </c:yVal>
          <c:smooth val="1"/>
          <c:extLst>
            <c:ext xmlns:c16="http://schemas.microsoft.com/office/drawing/2014/chart" uri="{C3380CC4-5D6E-409C-BE32-E72D297353CC}">
              <c16:uniqueId val="{00000000-5630-4D71-8126-99D6474AECCA}"/>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Data!$B$7:$B$10</c:f>
              <c:numCache>
                <c:formatCode>General</c:formatCode>
                <c:ptCount val="4"/>
                <c:pt idx="0">
                  <c:v>0</c:v>
                </c:pt>
                <c:pt idx="1">
                  <c:v>2</c:v>
                </c:pt>
                <c:pt idx="2">
                  <c:v>4</c:v>
                </c:pt>
                <c:pt idx="3">
                  <c:v>6</c:v>
                </c:pt>
              </c:numCache>
            </c:numRef>
          </c:xVal>
          <c:yVal>
            <c:numRef>
              <c:f>Data!$L$7:$L$10</c:f>
              <c:numCache>
                <c:formatCode>General</c:formatCode>
                <c:ptCount val="4"/>
                <c:pt idx="0">
                  <c:v>99959</c:v>
                </c:pt>
                <c:pt idx="1">
                  <c:v>77265</c:v>
                </c:pt>
                <c:pt idx="2">
                  <c:v>86957</c:v>
                </c:pt>
                <c:pt idx="3">
                  <c:v>84263</c:v>
                </c:pt>
              </c:numCache>
            </c:numRef>
          </c:yVal>
          <c:smooth val="1"/>
          <c:extLst>
            <c:ext xmlns:c16="http://schemas.microsoft.com/office/drawing/2014/chart" uri="{C3380CC4-5D6E-409C-BE32-E72D297353CC}">
              <c16:uniqueId val="{00000001-5630-4D71-8126-99D6474AECCA}"/>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Data!$B$7:$B$10</c:f>
              <c:numCache>
                <c:formatCode>General</c:formatCode>
                <c:ptCount val="4"/>
                <c:pt idx="0">
                  <c:v>0</c:v>
                </c:pt>
                <c:pt idx="1">
                  <c:v>2</c:v>
                </c:pt>
                <c:pt idx="2">
                  <c:v>4</c:v>
                </c:pt>
                <c:pt idx="3">
                  <c:v>6</c:v>
                </c:pt>
              </c:numCache>
            </c:numRef>
          </c:xVal>
          <c:yVal>
            <c:numRef>
              <c:f>Data!$M$7:$M$10</c:f>
              <c:numCache>
                <c:formatCode>General</c:formatCode>
                <c:ptCount val="4"/>
                <c:pt idx="0">
                  <c:v>169729</c:v>
                </c:pt>
                <c:pt idx="1">
                  <c:v>150571</c:v>
                </c:pt>
                <c:pt idx="2">
                  <c:v>155256</c:v>
                </c:pt>
                <c:pt idx="3">
                  <c:v>156441</c:v>
                </c:pt>
              </c:numCache>
            </c:numRef>
          </c:yVal>
          <c:smooth val="1"/>
          <c:extLst>
            <c:ext xmlns:c16="http://schemas.microsoft.com/office/drawing/2014/chart" uri="{C3380CC4-5D6E-409C-BE32-E72D297353CC}">
              <c16:uniqueId val="{00000002-5630-4D71-8126-99D6474AECCA}"/>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Data!$B$7:$B$10</c:f>
              <c:numCache>
                <c:formatCode>General</c:formatCode>
                <c:ptCount val="4"/>
                <c:pt idx="0">
                  <c:v>0</c:v>
                </c:pt>
                <c:pt idx="1">
                  <c:v>2</c:v>
                </c:pt>
                <c:pt idx="2">
                  <c:v>4</c:v>
                </c:pt>
                <c:pt idx="3">
                  <c:v>6</c:v>
                </c:pt>
              </c:numCache>
            </c:numRef>
          </c:xVal>
          <c:yVal>
            <c:numRef>
              <c:f>Data!$N$7:$N$10</c:f>
              <c:numCache>
                <c:formatCode>General</c:formatCode>
                <c:ptCount val="4"/>
                <c:pt idx="0">
                  <c:v>183319</c:v>
                </c:pt>
                <c:pt idx="1">
                  <c:v>153683</c:v>
                </c:pt>
                <c:pt idx="2">
                  <c:v>148082</c:v>
                </c:pt>
                <c:pt idx="3">
                  <c:v>159016</c:v>
                </c:pt>
              </c:numCache>
            </c:numRef>
          </c:yVal>
          <c:smooth val="1"/>
          <c:extLst>
            <c:ext xmlns:c16="http://schemas.microsoft.com/office/drawing/2014/chart" uri="{C3380CC4-5D6E-409C-BE32-E72D297353CC}">
              <c16:uniqueId val="{00000003-5630-4D71-8126-99D6474AECCA}"/>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Data!$B$7:$B$10</c:f>
              <c:numCache>
                <c:formatCode>General</c:formatCode>
                <c:ptCount val="4"/>
                <c:pt idx="0">
                  <c:v>0</c:v>
                </c:pt>
                <c:pt idx="1">
                  <c:v>2</c:v>
                </c:pt>
                <c:pt idx="2">
                  <c:v>4</c:v>
                </c:pt>
                <c:pt idx="3">
                  <c:v>6</c:v>
                </c:pt>
              </c:numCache>
            </c:numRef>
          </c:xVal>
          <c:yVal>
            <c:numRef>
              <c:f>Data!$O$7:$O$10</c:f>
              <c:numCache>
                <c:formatCode>General</c:formatCode>
                <c:ptCount val="4"/>
                <c:pt idx="0">
                  <c:v>53618</c:v>
                </c:pt>
                <c:pt idx="1">
                  <c:v>57807</c:v>
                </c:pt>
                <c:pt idx="2">
                  <c:v>47314</c:v>
                </c:pt>
                <c:pt idx="3">
                  <c:v>53346</c:v>
                </c:pt>
              </c:numCache>
            </c:numRef>
          </c:yVal>
          <c:smooth val="1"/>
          <c:extLst>
            <c:ext xmlns:c16="http://schemas.microsoft.com/office/drawing/2014/chart" uri="{C3380CC4-5D6E-409C-BE32-E72D297353CC}">
              <c16:uniqueId val="{00000004-5630-4D71-8126-99D6474AECCA}"/>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Data!$B$7:$B$10</c:f>
              <c:numCache>
                <c:formatCode>General</c:formatCode>
                <c:ptCount val="4"/>
                <c:pt idx="0">
                  <c:v>0</c:v>
                </c:pt>
                <c:pt idx="1">
                  <c:v>2</c:v>
                </c:pt>
                <c:pt idx="2">
                  <c:v>4</c:v>
                </c:pt>
                <c:pt idx="3">
                  <c:v>6</c:v>
                </c:pt>
              </c:numCache>
            </c:numRef>
          </c:xVal>
          <c:yVal>
            <c:numRef>
              <c:f>Data!$P$7:$P$10</c:f>
              <c:numCache>
                <c:formatCode>General</c:formatCode>
                <c:ptCount val="4"/>
                <c:pt idx="0">
                  <c:v>48832</c:v>
                </c:pt>
                <c:pt idx="1">
                  <c:v>40782</c:v>
                </c:pt>
                <c:pt idx="2">
                  <c:v>42514</c:v>
                </c:pt>
                <c:pt idx="3">
                  <c:v>44649</c:v>
                </c:pt>
              </c:numCache>
            </c:numRef>
          </c:yVal>
          <c:smooth val="1"/>
          <c:extLst>
            <c:ext xmlns:c16="http://schemas.microsoft.com/office/drawing/2014/chart" uri="{C3380CC4-5D6E-409C-BE32-E72D297353CC}">
              <c16:uniqueId val="{00000005-5630-4D71-8126-99D6474AECCA}"/>
            </c:ext>
          </c:extLst>
        </c:ser>
        <c:dLbls>
          <c:showLegendKey val="0"/>
          <c:showVal val="0"/>
          <c:showCatName val="0"/>
          <c:showSerName val="0"/>
          <c:showPercent val="0"/>
          <c:showBubbleSize val="0"/>
        </c:dLbls>
        <c:axId val="433843120"/>
        <c:axId val="447025080"/>
      </c:scatterChart>
      <c:valAx>
        <c:axId val="433843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025080"/>
        <c:crosses val="autoZero"/>
        <c:crossBetween val="midCat"/>
      </c:valAx>
      <c:valAx>
        <c:axId val="447025080"/>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8431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 CA Measured</a:t>
            </a:r>
            <a:r>
              <a:rPr lang="en-US" baseline="0"/>
              <a:t> vs Average CA Literature</a:t>
            </a:r>
            <a:endParaRPr lang="en-US"/>
          </a:p>
        </c:rich>
      </c:tx>
      <c:overlay val="0"/>
      <c:spPr>
        <a:noFill/>
        <a:ln>
          <a:noFill/>
        </a:ln>
        <a:effectLst/>
      </c:spPr>
    </c:title>
    <c:autoTitleDeleted val="0"/>
    <c:plotArea>
      <c:layout>
        <c:manualLayout>
          <c:layoutTarget val="inner"/>
          <c:xMode val="edge"/>
          <c:yMode val="edge"/>
          <c:x val="0.10430746284700761"/>
          <c:y val="9.9303882195448459E-2"/>
          <c:w val="0.60590800601679184"/>
          <c:h val="0.74842841690357054"/>
        </c:manualLayout>
      </c:layout>
      <c:scatterChart>
        <c:scatterStyle val="lineMarker"/>
        <c:varyColors val="0"/>
        <c:ser>
          <c:idx val="0"/>
          <c:order val="0"/>
          <c:tx>
            <c:v>Diiodo Zno</c:v>
          </c:tx>
          <c:spPr>
            <a:ln w="25400">
              <a:solidFill>
                <a:sysClr val="windowText" lastClr="000000"/>
              </a:solidFill>
            </a:ln>
          </c:spPr>
          <c:marker>
            <c:symbol val="triangle"/>
            <c:size val="7"/>
            <c:spPr>
              <a:solidFill>
                <a:schemeClr val="bg2">
                  <a:lumMod val="90000"/>
                </a:schemeClr>
              </a:solidFill>
              <a:ln>
                <a:solidFill>
                  <a:sysClr val="windowText" lastClr="000000"/>
                </a:solidFill>
              </a:ln>
            </c:spPr>
          </c:marker>
          <c:errBars>
            <c:errDir val="x"/>
            <c:errBarType val="both"/>
            <c:errValType val="cust"/>
            <c:noEndCap val="0"/>
            <c:plus>
              <c:numLit>
                <c:formatCode>General</c:formatCode>
                <c:ptCount val="1"/>
                <c:pt idx="0">
                  <c:v>1</c:v>
                </c:pt>
              </c:numLit>
            </c:plus>
            <c:minus>
              <c:numLit>
                <c:formatCode>General</c:formatCode>
                <c:ptCount val="1"/>
                <c:pt idx="0">
                  <c:v>1</c:v>
                </c:pt>
              </c:numLit>
            </c:minus>
          </c:errBars>
          <c:errBars>
            <c:errDir val="y"/>
            <c:errBarType val="both"/>
            <c:errValType val="cust"/>
            <c:noEndCap val="0"/>
            <c:plus>
              <c:numRef>
                <c:f>Graphs!$T$3</c:f>
                <c:numCache>
                  <c:formatCode>General</c:formatCode>
                  <c:ptCount val="1"/>
                  <c:pt idx="0">
                    <c:v>5.5</c:v>
                  </c:pt>
                </c:numCache>
              </c:numRef>
            </c:plus>
            <c:minus>
              <c:numRef>
                <c:f>Graphs!$T$3</c:f>
                <c:numCache>
                  <c:formatCode>General</c:formatCode>
                  <c:ptCount val="1"/>
                  <c:pt idx="0">
                    <c:v>5.5</c:v>
                  </c:pt>
                </c:numCache>
              </c:numRef>
            </c:minus>
          </c:errBars>
          <c:xVal>
            <c:numRef>
              <c:f>Graphs!$P$3</c:f>
              <c:numCache>
                <c:formatCode>0.00</c:formatCode>
                <c:ptCount val="1"/>
                <c:pt idx="0">
                  <c:v>17.833333333333332</c:v>
                </c:pt>
              </c:numCache>
            </c:numRef>
          </c:xVal>
          <c:yVal>
            <c:numRef>
              <c:f>Graphs!$R$3</c:f>
              <c:numCache>
                <c:formatCode>0.00</c:formatCode>
                <c:ptCount val="1"/>
                <c:pt idx="0">
                  <c:v>32.596637138255545</c:v>
                </c:pt>
              </c:numCache>
            </c:numRef>
          </c:yVal>
          <c:smooth val="0"/>
          <c:extLst>
            <c:ext xmlns:c16="http://schemas.microsoft.com/office/drawing/2014/chart" uri="{C3380CC4-5D6E-409C-BE32-E72D297353CC}">
              <c16:uniqueId val="{00000000-4B9B-4A47-A895-5C26A9D25C63}"/>
            </c:ext>
          </c:extLst>
        </c:ser>
        <c:ser>
          <c:idx val="1"/>
          <c:order val="1"/>
          <c:tx>
            <c:v>Form Zno</c:v>
          </c:tx>
          <c:spPr>
            <a:ln w="19050">
              <a:solidFill>
                <a:sysClr val="windowText" lastClr="000000"/>
              </a:solidFill>
            </a:ln>
          </c:spPr>
          <c:marker>
            <c:symbol val="triangle"/>
            <c:size val="7"/>
            <c:spPr>
              <a:solidFill>
                <a:srgbClr val="C0000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Graphs!$T$4</c:f>
                <c:numCache>
                  <c:formatCode>General</c:formatCode>
                  <c:ptCount val="1"/>
                  <c:pt idx="0">
                    <c:v>14</c:v>
                  </c:pt>
                </c:numCache>
              </c:numRef>
            </c:plus>
            <c:minus>
              <c:numRef>
                <c:f>Graphs!$T$4</c:f>
                <c:numCache>
                  <c:formatCode>General</c:formatCode>
                  <c:ptCount val="1"/>
                  <c:pt idx="0">
                    <c:v>14</c:v>
                  </c:pt>
                </c:numCache>
              </c:numRef>
            </c:minus>
          </c:errBars>
          <c:xVal>
            <c:numRef>
              <c:f>Graphs!$P$4</c:f>
              <c:numCache>
                <c:formatCode>General</c:formatCode>
                <c:ptCount val="1"/>
                <c:pt idx="0">
                  <c:v>23.5</c:v>
                </c:pt>
              </c:numCache>
            </c:numRef>
          </c:xVal>
          <c:yVal>
            <c:numRef>
              <c:f>Graphs!$R$4</c:f>
              <c:numCache>
                <c:formatCode>0.00</c:formatCode>
                <c:ptCount val="1"/>
                <c:pt idx="0">
                  <c:v>16.819376791704599</c:v>
                </c:pt>
              </c:numCache>
            </c:numRef>
          </c:yVal>
          <c:smooth val="0"/>
          <c:extLst>
            <c:ext xmlns:c16="http://schemas.microsoft.com/office/drawing/2014/chart" uri="{C3380CC4-5D6E-409C-BE32-E72D297353CC}">
              <c16:uniqueId val="{00000001-4B9B-4A47-A895-5C26A9D25C63}"/>
            </c:ext>
          </c:extLst>
        </c:ser>
        <c:ser>
          <c:idx val="2"/>
          <c:order val="2"/>
          <c:tx>
            <c:v>eth Gly ZnO</c:v>
          </c:tx>
          <c:spPr>
            <a:ln w="19050">
              <a:solidFill>
                <a:sysClr val="windowText" lastClr="000000"/>
              </a:solidFill>
            </a:ln>
          </c:spPr>
          <c:marker>
            <c:symbol val="triangle"/>
            <c:size val="7"/>
            <c:spPr>
              <a:solidFill>
                <a:srgbClr val="00B05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Graphs!$T$5</c:f>
                <c:numCache>
                  <c:formatCode>General</c:formatCode>
                  <c:ptCount val="1"/>
                  <c:pt idx="0">
                    <c:v>2.6666666666666665</c:v>
                  </c:pt>
                </c:numCache>
              </c:numRef>
            </c:plus>
            <c:minus>
              <c:numRef>
                <c:f>Graphs!$T$5</c:f>
                <c:numCache>
                  <c:formatCode>General</c:formatCode>
                  <c:ptCount val="1"/>
                  <c:pt idx="0">
                    <c:v>2.6666666666666665</c:v>
                  </c:pt>
                </c:numCache>
              </c:numRef>
            </c:minus>
          </c:errBars>
          <c:xVal>
            <c:numRef>
              <c:f>Graphs!$P$5</c:f>
              <c:numCache>
                <c:formatCode>General</c:formatCode>
                <c:ptCount val="1"/>
                <c:pt idx="0">
                  <c:v>68</c:v>
                </c:pt>
              </c:numCache>
            </c:numRef>
          </c:xVal>
          <c:yVal>
            <c:numRef>
              <c:f>Graphs!$R$5</c:f>
              <c:numCache>
                <c:formatCode>0.00</c:formatCode>
                <c:ptCount val="1"/>
                <c:pt idx="0">
                  <c:v>71.212901073834857</c:v>
                </c:pt>
              </c:numCache>
            </c:numRef>
          </c:yVal>
          <c:smooth val="0"/>
          <c:extLst>
            <c:ext xmlns:c16="http://schemas.microsoft.com/office/drawing/2014/chart" uri="{C3380CC4-5D6E-409C-BE32-E72D297353CC}">
              <c16:uniqueId val="{00000002-4B9B-4A47-A895-5C26A9D25C63}"/>
            </c:ext>
          </c:extLst>
        </c:ser>
        <c:ser>
          <c:idx val="4"/>
          <c:order val="3"/>
          <c:tx>
            <c:v>Water Zno</c:v>
          </c:tx>
          <c:marker>
            <c:symbol val="triangle"/>
            <c:size val="7"/>
            <c:spPr>
              <a:solidFill>
                <a:srgbClr val="00B0F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Graphs!$T$6</c:f>
                <c:numCache>
                  <c:formatCode>General</c:formatCode>
                  <c:ptCount val="1"/>
                  <c:pt idx="0">
                    <c:v>4.4000000000000004</c:v>
                  </c:pt>
                </c:numCache>
              </c:numRef>
            </c:plus>
            <c:minus>
              <c:numRef>
                <c:f>Graphs!$T$6</c:f>
                <c:numCache>
                  <c:formatCode>General</c:formatCode>
                  <c:ptCount val="1"/>
                  <c:pt idx="0">
                    <c:v>4.4000000000000004</c:v>
                  </c:pt>
                </c:numCache>
              </c:numRef>
            </c:minus>
          </c:errBars>
          <c:xVal>
            <c:numRef>
              <c:f>Graphs!$P$6</c:f>
              <c:numCache>
                <c:formatCode>0.00</c:formatCode>
                <c:ptCount val="1"/>
                <c:pt idx="0">
                  <c:v>92.466666666666654</c:v>
                </c:pt>
              </c:numCache>
            </c:numRef>
          </c:xVal>
          <c:yVal>
            <c:numRef>
              <c:f>Graphs!$R$6</c:f>
              <c:numCache>
                <c:formatCode>0.00</c:formatCode>
                <c:ptCount val="1"/>
                <c:pt idx="0">
                  <c:v>65.142025667935812</c:v>
                </c:pt>
              </c:numCache>
            </c:numRef>
          </c:yVal>
          <c:smooth val="0"/>
          <c:extLst>
            <c:ext xmlns:c16="http://schemas.microsoft.com/office/drawing/2014/chart" uri="{C3380CC4-5D6E-409C-BE32-E72D297353CC}">
              <c16:uniqueId val="{00000003-4B9B-4A47-A895-5C26A9D25C63}"/>
            </c:ext>
          </c:extLst>
        </c:ser>
        <c:ser>
          <c:idx val="5"/>
          <c:order val="4"/>
          <c:tx>
            <c:v>ethanol Zno</c:v>
          </c:tx>
          <c:spPr>
            <a:ln w="19050">
              <a:solidFill>
                <a:sysClr val="windowText" lastClr="000000"/>
              </a:solidFill>
            </a:ln>
          </c:spPr>
          <c:marker>
            <c:symbol val="triangle"/>
            <c:size val="7"/>
            <c:spPr>
              <a:solidFill>
                <a:schemeClr val="tx1"/>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Graphs!$T$7</c:f>
                <c:numCache>
                  <c:formatCode>General</c:formatCode>
                  <c:ptCount val="1"/>
                  <c:pt idx="0">
                    <c:v>1</c:v>
                  </c:pt>
                </c:numCache>
              </c:numRef>
            </c:plus>
            <c:minus>
              <c:numRef>
                <c:f>Graphs!$T$7</c:f>
                <c:numCache>
                  <c:formatCode>General</c:formatCode>
                  <c:ptCount val="1"/>
                  <c:pt idx="0">
                    <c:v>1</c:v>
                  </c:pt>
                </c:numCache>
              </c:numRef>
            </c:minus>
          </c:errBars>
          <c:xVal>
            <c:numRef>
              <c:f>Graphs!$P$7</c:f>
              <c:numCache>
                <c:formatCode>General</c:formatCode>
                <c:ptCount val="1"/>
                <c:pt idx="0">
                  <c:v>90</c:v>
                </c:pt>
              </c:numCache>
            </c:numRef>
          </c:xVal>
          <c:yVal>
            <c:numRef>
              <c:f>Graphs!$R$7</c:f>
              <c:numCache>
                <c:formatCode>0.00</c:formatCode>
                <c:ptCount val="1"/>
                <c:pt idx="0">
                  <c:v>72.999747022833503</c:v>
                </c:pt>
              </c:numCache>
            </c:numRef>
          </c:yVal>
          <c:smooth val="0"/>
          <c:extLst>
            <c:ext xmlns:c16="http://schemas.microsoft.com/office/drawing/2014/chart" uri="{C3380CC4-5D6E-409C-BE32-E72D297353CC}">
              <c16:uniqueId val="{00000004-4B9B-4A47-A895-5C26A9D25C63}"/>
            </c:ext>
          </c:extLst>
        </c:ser>
        <c:ser>
          <c:idx val="6"/>
          <c:order val="5"/>
          <c:tx>
            <c:v>diido 21</c:v>
          </c:tx>
          <c:spPr>
            <a:ln w="25400" cap="rnd">
              <a:solidFill>
                <a:sysClr val="windowText" lastClr="000000"/>
              </a:solidFill>
              <a:round/>
            </a:ln>
            <a:effectLst/>
          </c:spPr>
          <c:marker>
            <c:symbol val="square"/>
            <c:size val="7"/>
            <c:spPr>
              <a:solidFill>
                <a:schemeClr val="bg2">
                  <a:lumMod val="90000"/>
                </a:schemeClr>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Graphs!$T$8</c:f>
                <c:numCache>
                  <c:formatCode>General</c:formatCode>
                  <c:ptCount val="1"/>
                  <c:pt idx="0">
                    <c:v>6.75</c:v>
                  </c:pt>
                </c:numCache>
              </c:numRef>
            </c:plus>
            <c:minus>
              <c:numRef>
                <c:f>Graphs!$T$8</c:f>
                <c:numCache>
                  <c:formatCode>General</c:formatCode>
                  <c:ptCount val="1"/>
                  <c:pt idx="0">
                    <c:v>6.75</c:v>
                  </c:pt>
                </c:numCache>
              </c:numRef>
            </c:minus>
          </c:errBars>
          <c:xVal>
            <c:numRef>
              <c:f>Graphs!$P$8</c:f>
              <c:numCache>
                <c:formatCode>General</c:formatCode>
                <c:ptCount val="1"/>
                <c:pt idx="0">
                  <c:v>16.3</c:v>
                </c:pt>
              </c:numCache>
            </c:numRef>
          </c:xVal>
          <c:yVal>
            <c:numRef>
              <c:f>Graphs!$R$8</c:f>
              <c:numCache>
                <c:formatCode>0.00</c:formatCode>
                <c:ptCount val="1"/>
                <c:pt idx="0">
                  <c:v>63.146418521605085</c:v>
                </c:pt>
              </c:numCache>
            </c:numRef>
          </c:yVal>
          <c:smooth val="0"/>
          <c:extLst>
            <c:ext xmlns:c16="http://schemas.microsoft.com/office/drawing/2014/chart" uri="{C3380CC4-5D6E-409C-BE32-E72D297353CC}">
              <c16:uniqueId val="{00000005-4B9B-4A47-A895-5C26A9D25C63}"/>
            </c:ext>
          </c:extLst>
        </c:ser>
        <c:ser>
          <c:idx val="7"/>
          <c:order val="6"/>
          <c:tx>
            <c:v>form 21</c:v>
          </c:tx>
          <c:spPr>
            <a:ln w="19050">
              <a:solidFill>
                <a:sysClr val="windowText" lastClr="000000"/>
              </a:solidFill>
            </a:ln>
          </c:spPr>
          <c:marker>
            <c:symbol val="square"/>
            <c:size val="7"/>
            <c:spPr>
              <a:solidFill>
                <a:srgbClr val="C0000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Graphs!$T$9</c:f>
                <c:numCache>
                  <c:formatCode>General</c:formatCode>
                  <c:ptCount val="1"/>
                  <c:pt idx="0">
                    <c:v>5</c:v>
                  </c:pt>
                </c:numCache>
              </c:numRef>
            </c:plus>
            <c:minus>
              <c:numRef>
                <c:f>Graphs!$T$9</c:f>
                <c:numCache>
                  <c:formatCode>General</c:formatCode>
                  <c:ptCount val="1"/>
                  <c:pt idx="0">
                    <c:v>5</c:v>
                  </c:pt>
                </c:numCache>
              </c:numRef>
            </c:minus>
          </c:errBars>
          <c:xVal>
            <c:numRef>
              <c:f>Graphs!$P$9</c:f>
              <c:numCache>
                <c:formatCode>General</c:formatCode>
                <c:ptCount val="1"/>
                <c:pt idx="0">
                  <c:v>57.5</c:v>
                </c:pt>
              </c:numCache>
            </c:numRef>
          </c:xVal>
          <c:yVal>
            <c:numRef>
              <c:f>Graphs!$R$9</c:f>
              <c:numCache>
                <c:formatCode>0.00</c:formatCode>
                <c:ptCount val="1"/>
                <c:pt idx="0">
                  <c:v>63.60663939486561</c:v>
                </c:pt>
              </c:numCache>
            </c:numRef>
          </c:yVal>
          <c:smooth val="0"/>
          <c:extLst>
            <c:ext xmlns:c16="http://schemas.microsoft.com/office/drawing/2014/chart" uri="{C3380CC4-5D6E-409C-BE32-E72D297353CC}">
              <c16:uniqueId val="{00000006-4B9B-4A47-A895-5C26A9D25C63}"/>
            </c:ext>
          </c:extLst>
        </c:ser>
        <c:ser>
          <c:idx val="8"/>
          <c:order val="7"/>
          <c:tx>
            <c:v>bromo 21</c:v>
          </c:tx>
          <c:spPr>
            <a:ln w="19050">
              <a:solidFill>
                <a:sysClr val="windowText" lastClr="000000"/>
              </a:solidFill>
            </a:ln>
          </c:spPr>
          <c:marker>
            <c:symbol val="square"/>
            <c:size val="7"/>
            <c:spPr>
              <a:solidFill>
                <a:srgbClr val="F5D85D"/>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Graphs!$T$10</c:f>
                <c:numCache>
                  <c:formatCode>General</c:formatCode>
                  <c:ptCount val="1"/>
                  <c:pt idx="0">
                    <c:v>1</c:v>
                  </c:pt>
                </c:numCache>
              </c:numRef>
            </c:plus>
            <c:minus>
              <c:numRef>
                <c:f>Graphs!$T$10</c:f>
                <c:numCache>
                  <c:formatCode>General</c:formatCode>
                  <c:ptCount val="1"/>
                  <c:pt idx="0">
                    <c:v>1</c:v>
                  </c:pt>
                </c:numCache>
              </c:numRef>
            </c:minus>
          </c:errBars>
          <c:xVal>
            <c:numRef>
              <c:f>Graphs!$P$10</c:f>
              <c:numCache>
                <c:formatCode>General</c:formatCode>
                <c:ptCount val="1"/>
                <c:pt idx="0">
                  <c:v>44</c:v>
                </c:pt>
              </c:numCache>
            </c:numRef>
          </c:xVal>
          <c:yVal>
            <c:numRef>
              <c:f>Graphs!$R$10</c:f>
              <c:numCache>
                <c:formatCode>0.00</c:formatCode>
                <c:ptCount val="1"/>
                <c:pt idx="0">
                  <c:v>62.383602101672388</c:v>
                </c:pt>
              </c:numCache>
            </c:numRef>
          </c:yVal>
          <c:smooth val="0"/>
          <c:extLst>
            <c:ext xmlns:c16="http://schemas.microsoft.com/office/drawing/2014/chart" uri="{C3380CC4-5D6E-409C-BE32-E72D297353CC}">
              <c16:uniqueId val="{00000007-4B9B-4A47-A895-5C26A9D25C63}"/>
            </c:ext>
          </c:extLst>
        </c:ser>
        <c:ser>
          <c:idx val="9"/>
          <c:order val="8"/>
          <c:tx>
            <c:v>water 21</c:v>
          </c:tx>
          <c:spPr>
            <a:ln w="19050">
              <a:solidFill>
                <a:sysClr val="windowText" lastClr="000000"/>
              </a:solidFill>
            </a:ln>
          </c:spPr>
          <c:marker>
            <c:symbol val="square"/>
            <c:size val="7"/>
            <c:spPr>
              <a:solidFill>
                <a:srgbClr val="00B0F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Graphs!$T$11</c:f>
                <c:numCache>
                  <c:formatCode>General</c:formatCode>
                  <c:ptCount val="1"/>
                  <c:pt idx="0">
                    <c:v>2.2000000000000002</c:v>
                  </c:pt>
                </c:numCache>
              </c:numRef>
            </c:plus>
            <c:minus>
              <c:numRef>
                <c:f>Graphs!$T$11</c:f>
                <c:numCache>
                  <c:formatCode>General</c:formatCode>
                  <c:ptCount val="1"/>
                  <c:pt idx="0">
                    <c:v>2.2000000000000002</c:v>
                  </c:pt>
                </c:numCache>
              </c:numRef>
            </c:minus>
          </c:errBars>
          <c:xVal>
            <c:numRef>
              <c:f>Graphs!$P$11</c:f>
              <c:numCache>
                <c:formatCode>General</c:formatCode>
                <c:ptCount val="1"/>
                <c:pt idx="0">
                  <c:v>75</c:v>
                </c:pt>
              </c:numCache>
            </c:numRef>
          </c:xVal>
          <c:yVal>
            <c:numRef>
              <c:f>Graphs!$R$11</c:f>
              <c:numCache>
                <c:formatCode>0.00</c:formatCode>
                <c:ptCount val="1"/>
                <c:pt idx="0">
                  <c:v>77.936964147955877</c:v>
                </c:pt>
              </c:numCache>
            </c:numRef>
          </c:yVal>
          <c:smooth val="0"/>
          <c:extLst>
            <c:ext xmlns:c16="http://schemas.microsoft.com/office/drawing/2014/chart" uri="{C3380CC4-5D6E-409C-BE32-E72D297353CC}">
              <c16:uniqueId val="{00000008-4B9B-4A47-A895-5C26A9D25C63}"/>
            </c:ext>
          </c:extLst>
        </c:ser>
        <c:ser>
          <c:idx val="10"/>
          <c:order val="9"/>
          <c:tx>
            <c:v>diiodo 100</c:v>
          </c:tx>
          <c:spPr>
            <a:ln w="25400" cap="rnd">
              <a:solidFill>
                <a:sysClr val="windowText" lastClr="000000"/>
              </a:solidFill>
              <a:round/>
            </a:ln>
            <a:effectLst/>
          </c:spPr>
          <c:marker>
            <c:symbol val="circle"/>
            <c:size val="7"/>
            <c:spPr>
              <a:solidFill>
                <a:schemeClr val="bg2">
                  <a:lumMod val="90000"/>
                </a:schemeClr>
              </a:solidFill>
              <a:ln w="9525">
                <a:solidFill>
                  <a:sysClr val="windowText" lastClr="000000"/>
                </a:solidFill>
              </a:ln>
              <a:effectLst/>
            </c:spPr>
          </c:marker>
          <c:errBars>
            <c:errDir val="x"/>
            <c:errBarType val="both"/>
            <c:errValType val="stdErr"/>
            <c:noEndCap val="0"/>
          </c:errBars>
          <c:errBars>
            <c:errDir val="y"/>
            <c:errBarType val="both"/>
            <c:errValType val="cust"/>
            <c:noEndCap val="0"/>
            <c:plus>
              <c:numRef>
                <c:f>Graphs!$T$13</c:f>
                <c:numCache>
                  <c:formatCode>General</c:formatCode>
                  <c:ptCount val="1"/>
                  <c:pt idx="0">
                    <c:v>9</c:v>
                  </c:pt>
                </c:numCache>
              </c:numRef>
            </c:plus>
            <c:minus>
              <c:numRef>
                <c:f>Graphs!$T$13</c:f>
                <c:numCache>
                  <c:formatCode>General</c:formatCode>
                  <c:ptCount val="1"/>
                  <c:pt idx="0">
                    <c:v>9</c:v>
                  </c:pt>
                </c:numCache>
              </c:numRef>
            </c:minus>
          </c:errBars>
          <c:xVal>
            <c:numRef>
              <c:f>Graphs!$P$13</c:f>
              <c:numCache>
                <c:formatCode>General</c:formatCode>
                <c:ptCount val="1"/>
                <c:pt idx="0">
                  <c:v>16.3</c:v>
                </c:pt>
              </c:numCache>
            </c:numRef>
          </c:xVal>
          <c:yVal>
            <c:numRef>
              <c:f>Graphs!$R$13</c:f>
              <c:numCache>
                <c:formatCode>0.00</c:formatCode>
                <c:ptCount val="1"/>
                <c:pt idx="0">
                  <c:v>51.555900169581363</c:v>
                </c:pt>
              </c:numCache>
            </c:numRef>
          </c:yVal>
          <c:smooth val="0"/>
          <c:extLst>
            <c:ext xmlns:c16="http://schemas.microsoft.com/office/drawing/2014/chart" uri="{C3380CC4-5D6E-409C-BE32-E72D297353CC}">
              <c16:uniqueId val="{00000009-4B9B-4A47-A895-5C26A9D25C63}"/>
            </c:ext>
          </c:extLst>
        </c:ser>
        <c:ser>
          <c:idx val="11"/>
          <c:order val="10"/>
          <c:tx>
            <c:v>form 100</c:v>
          </c:tx>
          <c:spPr>
            <a:ln w="19050">
              <a:solidFill>
                <a:schemeClr val="tx1"/>
              </a:solidFill>
            </a:ln>
          </c:spPr>
          <c:marker>
            <c:symbol val="circle"/>
            <c:size val="7"/>
            <c:spPr>
              <a:solidFill>
                <a:srgbClr val="C00000"/>
              </a:solidFill>
              <a:ln>
                <a:solidFill>
                  <a:schemeClr val="tx1"/>
                </a:solidFill>
              </a:ln>
            </c:spPr>
          </c:marker>
          <c:errBars>
            <c:errDir val="x"/>
            <c:errBarType val="both"/>
            <c:errValType val="stdErr"/>
            <c:noEndCap val="0"/>
          </c:errBars>
          <c:errBars>
            <c:errDir val="y"/>
            <c:errBarType val="both"/>
            <c:errValType val="cust"/>
            <c:noEndCap val="0"/>
            <c:plus>
              <c:numRef>
                <c:f>Graphs!$T$14</c:f>
                <c:numCache>
                  <c:formatCode>General</c:formatCode>
                  <c:ptCount val="1"/>
                  <c:pt idx="0">
                    <c:v>11.666666666666666</c:v>
                  </c:pt>
                </c:numCache>
              </c:numRef>
            </c:plus>
            <c:minus>
              <c:numRef>
                <c:f>Graphs!$T$14</c:f>
                <c:numCache>
                  <c:formatCode>General</c:formatCode>
                  <c:ptCount val="1"/>
                  <c:pt idx="0">
                    <c:v>11.666666666666666</c:v>
                  </c:pt>
                </c:numCache>
              </c:numRef>
            </c:minus>
          </c:errBars>
          <c:xVal>
            <c:numRef>
              <c:f>Graphs!$P$14</c:f>
              <c:numCache>
                <c:formatCode>General</c:formatCode>
                <c:ptCount val="1"/>
                <c:pt idx="0">
                  <c:v>57.5</c:v>
                </c:pt>
              </c:numCache>
            </c:numRef>
          </c:xVal>
          <c:yVal>
            <c:numRef>
              <c:f>Graphs!$R$14</c:f>
              <c:numCache>
                <c:formatCode>0.00</c:formatCode>
                <c:ptCount val="1"/>
                <c:pt idx="0">
                  <c:v>59.65760033469946</c:v>
                </c:pt>
              </c:numCache>
            </c:numRef>
          </c:yVal>
          <c:smooth val="0"/>
          <c:extLst>
            <c:ext xmlns:c16="http://schemas.microsoft.com/office/drawing/2014/chart" uri="{C3380CC4-5D6E-409C-BE32-E72D297353CC}">
              <c16:uniqueId val="{0000000A-4B9B-4A47-A895-5C26A9D25C63}"/>
            </c:ext>
          </c:extLst>
        </c:ser>
        <c:ser>
          <c:idx val="12"/>
          <c:order val="11"/>
          <c:tx>
            <c:v>eth gly 100</c:v>
          </c:tx>
          <c:spPr>
            <a:ln w="19050">
              <a:solidFill>
                <a:sysClr val="windowText" lastClr="000000"/>
              </a:solidFill>
            </a:ln>
          </c:spPr>
          <c:marker>
            <c:symbol val="circle"/>
            <c:size val="7"/>
            <c:spPr>
              <a:solidFill>
                <a:srgbClr val="00B05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Graphs!$T$15</c:f>
                <c:numCache>
                  <c:formatCode>General</c:formatCode>
                  <c:ptCount val="1"/>
                  <c:pt idx="0">
                    <c:v>2</c:v>
                  </c:pt>
                </c:numCache>
              </c:numRef>
            </c:plus>
            <c:minus>
              <c:numRef>
                <c:f>Graphs!$T$15</c:f>
                <c:numCache>
                  <c:formatCode>General</c:formatCode>
                  <c:ptCount val="1"/>
                  <c:pt idx="0">
                    <c:v>2</c:v>
                  </c:pt>
                </c:numCache>
              </c:numRef>
            </c:minus>
          </c:errBars>
          <c:xVal>
            <c:numRef>
              <c:f>Graphs!$P$15</c:f>
              <c:numCache>
                <c:formatCode>General</c:formatCode>
                <c:ptCount val="1"/>
                <c:pt idx="0">
                  <c:v>44</c:v>
                </c:pt>
              </c:numCache>
            </c:numRef>
          </c:xVal>
          <c:yVal>
            <c:numRef>
              <c:f>Graphs!$R$15</c:f>
              <c:numCache>
                <c:formatCode>0.00</c:formatCode>
                <c:ptCount val="1"/>
                <c:pt idx="0">
                  <c:v>46.664017427765636</c:v>
                </c:pt>
              </c:numCache>
            </c:numRef>
          </c:yVal>
          <c:smooth val="0"/>
          <c:extLst>
            <c:ext xmlns:c16="http://schemas.microsoft.com/office/drawing/2014/chart" uri="{C3380CC4-5D6E-409C-BE32-E72D297353CC}">
              <c16:uniqueId val="{0000000B-4B9B-4A47-A895-5C26A9D25C63}"/>
            </c:ext>
          </c:extLst>
        </c:ser>
        <c:ser>
          <c:idx val="13"/>
          <c:order val="12"/>
          <c:tx>
            <c:v>water 100</c:v>
          </c:tx>
          <c:spPr>
            <a:ln w="19050">
              <a:solidFill>
                <a:sysClr val="windowText" lastClr="000000"/>
              </a:solidFill>
            </a:ln>
          </c:spPr>
          <c:marker>
            <c:symbol val="circle"/>
            <c:size val="7"/>
            <c:spPr>
              <a:solidFill>
                <a:srgbClr val="00B0F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Graphs!$T$16</c:f>
                <c:numCache>
                  <c:formatCode>General</c:formatCode>
                  <c:ptCount val="1"/>
                  <c:pt idx="0">
                    <c:v>5.8</c:v>
                  </c:pt>
                </c:numCache>
              </c:numRef>
            </c:plus>
            <c:minus>
              <c:numRef>
                <c:f>Graphs!$T$16</c:f>
                <c:numCache>
                  <c:formatCode>General</c:formatCode>
                  <c:ptCount val="1"/>
                  <c:pt idx="0">
                    <c:v>5.8</c:v>
                  </c:pt>
                </c:numCache>
              </c:numRef>
            </c:minus>
          </c:errBars>
          <c:xVal>
            <c:numRef>
              <c:f>Graphs!$P$16</c:f>
              <c:numCache>
                <c:formatCode>General</c:formatCode>
                <c:ptCount val="1"/>
                <c:pt idx="0">
                  <c:v>75</c:v>
                </c:pt>
              </c:numCache>
            </c:numRef>
          </c:xVal>
          <c:yVal>
            <c:numRef>
              <c:f>Graphs!$R$16</c:f>
              <c:numCache>
                <c:formatCode>0.00</c:formatCode>
                <c:ptCount val="1"/>
                <c:pt idx="0">
                  <c:v>66.94131322039955</c:v>
                </c:pt>
              </c:numCache>
            </c:numRef>
          </c:yVal>
          <c:smooth val="0"/>
          <c:extLst>
            <c:ext xmlns:c16="http://schemas.microsoft.com/office/drawing/2014/chart" uri="{C3380CC4-5D6E-409C-BE32-E72D297353CC}">
              <c16:uniqueId val="{0000000C-4B9B-4A47-A895-5C26A9D25C63}"/>
            </c:ext>
          </c:extLst>
        </c:ser>
        <c:ser>
          <c:idx val="3"/>
          <c:order val="13"/>
          <c:tx>
            <c:v>Trendline</c:v>
          </c:tx>
          <c:spPr>
            <a:ln>
              <a:solidFill>
                <a:schemeClr val="accent1">
                  <a:lumMod val="20000"/>
                  <a:lumOff val="80000"/>
                </a:schemeClr>
              </a:solidFill>
            </a:ln>
          </c:spPr>
          <c:marker>
            <c:symbol val="x"/>
            <c:size val="2"/>
            <c:spPr>
              <a:ln>
                <a:solidFill>
                  <a:schemeClr val="accent1">
                    <a:lumMod val="20000"/>
                    <a:lumOff val="80000"/>
                  </a:schemeClr>
                </a:solidFill>
              </a:ln>
            </c:spPr>
          </c:marker>
          <c:xVal>
            <c:numRef>
              <c:f>Graphs!$I$83:$I$84</c:f>
              <c:numCache>
                <c:formatCode>General</c:formatCode>
                <c:ptCount val="2"/>
                <c:pt idx="0">
                  <c:v>16</c:v>
                </c:pt>
                <c:pt idx="1">
                  <c:v>93</c:v>
                </c:pt>
              </c:numCache>
            </c:numRef>
          </c:xVal>
          <c:yVal>
            <c:numRef>
              <c:f>Graphs!$H$83:$H$84</c:f>
              <c:numCache>
                <c:formatCode>General</c:formatCode>
                <c:ptCount val="2"/>
                <c:pt idx="0">
                  <c:v>42.216000000000001</c:v>
                </c:pt>
                <c:pt idx="1">
                  <c:v>75.325999999999993</c:v>
                </c:pt>
              </c:numCache>
            </c:numRef>
          </c:yVal>
          <c:smooth val="0"/>
          <c:extLst>
            <c:ext xmlns:c16="http://schemas.microsoft.com/office/drawing/2014/chart" uri="{C3380CC4-5D6E-409C-BE32-E72D297353CC}">
              <c16:uniqueId val="{0000000D-4B9B-4A47-A895-5C26A9D25C63}"/>
            </c:ext>
          </c:extLst>
        </c:ser>
        <c:dLbls>
          <c:showLegendKey val="0"/>
          <c:showVal val="0"/>
          <c:showCatName val="0"/>
          <c:showSerName val="0"/>
          <c:showPercent val="0"/>
          <c:showBubbleSize val="0"/>
        </c:dLbls>
        <c:axId val="445381488"/>
        <c:axId val="445381880"/>
      </c:scatterChart>
      <c:valAx>
        <c:axId val="445381488"/>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CA</a:t>
                </a:r>
                <a:r>
                  <a:rPr lang="en-US" baseline="0"/>
                  <a:t> Literature (degree)</a:t>
                </a:r>
                <a:endParaRPr lang="en-US"/>
              </a:p>
            </c:rich>
          </c:tx>
          <c:overlay val="0"/>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81880"/>
        <c:crosses val="autoZero"/>
        <c:crossBetween val="midCat"/>
        <c:majorUnit val="10"/>
      </c:valAx>
      <c:valAx>
        <c:axId val="44538188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CA Measured (degree)</a:t>
                </a:r>
              </a:p>
            </c:rich>
          </c:tx>
          <c:overlay val="0"/>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81488"/>
        <c:crosses val="autoZero"/>
        <c:crossBetween val="midCat"/>
      </c:valAx>
    </c:plotArea>
    <c:plotVisOnly val="1"/>
    <c:dispBlanksAs val="gap"/>
    <c:showDLblsOverMax val="0"/>
    <c:extLst/>
  </c:chart>
  <c:txPr>
    <a:bodyPr/>
    <a:lstStyle/>
    <a:p>
      <a:pPr>
        <a:defRPr/>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NT in EtOH-Bacteria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Data!$B$12:$B$15</c:f>
              <c:numCache>
                <c:formatCode>General</c:formatCode>
                <c:ptCount val="4"/>
                <c:pt idx="0">
                  <c:v>0</c:v>
                </c:pt>
                <c:pt idx="1">
                  <c:v>2</c:v>
                </c:pt>
                <c:pt idx="2">
                  <c:v>4</c:v>
                </c:pt>
                <c:pt idx="3">
                  <c:v>6</c:v>
                </c:pt>
              </c:numCache>
            </c:numRef>
          </c:xVal>
          <c:yVal>
            <c:numRef>
              <c:f>Data!$K$12:$K$15</c:f>
              <c:numCache>
                <c:formatCode>General</c:formatCode>
                <c:ptCount val="4"/>
                <c:pt idx="0">
                  <c:v>109471</c:v>
                </c:pt>
                <c:pt idx="1">
                  <c:v>103413</c:v>
                </c:pt>
                <c:pt idx="2">
                  <c:v>97162</c:v>
                </c:pt>
                <c:pt idx="3">
                  <c:v>96587</c:v>
                </c:pt>
              </c:numCache>
            </c:numRef>
          </c:yVal>
          <c:smooth val="1"/>
          <c:extLst>
            <c:ext xmlns:c16="http://schemas.microsoft.com/office/drawing/2014/chart" uri="{C3380CC4-5D6E-409C-BE32-E72D297353CC}">
              <c16:uniqueId val="{00000000-9E26-4B25-B0FD-F588C9B5203C}"/>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Data!$B$12:$B$15</c:f>
              <c:numCache>
                <c:formatCode>General</c:formatCode>
                <c:ptCount val="4"/>
                <c:pt idx="0">
                  <c:v>0</c:v>
                </c:pt>
                <c:pt idx="1">
                  <c:v>2</c:v>
                </c:pt>
                <c:pt idx="2">
                  <c:v>4</c:v>
                </c:pt>
                <c:pt idx="3">
                  <c:v>6</c:v>
                </c:pt>
              </c:numCache>
            </c:numRef>
          </c:xVal>
          <c:yVal>
            <c:numRef>
              <c:f>Data!$L$12:$L$15</c:f>
              <c:numCache>
                <c:formatCode>General</c:formatCode>
                <c:ptCount val="4"/>
                <c:pt idx="0">
                  <c:v>84887</c:v>
                </c:pt>
                <c:pt idx="1">
                  <c:v>79546</c:v>
                </c:pt>
                <c:pt idx="2">
                  <c:v>61449</c:v>
                </c:pt>
                <c:pt idx="3">
                  <c:v>64709</c:v>
                </c:pt>
              </c:numCache>
            </c:numRef>
          </c:yVal>
          <c:smooth val="1"/>
          <c:extLst>
            <c:ext xmlns:c16="http://schemas.microsoft.com/office/drawing/2014/chart" uri="{C3380CC4-5D6E-409C-BE32-E72D297353CC}">
              <c16:uniqueId val="{00000001-9E26-4B25-B0FD-F588C9B5203C}"/>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Data!$B$12:$B$15</c:f>
              <c:numCache>
                <c:formatCode>General</c:formatCode>
                <c:ptCount val="4"/>
                <c:pt idx="0">
                  <c:v>0</c:v>
                </c:pt>
                <c:pt idx="1">
                  <c:v>2</c:v>
                </c:pt>
                <c:pt idx="2">
                  <c:v>4</c:v>
                </c:pt>
                <c:pt idx="3">
                  <c:v>6</c:v>
                </c:pt>
              </c:numCache>
            </c:numRef>
          </c:xVal>
          <c:yVal>
            <c:numRef>
              <c:f>Data!$M$12:$M$15</c:f>
              <c:numCache>
                <c:formatCode>General</c:formatCode>
                <c:ptCount val="4"/>
                <c:pt idx="0">
                  <c:v>137332</c:v>
                </c:pt>
                <c:pt idx="1">
                  <c:v>123402</c:v>
                </c:pt>
                <c:pt idx="2">
                  <c:v>132980</c:v>
                </c:pt>
                <c:pt idx="3">
                  <c:v>125126</c:v>
                </c:pt>
              </c:numCache>
            </c:numRef>
          </c:yVal>
          <c:smooth val="1"/>
          <c:extLst>
            <c:ext xmlns:c16="http://schemas.microsoft.com/office/drawing/2014/chart" uri="{C3380CC4-5D6E-409C-BE32-E72D297353CC}">
              <c16:uniqueId val="{00000002-9E26-4B25-B0FD-F588C9B5203C}"/>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Data!$B$12:$B$15</c:f>
              <c:numCache>
                <c:formatCode>General</c:formatCode>
                <c:ptCount val="4"/>
                <c:pt idx="0">
                  <c:v>0</c:v>
                </c:pt>
                <c:pt idx="1">
                  <c:v>2</c:v>
                </c:pt>
                <c:pt idx="2">
                  <c:v>4</c:v>
                </c:pt>
                <c:pt idx="3">
                  <c:v>6</c:v>
                </c:pt>
              </c:numCache>
            </c:numRef>
          </c:xVal>
          <c:yVal>
            <c:numRef>
              <c:f>Data!$N$12:$N$15</c:f>
              <c:numCache>
                <c:formatCode>General</c:formatCode>
                <c:ptCount val="4"/>
                <c:pt idx="0">
                  <c:v>99081</c:v>
                </c:pt>
                <c:pt idx="1">
                  <c:v>67975</c:v>
                </c:pt>
                <c:pt idx="2">
                  <c:v>63295</c:v>
                </c:pt>
                <c:pt idx="3">
                  <c:v>62197</c:v>
                </c:pt>
              </c:numCache>
            </c:numRef>
          </c:yVal>
          <c:smooth val="1"/>
          <c:extLst>
            <c:ext xmlns:c16="http://schemas.microsoft.com/office/drawing/2014/chart" uri="{C3380CC4-5D6E-409C-BE32-E72D297353CC}">
              <c16:uniqueId val="{00000003-9E26-4B25-B0FD-F588C9B5203C}"/>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Data!$B$12:$B$15</c:f>
              <c:numCache>
                <c:formatCode>General</c:formatCode>
                <c:ptCount val="4"/>
                <c:pt idx="0">
                  <c:v>0</c:v>
                </c:pt>
                <c:pt idx="1">
                  <c:v>2</c:v>
                </c:pt>
                <c:pt idx="2">
                  <c:v>4</c:v>
                </c:pt>
                <c:pt idx="3">
                  <c:v>6</c:v>
                </c:pt>
              </c:numCache>
            </c:numRef>
          </c:xVal>
          <c:yVal>
            <c:numRef>
              <c:f>Data!$O$12:$O$15</c:f>
              <c:numCache>
                <c:formatCode>General</c:formatCode>
                <c:ptCount val="4"/>
                <c:pt idx="0">
                  <c:v>129548</c:v>
                </c:pt>
                <c:pt idx="1">
                  <c:v>116041</c:v>
                </c:pt>
                <c:pt idx="2">
                  <c:v>92471</c:v>
                </c:pt>
                <c:pt idx="3">
                  <c:v>79573</c:v>
                </c:pt>
              </c:numCache>
            </c:numRef>
          </c:yVal>
          <c:smooth val="1"/>
          <c:extLst>
            <c:ext xmlns:c16="http://schemas.microsoft.com/office/drawing/2014/chart" uri="{C3380CC4-5D6E-409C-BE32-E72D297353CC}">
              <c16:uniqueId val="{00000004-9E26-4B25-B0FD-F588C9B5203C}"/>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Data!$B$12:$B$15</c:f>
              <c:numCache>
                <c:formatCode>General</c:formatCode>
                <c:ptCount val="4"/>
                <c:pt idx="0">
                  <c:v>0</c:v>
                </c:pt>
                <c:pt idx="1">
                  <c:v>2</c:v>
                </c:pt>
                <c:pt idx="2">
                  <c:v>4</c:v>
                </c:pt>
                <c:pt idx="3">
                  <c:v>6</c:v>
                </c:pt>
              </c:numCache>
            </c:numRef>
          </c:xVal>
          <c:yVal>
            <c:numRef>
              <c:f>Data!$P$12:$P$15</c:f>
              <c:numCache>
                <c:formatCode>General</c:formatCode>
                <c:ptCount val="4"/>
                <c:pt idx="0">
                  <c:v>119749</c:v>
                </c:pt>
                <c:pt idx="1">
                  <c:v>113111</c:v>
                </c:pt>
                <c:pt idx="2">
                  <c:v>139234</c:v>
                </c:pt>
                <c:pt idx="3">
                  <c:v>123114</c:v>
                </c:pt>
              </c:numCache>
            </c:numRef>
          </c:yVal>
          <c:smooth val="1"/>
          <c:extLst>
            <c:ext xmlns:c16="http://schemas.microsoft.com/office/drawing/2014/chart" uri="{C3380CC4-5D6E-409C-BE32-E72D297353CC}">
              <c16:uniqueId val="{00000005-9E26-4B25-B0FD-F588C9B5203C}"/>
            </c:ext>
          </c:extLst>
        </c:ser>
        <c:dLbls>
          <c:showLegendKey val="0"/>
          <c:showVal val="0"/>
          <c:showCatName val="0"/>
          <c:showSerName val="0"/>
          <c:showPercent val="0"/>
          <c:showBubbleSize val="0"/>
        </c:dLbls>
        <c:axId val="447026256"/>
        <c:axId val="447026648"/>
      </c:scatterChart>
      <c:valAx>
        <c:axId val="447026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026648"/>
        <c:crosses val="autoZero"/>
        <c:crossBetween val="midCat"/>
      </c:valAx>
      <c:valAx>
        <c:axId val="447026648"/>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0262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NG in Water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Data!$B$17:$B$20</c:f>
              <c:numCache>
                <c:formatCode>General</c:formatCode>
                <c:ptCount val="4"/>
                <c:pt idx="0">
                  <c:v>0</c:v>
                </c:pt>
                <c:pt idx="1">
                  <c:v>2</c:v>
                </c:pt>
                <c:pt idx="2">
                  <c:v>4</c:v>
                </c:pt>
                <c:pt idx="3">
                  <c:v>6</c:v>
                </c:pt>
              </c:numCache>
            </c:numRef>
          </c:xVal>
          <c:yVal>
            <c:numRef>
              <c:f>Data!$K$17:$K$20</c:f>
              <c:numCache>
                <c:formatCode>General</c:formatCode>
                <c:ptCount val="4"/>
                <c:pt idx="0">
                  <c:v>94575</c:v>
                </c:pt>
                <c:pt idx="1">
                  <c:v>101815</c:v>
                </c:pt>
                <c:pt idx="2">
                  <c:v>83129</c:v>
                </c:pt>
                <c:pt idx="3">
                  <c:v>79838</c:v>
                </c:pt>
              </c:numCache>
            </c:numRef>
          </c:yVal>
          <c:smooth val="1"/>
          <c:extLst>
            <c:ext xmlns:c16="http://schemas.microsoft.com/office/drawing/2014/chart" uri="{C3380CC4-5D6E-409C-BE32-E72D297353CC}">
              <c16:uniqueId val="{00000000-5A28-4509-8674-1C556A08EE6D}"/>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Data!$B$17:$B$20</c:f>
              <c:numCache>
                <c:formatCode>General</c:formatCode>
                <c:ptCount val="4"/>
                <c:pt idx="0">
                  <c:v>0</c:v>
                </c:pt>
                <c:pt idx="1">
                  <c:v>2</c:v>
                </c:pt>
                <c:pt idx="2">
                  <c:v>4</c:v>
                </c:pt>
                <c:pt idx="3">
                  <c:v>6</c:v>
                </c:pt>
              </c:numCache>
            </c:numRef>
          </c:xVal>
          <c:yVal>
            <c:numRef>
              <c:f>Data!$L$17:$L$20</c:f>
              <c:numCache>
                <c:formatCode>General</c:formatCode>
                <c:ptCount val="4"/>
                <c:pt idx="0">
                  <c:v>175411</c:v>
                </c:pt>
                <c:pt idx="1">
                  <c:v>184344</c:v>
                </c:pt>
                <c:pt idx="2">
                  <c:v>166189</c:v>
                </c:pt>
                <c:pt idx="3">
                  <c:v>146647</c:v>
                </c:pt>
              </c:numCache>
            </c:numRef>
          </c:yVal>
          <c:smooth val="1"/>
          <c:extLst>
            <c:ext xmlns:c16="http://schemas.microsoft.com/office/drawing/2014/chart" uri="{C3380CC4-5D6E-409C-BE32-E72D297353CC}">
              <c16:uniqueId val="{00000001-5A28-4509-8674-1C556A08EE6D}"/>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Data!$B$17:$B$20</c:f>
              <c:numCache>
                <c:formatCode>General</c:formatCode>
                <c:ptCount val="4"/>
                <c:pt idx="0">
                  <c:v>0</c:v>
                </c:pt>
                <c:pt idx="1">
                  <c:v>2</c:v>
                </c:pt>
                <c:pt idx="2">
                  <c:v>4</c:v>
                </c:pt>
                <c:pt idx="3">
                  <c:v>6</c:v>
                </c:pt>
              </c:numCache>
            </c:numRef>
          </c:xVal>
          <c:yVal>
            <c:numRef>
              <c:f>Data!$M$17:$M$20</c:f>
              <c:numCache>
                <c:formatCode>General</c:formatCode>
                <c:ptCount val="4"/>
                <c:pt idx="0">
                  <c:v>147570</c:v>
                </c:pt>
                <c:pt idx="1">
                  <c:v>145196</c:v>
                </c:pt>
                <c:pt idx="2">
                  <c:v>120847</c:v>
                </c:pt>
                <c:pt idx="3">
                  <c:v>116864</c:v>
                </c:pt>
              </c:numCache>
            </c:numRef>
          </c:yVal>
          <c:smooth val="1"/>
          <c:extLst>
            <c:ext xmlns:c16="http://schemas.microsoft.com/office/drawing/2014/chart" uri="{C3380CC4-5D6E-409C-BE32-E72D297353CC}">
              <c16:uniqueId val="{00000002-5A28-4509-8674-1C556A08EE6D}"/>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Data!$B$17:$B$20</c:f>
              <c:numCache>
                <c:formatCode>General</c:formatCode>
                <c:ptCount val="4"/>
                <c:pt idx="0">
                  <c:v>0</c:v>
                </c:pt>
                <c:pt idx="1">
                  <c:v>2</c:v>
                </c:pt>
                <c:pt idx="2">
                  <c:v>4</c:v>
                </c:pt>
                <c:pt idx="3">
                  <c:v>6</c:v>
                </c:pt>
              </c:numCache>
            </c:numRef>
          </c:xVal>
          <c:yVal>
            <c:numRef>
              <c:f>Data!$N$17:$N$20</c:f>
              <c:numCache>
                <c:formatCode>General</c:formatCode>
                <c:ptCount val="4"/>
                <c:pt idx="0">
                  <c:v>177118</c:v>
                </c:pt>
                <c:pt idx="1">
                  <c:v>119850</c:v>
                </c:pt>
                <c:pt idx="2">
                  <c:v>110335</c:v>
                </c:pt>
                <c:pt idx="3">
                  <c:v>96963</c:v>
                </c:pt>
              </c:numCache>
            </c:numRef>
          </c:yVal>
          <c:smooth val="1"/>
          <c:extLst>
            <c:ext xmlns:c16="http://schemas.microsoft.com/office/drawing/2014/chart" uri="{C3380CC4-5D6E-409C-BE32-E72D297353CC}">
              <c16:uniqueId val="{00000003-5A28-4509-8674-1C556A08EE6D}"/>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Data!$B$17:$B$20</c:f>
              <c:numCache>
                <c:formatCode>General</c:formatCode>
                <c:ptCount val="4"/>
                <c:pt idx="0">
                  <c:v>0</c:v>
                </c:pt>
                <c:pt idx="1">
                  <c:v>2</c:v>
                </c:pt>
                <c:pt idx="2">
                  <c:v>4</c:v>
                </c:pt>
                <c:pt idx="3">
                  <c:v>6</c:v>
                </c:pt>
              </c:numCache>
            </c:numRef>
          </c:xVal>
          <c:yVal>
            <c:numRef>
              <c:f>Data!$O$17:$O$20</c:f>
              <c:numCache>
                <c:formatCode>General</c:formatCode>
                <c:ptCount val="4"/>
                <c:pt idx="0">
                  <c:v>156093</c:v>
                </c:pt>
                <c:pt idx="1">
                  <c:v>144485</c:v>
                </c:pt>
                <c:pt idx="2">
                  <c:v>123363</c:v>
                </c:pt>
                <c:pt idx="3">
                  <c:v>120021</c:v>
                </c:pt>
              </c:numCache>
            </c:numRef>
          </c:yVal>
          <c:smooth val="1"/>
          <c:extLst>
            <c:ext xmlns:c16="http://schemas.microsoft.com/office/drawing/2014/chart" uri="{C3380CC4-5D6E-409C-BE32-E72D297353CC}">
              <c16:uniqueId val="{00000004-5A28-4509-8674-1C556A08EE6D}"/>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Data!$B$17:$B$20</c:f>
              <c:numCache>
                <c:formatCode>General</c:formatCode>
                <c:ptCount val="4"/>
                <c:pt idx="0">
                  <c:v>0</c:v>
                </c:pt>
                <c:pt idx="1">
                  <c:v>2</c:v>
                </c:pt>
                <c:pt idx="2">
                  <c:v>4</c:v>
                </c:pt>
                <c:pt idx="3">
                  <c:v>6</c:v>
                </c:pt>
              </c:numCache>
            </c:numRef>
          </c:xVal>
          <c:yVal>
            <c:numRef>
              <c:f>Data!$P$17:$P$20</c:f>
              <c:numCache>
                <c:formatCode>General</c:formatCode>
                <c:ptCount val="4"/>
                <c:pt idx="0">
                  <c:v>271766</c:v>
                </c:pt>
                <c:pt idx="1">
                  <c:v>250688</c:v>
                </c:pt>
                <c:pt idx="2">
                  <c:v>253508</c:v>
                </c:pt>
                <c:pt idx="3">
                  <c:v>232032</c:v>
                </c:pt>
              </c:numCache>
            </c:numRef>
          </c:yVal>
          <c:smooth val="1"/>
          <c:extLst>
            <c:ext xmlns:c16="http://schemas.microsoft.com/office/drawing/2014/chart" uri="{C3380CC4-5D6E-409C-BE32-E72D297353CC}">
              <c16:uniqueId val="{00000005-5A28-4509-8674-1C556A08EE6D}"/>
            </c:ext>
          </c:extLst>
        </c:ser>
        <c:dLbls>
          <c:showLegendKey val="0"/>
          <c:showVal val="0"/>
          <c:showCatName val="0"/>
          <c:showSerName val="0"/>
          <c:showPercent val="0"/>
          <c:showBubbleSize val="0"/>
        </c:dLbls>
        <c:axId val="447027824"/>
        <c:axId val="447028216"/>
      </c:scatterChart>
      <c:valAx>
        <c:axId val="4470278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028216"/>
        <c:crosses val="autoZero"/>
        <c:crossBetween val="midCat"/>
      </c:valAx>
      <c:valAx>
        <c:axId val="447028216"/>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0278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NT in Water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Data!$B$22:$B$25</c:f>
              <c:numCache>
                <c:formatCode>General</c:formatCode>
                <c:ptCount val="4"/>
                <c:pt idx="0">
                  <c:v>0</c:v>
                </c:pt>
                <c:pt idx="1">
                  <c:v>2</c:v>
                </c:pt>
                <c:pt idx="2">
                  <c:v>4</c:v>
                </c:pt>
                <c:pt idx="3">
                  <c:v>6</c:v>
                </c:pt>
              </c:numCache>
            </c:numRef>
          </c:xVal>
          <c:yVal>
            <c:numRef>
              <c:f>Data!$K$22:$K$25</c:f>
              <c:numCache>
                <c:formatCode>General</c:formatCode>
                <c:ptCount val="4"/>
                <c:pt idx="0">
                  <c:v>126853</c:v>
                </c:pt>
                <c:pt idx="1">
                  <c:v>103858</c:v>
                </c:pt>
                <c:pt idx="2">
                  <c:v>87936</c:v>
                </c:pt>
                <c:pt idx="3">
                  <c:v>68444</c:v>
                </c:pt>
              </c:numCache>
            </c:numRef>
          </c:yVal>
          <c:smooth val="1"/>
          <c:extLst>
            <c:ext xmlns:c16="http://schemas.microsoft.com/office/drawing/2014/chart" uri="{C3380CC4-5D6E-409C-BE32-E72D297353CC}">
              <c16:uniqueId val="{00000000-D1C6-4E41-9A42-6C156791D6CD}"/>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Data!$B$22:$B$25</c:f>
              <c:numCache>
                <c:formatCode>General</c:formatCode>
                <c:ptCount val="4"/>
                <c:pt idx="0">
                  <c:v>0</c:v>
                </c:pt>
                <c:pt idx="1">
                  <c:v>2</c:v>
                </c:pt>
                <c:pt idx="2">
                  <c:v>4</c:v>
                </c:pt>
                <c:pt idx="3">
                  <c:v>6</c:v>
                </c:pt>
              </c:numCache>
            </c:numRef>
          </c:xVal>
          <c:yVal>
            <c:numRef>
              <c:f>Data!$L$22:$L$25</c:f>
              <c:numCache>
                <c:formatCode>General</c:formatCode>
                <c:ptCount val="4"/>
                <c:pt idx="0">
                  <c:v>268058</c:v>
                </c:pt>
                <c:pt idx="1">
                  <c:v>180697</c:v>
                </c:pt>
                <c:pt idx="2">
                  <c:v>166573</c:v>
                </c:pt>
                <c:pt idx="3">
                  <c:v>146736</c:v>
                </c:pt>
              </c:numCache>
            </c:numRef>
          </c:yVal>
          <c:smooth val="1"/>
          <c:extLst>
            <c:ext xmlns:c16="http://schemas.microsoft.com/office/drawing/2014/chart" uri="{C3380CC4-5D6E-409C-BE32-E72D297353CC}">
              <c16:uniqueId val="{00000001-D1C6-4E41-9A42-6C156791D6CD}"/>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Data!$B$22:$B$25</c:f>
              <c:numCache>
                <c:formatCode>General</c:formatCode>
                <c:ptCount val="4"/>
                <c:pt idx="0">
                  <c:v>0</c:v>
                </c:pt>
                <c:pt idx="1">
                  <c:v>2</c:v>
                </c:pt>
                <c:pt idx="2">
                  <c:v>4</c:v>
                </c:pt>
                <c:pt idx="3">
                  <c:v>6</c:v>
                </c:pt>
              </c:numCache>
            </c:numRef>
          </c:xVal>
          <c:yVal>
            <c:numRef>
              <c:f>Data!$M$22:$M$25</c:f>
              <c:numCache>
                <c:formatCode>General</c:formatCode>
                <c:ptCount val="4"/>
                <c:pt idx="0">
                  <c:v>187433</c:v>
                </c:pt>
                <c:pt idx="1">
                  <c:v>173888</c:v>
                </c:pt>
                <c:pt idx="2">
                  <c:v>154732</c:v>
                </c:pt>
                <c:pt idx="3">
                  <c:v>142432</c:v>
                </c:pt>
              </c:numCache>
            </c:numRef>
          </c:yVal>
          <c:smooth val="1"/>
          <c:extLst>
            <c:ext xmlns:c16="http://schemas.microsoft.com/office/drawing/2014/chart" uri="{C3380CC4-5D6E-409C-BE32-E72D297353CC}">
              <c16:uniqueId val="{00000002-D1C6-4E41-9A42-6C156791D6CD}"/>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Data!$B$22:$B$25</c:f>
              <c:numCache>
                <c:formatCode>General</c:formatCode>
                <c:ptCount val="4"/>
                <c:pt idx="0">
                  <c:v>0</c:v>
                </c:pt>
                <c:pt idx="1">
                  <c:v>2</c:v>
                </c:pt>
                <c:pt idx="2">
                  <c:v>4</c:v>
                </c:pt>
                <c:pt idx="3">
                  <c:v>6</c:v>
                </c:pt>
              </c:numCache>
            </c:numRef>
          </c:xVal>
          <c:yVal>
            <c:numRef>
              <c:f>Data!$N$22:$N$25</c:f>
              <c:numCache>
                <c:formatCode>General</c:formatCode>
                <c:ptCount val="4"/>
                <c:pt idx="0">
                  <c:v>136007</c:v>
                </c:pt>
                <c:pt idx="1">
                  <c:v>120891</c:v>
                </c:pt>
                <c:pt idx="2">
                  <c:v>123314</c:v>
                </c:pt>
                <c:pt idx="3">
                  <c:v>107015</c:v>
                </c:pt>
              </c:numCache>
            </c:numRef>
          </c:yVal>
          <c:smooth val="1"/>
          <c:extLst>
            <c:ext xmlns:c16="http://schemas.microsoft.com/office/drawing/2014/chart" uri="{C3380CC4-5D6E-409C-BE32-E72D297353CC}">
              <c16:uniqueId val="{00000003-D1C6-4E41-9A42-6C156791D6CD}"/>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Data!$B$22:$B$25</c:f>
              <c:numCache>
                <c:formatCode>General</c:formatCode>
                <c:ptCount val="4"/>
                <c:pt idx="0">
                  <c:v>0</c:v>
                </c:pt>
                <c:pt idx="1">
                  <c:v>2</c:v>
                </c:pt>
                <c:pt idx="2">
                  <c:v>4</c:v>
                </c:pt>
                <c:pt idx="3">
                  <c:v>6</c:v>
                </c:pt>
              </c:numCache>
            </c:numRef>
          </c:xVal>
          <c:yVal>
            <c:numRef>
              <c:f>Data!$O$22:$O$25</c:f>
              <c:numCache>
                <c:formatCode>General</c:formatCode>
                <c:ptCount val="4"/>
                <c:pt idx="0">
                  <c:v>329260</c:v>
                </c:pt>
                <c:pt idx="1">
                  <c:v>268924</c:v>
                </c:pt>
                <c:pt idx="2">
                  <c:v>257446</c:v>
                </c:pt>
                <c:pt idx="3">
                  <c:v>237000</c:v>
                </c:pt>
              </c:numCache>
            </c:numRef>
          </c:yVal>
          <c:smooth val="1"/>
          <c:extLst>
            <c:ext xmlns:c16="http://schemas.microsoft.com/office/drawing/2014/chart" uri="{C3380CC4-5D6E-409C-BE32-E72D297353CC}">
              <c16:uniqueId val="{00000004-D1C6-4E41-9A42-6C156791D6CD}"/>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Data!$B$22:$B$25</c:f>
              <c:numCache>
                <c:formatCode>General</c:formatCode>
                <c:ptCount val="4"/>
                <c:pt idx="0">
                  <c:v>0</c:v>
                </c:pt>
                <c:pt idx="1">
                  <c:v>2</c:v>
                </c:pt>
                <c:pt idx="2">
                  <c:v>4</c:v>
                </c:pt>
                <c:pt idx="3">
                  <c:v>6</c:v>
                </c:pt>
              </c:numCache>
            </c:numRef>
          </c:xVal>
          <c:yVal>
            <c:numRef>
              <c:f>Data!$P$22:$P$25</c:f>
              <c:numCache>
                <c:formatCode>General</c:formatCode>
                <c:ptCount val="4"/>
                <c:pt idx="0">
                  <c:v>115045</c:v>
                </c:pt>
                <c:pt idx="1">
                  <c:v>119592</c:v>
                </c:pt>
                <c:pt idx="2">
                  <c:v>102829</c:v>
                </c:pt>
                <c:pt idx="3">
                  <c:v>110423</c:v>
                </c:pt>
              </c:numCache>
            </c:numRef>
          </c:yVal>
          <c:smooth val="1"/>
          <c:extLst>
            <c:ext xmlns:c16="http://schemas.microsoft.com/office/drawing/2014/chart" uri="{C3380CC4-5D6E-409C-BE32-E72D297353CC}">
              <c16:uniqueId val="{00000005-D1C6-4E41-9A42-6C156791D6CD}"/>
            </c:ext>
          </c:extLst>
        </c:ser>
        <c:dLbls>
          <c:showLegendKey val="0"/>
          <c:showVal val="0"/>
          <c:showCatName val="0"/>
          <c:showSerName val="0"/>
          <c:showPercent val="0"/>
          <c:showBubbleSize val="0"/>
        </c:dLbls>
        <c:axId val="509292872"/>
        <c:axId val="509293264"/>
      </c:scatterChart>
      <c:valAx>
        <c:axId val="5092928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293264"/>
        <c:crosses val="autoZero"/>
        <c:crossBetween val="midCat"/>
      </c:valAx>
      <c:valAx>
        <c:axId val="509293264"/>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2928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NG in EtOH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Data!$B$27:$B$30</c:f>
              <c:numCache>
                <c:formatCode>General</c:formatCode>
                <c:ptCount val="4"/>
                <c:pt idx="0">
                  <c:v>0</c:v>
                </c:pt>
                <c:pt idx="1">
                  <c:v>2</c:v>
                </c:pt>
                <c:pt idx="2">
                  <c:v>4</c:v>
                </c:pt>
                <c:pt idx="3">
                  <c:v>6</c:v>
                </c:pt>
              </c:numCache>
            </c:numRef>
          </c:xVal>
          <c:yVal>
            <c:numRef>
              <c:f>Data!$K$27:$K$30</c:f>
              <c:numCache>
                <c:formatCode>General</c:formatCode>
                <c:ptCount val="4"/>
                <c:pt idx="0">
                  <c:v>94904</c:v>
                </c:pt>
                <c:pt idx="1">
                  <c:v>75228</c:v>
                </c:pt>
                <c:pt idx="2">
                  <c:v>68885</c:v>
                </c:pt>
                <c:pt idx="3">
                  <c:v>53194</c:v>
                </c:pt>
              </c:numCache>
            </c:numRef>
          </c:yVal>
          <c:smooth val="1"/>
          <c:extLst>
            <c:ext xmlns:c16="http://schemas.microsoft.com/office/drawing/2014/chart" uri="{C3380CC4-5D6E-409C-BE32-E72D297353CC}">
              <c16:uniqueId val="{00000000-0C55-4243-9498-32E9CF8D9BBB}"/>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Data!$B$27:$B$30</c:f>
              <c:numCache>
                <c:formatCode>General</c:formatCode>
                <c:ptCount val="4"/>
                <c:pt idx="0">
                  <c:v>0</c:v>
                </c:pt>
                <c:pt idx="1">
                  <c:v>2</c:v>
                </c:pt>
                <c:pt idx="2">
                  <c:v>4</c:v>
                </c:pt>
                <c:pt idx="3">
                  <c:v>6</c:v>
                </c:pt>
              </c:numCache>
            </c:numRef>
          </c:xVal>
          <c:yVal>
            <c:numRef>
              <c:f>Data!$L$27:$L$30</c:f>
              <c:numCache>
                <c:formatCode>General</c:formatCode>
                <c:ptCount val="4"/>
                <c:pt idx="0">
                  <c:v>154099</c:v>
                </c:pt>
                <c:pt idx="1">
                  <c:v>142685</c:v>
                </c:pt>
                <c:pt idx="2">
                  <c:v>130454</c:v>
                </c:pt>
                <c:pt idx="3">
                  <c:v>119504</c:v>
                </c:pt>
              </c:numCache>
            </c:numRef>
          </c:yVal>
          <c:smooth val="1"/>
          <c:extLst>
            <c:ext xmlns:c16="http://schemas.microsoft.com/office/drawing/2014/chart" uri="{C3380CC4-5D6E-409C-BE32-E72D297353CC}">
              <c16:uniqueId val="{00000001-0C55-4243-9498-32E9CF8D9BBB}"/>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Data!$B$27:$B$30</c:f>
              <c:numCache>
                <c:formatCode>General</c:formatCode>
                <c:ptCount val="4"/>
                <c:pt idx="0">
                  <c:v>0</c:v>
                </c:pt>
                <c:pt idx="1">
                  <c:v>2</c:v>
                </c:pt>
                <c:pt idx="2">
                  <c:v>4</c:v>
                </c:pt>
                <c:pt idx="3">
                  <c:v>6</c:v>
                </c:pt>
              </c:numCache>
            </c:numRef>
          </c:xVal>
          <c:yVal>
            <c:numRef>
              <c:f>Data!$M$27:$M$30</c:f>
              <c:numCache>
                <c:formatCode>General</c:formatCode>
                <c:ptCount val="4"/>
                <c:pt idx="0">
                  <c:v>238825</c:v>
                </c:pt>
                <c:pt idx="1">
                  <c:v>213761</c:v>
                </c:pt>
                <c:pt idx="2">
                  <c:v>217528</c:v>
                </c:pt>
                <c:pt idx="3">
                  <c:v>191885</c:v>
                </c:pt>
              </c:numCache>
            </c:numRef>
          </c:yVal>
          <c:smooth val="1"/>
          <c:extLst>
            <c:ext xmlns:c16="http://schemas.microsoft.com/office/drawing/2014/chart" uri="{C3380CC4-5D6E-409C-BE32-E72D297353CC}">
              <c16:uniqueId val="{00000002-0C55-4243-9498-32E9CF8D9BBB}"/>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Data!$B$27:$B$30</c:f>
              <c:numCache>
                <c:formatCode>General</c:formatCode>
                <c:ptCount val="4"/>
                <c:pt idx="0">
                  <c:v>0</c:v>
                </c:pt>
                <c:pt idx="1">
                  <c:v>2</c:v>
                </c:pt>
                <c:pt idx="2">
                  <c:v>4</c:v>
                </c:pt>
                <c:pt idx="3">
                  <c:v>6</c:v>
                </c:pt>
              </c:numCache>
            </c:numRef>
          </c:xVal>
          <c:yVal>
            <c:numRef>
              <c:f>Data!$N$27:$N$30</c:f>
              <c:numCache>
                <c:formatCode>General</c:formatCode>
                <c:ptCount val="4"/>
                <c:pt idx="0">
                  <c:v>116144</c:v>
                </c:pt>
                <c:pt idx="1">
                  <c:v>115851</c:v>
                </c:pt>
                <c:pt idx="2">
                  <c:v>125614</c:v>
                </c:pt>
                <c:pt idx="3">
                  <c:v>150578</c:v>
                </c:pt>
              </c:numCache>
            </c:numRef>
          </c:yVal>
          <c:smooth val="1"/>
          <c:extLst>
            <c:ext xmlns:c16="http://schemas.microsoft.com/office/drawing/2014/chart" uri="{C3380CC4-5D6E-409C-BE32-E72D297353CC}">
              <c16:uniqueId val="{00000003-0C55-4243-9498-32E9CF8D9BBB}"/>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Data!$B$27:$B$30</c:f>
              <c:numCache>
                <c:formatCode>General</c:formatCode>
                <c:ptCount val="4"/>
                <c:pt idx="0">
                  <c:v>0</c:v>
                </c:pt>
                <c:pt idx="1">
                  <c:v>2</c:v>
                </c:pt>
                <c:pt idx="2">
                  <c:v>4</c:v>
                </c:pt>
                <c:pt idx="3">
                  <c:v>6</c:v>
                </c:pt>
              </c:numCache>
            </c:numRef>
          </c:xVal>
          <c:yVal>
            <c:numRef>
              <c:f>Data!$O$27:$O$30</c:f>
              <c:numCache>
                <c:formatCode>General</c:formatCode>
                <c:ptCount val="4"/>
                <c:pt idx="0">
                  <c:v>181299</c:v>
                </c:pt>
                <c:pt idx="1">
                  <c:v>161115</c:v>
                </c:pt>
                <c:pt idx="2">
                  <c:v>155559</c:v>
                </c:pt>
                <c:pt idx="3">
                  <c:v>131996</c:v>
                </c:pt>
              </c:numCache>
            </c:numRef>
          </c:yVal>
          <c:smooth val="1"/>
          <c:extLst>
            <c:ext xmlns:c16="http://schemas.microsoft.com/office/drawing/2014/chart" uri="{C3380CC4-5D6E-409C-BE32-E72D297353CC}">
              <c16:uniqueId val="{00000004-0C55-4243-9498-32E9CF8D9BBB}"/>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Data!$B$27:$B$30</c:f>
              <c:numCache>
                <c:formatCode>General</c:formatCode>
                <c:ptCount val="4"/>
                <c:pt idx="0">
                  <c:v>0</c:v>
                </c:pt>
                <c:pt idx="1">
                  <c:v>2</c:v>
                </c:pt>
                <c:pt idx="2">
                  <c:v>4</c:v>
                </c:pt>
                <c:pt idx="3">
                  <c:v>6</c:v>
                </c:pt>
              </c:numCache>
            </c:numRef>
          </c:xVal>
          <c:yVal>
            <c:numRef>
              <c:f>Data!$P$27:$P$30</c:f>
              <c:numCache>
                <c:formatCode>General</c:formatCode>
                <c:ptCount val="4"/>
                <c:pt idx="0">
                  <c:v>71813</c:v>
                </c:pt>
                <c:pt idx="1">
                  <c:v>67131</c:v>
                </c:pt>
                <c:pt idx="2">
                  <c:v>73965</c:v>
                </c:pt>
                <c:pt idx="3">
                  <c:v>64495</c:v>
                </c:pt>
              </c:numCache>
            </c:numRef>
          </c:yVal>
          <c:smooth val="1"/>
          <c:extLst>
            <c:ext xmlns:c16="http://schemas.microsoft.com/office/drawing/2014/chart" uri="{C3380CC4-5D6E-409C-BE32-E72D297353CC}">
              <c16:uniqueId val="{00000005-0C55-4243-9498-32E9CF8D9BBB}"/>
            </c:ext>
          </c:extLst>
        </c:ser>
        <c:dLbls>
          <c:showLegendKey val="0"/>
          <c:showVal val="0"/>
          <c:showCatName val="0"/>
          <c:showSerName val="0"/>
          <c:showPercent val="0"/>
          <c:showBubbleSize val="0"/>
        </c:dLbls>
        <c:axId val="509294440"/>
        <c:axId val="509294832"/>
      </c:scatterChart>
      <c:valAx>
        <c:axId val="509294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294832"/>
        <c:crosses val="autoZero"/>
        <c:crossBetween val="midCat"/>
      </c:valAx>
      <c:valAx>
        <c:axId val="509294832"/>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2944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NT in EtOH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Data!$B$32:$B$35</c:f>
              <c:numCache>
                <c:formatCode>General</c:formatCode>
                <c:ptCount val="4"/>
                <c:pt idx="0">
                  <c:v>0</c:v>
                </c:pt>
                <c:pt idx="1">
                  <c:v>2</c:v>
                </c:pt>
                <c:pt idx="2">
                  <c:v>4</c:v>
                </c:pt>
                <c:pt idx="3">
                  <c:v>6</c:v>
                </c:pt>
              </c:numCache>
            </c:numRef>
          </c:xVal>
          <c:yVal>
            <c:numRef>
              <c:f>Data!$K$32:$K$35</c:f>
              <c:numCache>
                <c:formatCode>General</c:formatCode>
                <c:ptCount val="4"/>
                <c:pt idx="0">
                  <c:v>237525</c:v>
                </c:pt>
                <c:pt idx="1">
                  <c:v>291363</c:v>
                </c:pt>
                <c:pt idx="2">
                  <c:v>304275</c:v>
                </c:pt>
                <c:pt idx="3">
                  <c:v>274382</c:v>
                </c:pt>
              </c:numCache>
            </c:numRef>
          </c:yVal>
          <c:smooth val="1"/>
          <c:extLst>
            <c:ext xmlns:c16="http://schemas.microsoft.com/office/drawing/2014/chart" uri="{C3380CC4-5D6E-409C-BE32-E72D297353CC}">
              <c16:uniqueId val="{00000000-90E7-43B9-84D8-D30737067342}"/>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Data!$B$32:$B$35</c:f>
              <c:numCache>
                <c:formatCode>General</c:formatCode>
                <c:ptCount val="4"/>
                <c:pt idx="0">
                  <c:v>0</c:v>
                </c:pt>
                <c:pt idx="1">
                  <c:v>2</c:v>
                </c:pt>
                <c:pt idx="2">
                  <c:v>4</c:v>
                </c:pt>
                <c:pt idx="3">
                  <c:v>6</c:v>
                </c:pt>
              </c:numCache>
            </c:numRef>
          </c:xVal>
          <c:yVal>
            <c:numRef>
              <c:f>Data!$L$32:$L$35</c:f>
              <c:numCache>
                <c:formatCode>General</c:formatCode>
                <c:ptCount val="4"/>
                <c:pt idx="0">
                  <c:v>117219</c:v>
                </c:pt>
                <c:pt idx="1">
                  <c:v>107428</c:v>
                </c:pt>
                <c:pt idx="2">
                  <c:v>98203</c:v>
                </c:pt>
                <c:pt idx="3">
                  <c:v>152246</c:v>
                </c:pt>
              </c:numCache>
            </c:numRef>
          </c:yVal>
          <c:smooth val="1"/>
          <c:extLst>
            <c:ext xmlns:c16="http://schemas.microsoft.com/office/drawing/2014/chart" uri="{C3380CC4-5D6E-409C-BE32-E72D297353CC}">
              <c16:uniqueId val="{00000001-90E7-43B9-84D8-D30737067342}"/>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Data!$B$32:$B$35</c:f>
              <c:numCache>
                <c:formatCode>General</c:formatCode>
                <c:ptCount val="4"/>
                <c:pt idx="0">
                  <c:v>0</c:v>
                </c:pt>
                <c:pt idx="1">
                  <c:v>2</c:v>
                </c:pt>
                <c:pt idx="2">
                  <c:v>4</c:v>
                </c:pt>
                <c:pt idx="3">
                  <c:v>6</c:v>
                </c:pt>
              </c:numCache>
            </c:numRef>
          </c:xVal>
          <c:yVal>
            <c:numRef>
              <c:f>Data!$M$32:$M$35</c:f>
              <c:numCache>
                <c:formatCode>General</c:formatCode>
                <c:ptCount val="4"/>
                <c:pt idx="0">
                  <c:v>123514</c:v>
                </c:pt>
                <c:pt idx="1">
                  <c:v>121073</c:v>
                </c:pt>
                <c:pt idx="2">
                  <c:v>103770</c:v>
                </c:pt>
                <c:pt idx="3">
                  <c:v>110301</c:v>
                </c:pt>
              </c:numCache>
            </c:numRef>
          </c:yVal>
          <c:smooth val="1"/>
          <c:extLst>
            <c:ext xmlns:c16="http://schemas.microsoft.com/office/drawing/2014/chart" uri="{C3380CC4-5D6E-409C-BE32-E72D297353CC}">
              <c16:uniqueId val="{00000002-90E7-43B9-84D8-D30737067342}"/>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Data!$B$32:$B$35</c:f>
              <c:numCache>
                <c:formatCode>General</c:formatCode>
                <c:ptCount val="4"/>
                <c:pt idx="0">
                  <c:v>0</c:v>
                </c:pt>
                <c:pt idx="1">
                  <c:v>2</c:v>
                </c:pt>
                <c:pt idx="2">
                  <c:v>4</c:v>
                </c:pt>
                <c:pt idx="3">
                  <c:v>6</c:v>
                </c:pt>
              </c:numCache>
            </c:numRef>
          </c:xVal>
          <c:yVal>
            <c:numRef>
              <c:f>Data!$N$32:$N$35</c:f>
              <c:numCache>
                <c:formatCode>General</c:formatCode>
                <c:ptCount val="4"/>
                <c:pt idx="0">
                  <c:v>360228</c:v>
                </c:pt>
                <c:pt idx="1">
                  <c:v>181317</c:v>
                </c:pt>
                <c:pt idx="2">
                  <c:v>135399</c:v>
                </c:pt>
                <c:pt idx="3">
                  <c:v>127136</c:v>
                </c:pt>
              </c:numCache>
            </c:numRef>
          </c:yVal>
          <c:smooth val="1"/>
          <c:extLst>
            <c:ext xmlns:c16="http://schemas.microsoft.com/office/drawing/2014/chart" uri="{C3380CC4-5D6E-409C-BE32-E72D297353CC}">
              <c16:uniqueId val="{00000003-90E7-43B9-84D8-D30737067342}"/>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Data!$B$32:$B$35</c:f>
              <c:numCache>
                <c:formatCode>General</c:formatCode>
                <c:ptCount val="4"/>
                <c:pt idx="0">
                  <c:v>0</c:v>
                </c:pt>
                <c:pt idx="1">
                  <c:v>2</c:v>
                </c:pt>
                <c:pt idx="2">
                  <c:v>4</c:v>
                </c:pt>
                <c:pt idx="3">
                  <c:v>6</c:v>
                </c:pt>
              </c:numCache>
            </c:numRef>
          </c:xVal>
          <c:yVal>
            <c:numRef>
              <c:f>Data!$O$32:$O$35</c:f>
              <c:numCache>
                <c:formatCode>General</c:formatCode>
                <c:ptCount val="4"/>
                <c:pt idx="0">
                  <c:v>257851</c:v>
                </c:pt>
                <c:pt idx="1">
                  <c:v>157011</c:v>
                </c:pt>
                <c:pt idx="2">
                  <c:v>123208</c:v>
                </c:pt>
                <c:pt idx="3">
                  <c:v>136587</c:v>
                </c:pt>
              </c:numCache>
            </c:numRef>
          </c:yVal>
          <c:smooth val="1"/>
          <c:extLst>
            <c:ext xmlns:c16="http://schemas.microsoft.com/office/drawing/2014/chart" uri="{C3380CC4-5D6E-409C-BE32-E72D297353CC}">
              <c16:uniqueId val="{00000004-90E7-43B9-84D8-D30737067342}"/>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Data!$B$32:$B$35</c:f>
              <c:numCache>
                <c:formatCode>General</c:formatCode>
                <c:ptCount val="4"/>
                <c:pt idx="0">
                  <c:v>0</c:v>
                </c:pt>
                <c:pt idx="1">
                  <c:v>2</c:v>
                </c:pt>
                <c:pt idx="2">
                  <c:v>4</c:v>
                </c:pt>
                <c:pt idx="3">
                  <c:v>6</c:v>
                </c:pt>
              </c:numCache>
            </c:numRef>
          </c:xVal>
          <c:yVal>
            <c:numRef>
              <c:f>Data!$P$32:$P$35</c:f>
              <c:numCache>
                <c:formatCode>General</c:formatCode>
                <c:ptCount val="4"/>
                <c:pt idx="0">
                  <c:v>60553</c:v>
                </c:pt>
                <c:pt idx="1">
                  <c:v>55354</c:v>
                </c:pt>
                <c:pt idx="2">
                  <c:v>54533</c:v>
                </c:pt>
                <c:pt idx="3">
                  <c:v>45730</c:v>
                </c:pt>
              </c:numCache>
            </c:numRef>
          </c:yVal>
          <c:smooth val="1"/>
          <c:extLst>
            <c:ext xmlns:c16="http://schemas.microsoft.com/office/drawing/2014/chart" uri="{C3380CC4-5D6E-409C-BE32-E72D297353CC}">
              <c16:uniqueId val="{00000005-90E7-43B9-84D8-D30737067342}"/>
            </c:ext>
          </c:extLst>
        </c:ser>
        <c:dLbls>
          <c:showLegendKey val="0"/>
          <c:showVal val="0"/>
          <c:showCatName val="0"/>
          <c:showSerName val="0"/>
          <c:showPercent val="0"/>
          <c:showBubbleSize val="0"/>
        </c:dLbls>
        <c:axId val="509296008"/>
        <c:axId val="445335640"/>
      </c:scatterChart>
      <c:valAx>
        <c:axId val="509296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35640"/>
        <c:crosses val="autoZero"/>
        <c:crossBetween val="midCat"/>
      </c:valAx>
      <c:valAx>
        <c:axId val="445335640"/>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2960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Data!$B$37:$B$40</c:f>
              <c:numCache>
                <c:formatCode>General</c:formatCode>
                <c:ptCount val="4"/>
                <c:pt idx="0">
                  <c:v>0</c:v>
                </c:pt>
                <c:pt idx="1">
                  <c:v>2</c:v>
                </c:pt>
                <c:pt idx="2">
                  <c:v>4</c:v>
                </c:pt>
                <c:pt idx="3">
                  <c:v>6</c:v>
                </c:pt>
              </c:numCache>
            </c:numRef>
          </c:xVal>
          <c:yVal>
            <c:numRef>
              <c:f>Data!$K$37:$K$40</c:f>
              <c:numCache>
                <c:formatCode>General</c:formatCode>
                <c:ptCount val="4"/>
                <c:pt idx="0">
                  <c:v>160136</c:v>
                </c:pt>
                <c:pt idx="1">
                  <c:v>138994</c:v>
                </c:pt>
                <c:pt idx="2">
                  <c:v>125882</c:v>
                </c:pt>
                <c:pt idx="3">
                  <c:v>118212</c:v>
                </c:pt>
              </c:numCache>
            </c:numRef>
          </c:yVal>
          <c:smooth val="1"/>
          <c:extLst>
            <c:ext xmlns:c16="http://schemas.microsoft.com/office/drawing/2014/chart" uri="{C3380CC4-5D6E-409C-BE32-E72D297353CC}">
              <c16:uniqueId val="{00000000-AF72-4414-A97B-94D85337F318}"/>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Data!$B$37:$B$40</c:f>
              <c:numCache>
                <c:formatCode>General</c:formatCode>
                <c:ptCount val="4"/>
                <c:pt idx="0">
                  <c:v>0</c:v>
                </c:pt>
                <c:pt idx="1">
                  <c:v>2</c:v>
                </c:pt>
                <c:pt idx="2">
                  <c:v>4</c:v>
                </c:pt>
                <c:pt idx="3">
                  <c:v>6</c:v>
                </c:pt>
              </c:numCache>
            </c:numRef>
          </c:xVal>
          <c:yVal>
            <c:numRef>
              <c:f>Data!$L$37:$L$40</c:f>
              <c:numCache>
                <c:formatCode>General</c:formatCode>
                <c:ptCount val="4"/>
                <c:pt idx="0">
                  <c:v>134450</c:v>
                </c:pt>
                <c:pt idx="1">
                  <c:v>126099</c:v>
                </c:pt>
                <c:pt idx="2">
                  <c:v>125435</c:v>
                </c:pt>
                <c:pt idx="3">
                  <c:v>114206</c:v>
                </c:pt>
              </c:numCache>
            </c:numRef>
          </c:yVal>
          <c:smooth val="1"/>
          <c:extLst>
            <c:ext xmlns:c16="http://schemas.microsoft.com/office/drawing/2014/chart" uri="{C3380CC4-5D6E-409C-BE32-E72D297353CC}">
              <c16:uniqueId val="{00000001-AF72-4414-A97B-94D85337F318}"/>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Data!$B$37:$B$40</c:f>
              <c:numCache>
                <c:formatCode>General</c:formatCode>
                <c:ptCount val="4"/>
                <c:pt idx="0">
                  <c:v>0</c:v>
                </c:pt>
                <c:pt idx="1">
                  <c:v>2</c:v>
                </c:pt>
                <c:pt idx="2">
                  <c:v>4</c:v>
                </c:pt>
                <c:pt idx="3">
                  <c:v>6</c:v>
                </c:pt>
              </c:numCache>
            </c:numRef>
          </c:xVal>
          <c:yVal>
            <c:numRef>
              <c:f>Data!$M$37:$M$40</c:f>
              <c:numCache>
                <c:formatCode>General</c:formatCode>
                <c:ptCount val="4"/>
                <c:pt idx="0">
                  <c:v>105619</c:v>
                </c:pt>
                <c:pt idx="1">
                  <c:v>87640</c:v>
                </c:pt>
                <c:pt idx="2">
                  <c:v>83546</c:v>
                </c:pt>
                <c:pt idx="3">
                  <c:v>78274</c:v>
                </c:pt>
              </c:numCache>
            </c:numRef>
          </c:yVal>
          <c:smooth val="1"/>
          <c:extLst>
            <c:ext xmlns:c16="http://schemas.microsoft.com/office/drawing/2014/chart" uri="{C3380CC4-5D6E-409C-BE32-E72D297353CC}">
              <c16:uniqueId val="{00000002-AF72-4414-A97B-94D85337F318}"/>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Data!$B$37:$B$40</c:f>
              <c:numCache>
                <c:formatCode>General</c:formatCode>
                <c:ptCount val="4"/>
                <c:pt idx="0">
                  <c:v>0</c:v>
                </c:pt>
                <c:pt idx="1">
                  <c:v>2</c:v>
                </c:pt>
                <c:pt idx="2">
                  <c:v>4</c:v>
                </c:pt>
                <c:pt idx="3">
                  <c:v>6</c:v>
                </c:pt>
              </c:numCache>
            </c:numRef>
          </c:xVal>
          <c:yVal>
            <c:numRef>
              <c:f>Data!$N$37:$N$40</c:f>
              <c:numCache>
                <c:formatCode>General</c:formatCode>
                <c:ptCount val="4"/>
                <c:pt idx="0">
                  <c:v>96614</c:v>
                </c:pt>
                <c:pt idx="1">
                  <c:v>94096</c:v>
                </c:pt>
                <c:pt idx="2">
                  <c:v>85364</c:v>
                </c:pt>
                <c:pt idx="3">
                  <c:v>85354</c:v>
                </c:pt>
              </c:numCache>
            </c:numRef>
          </c:yVal>
          <c:smooth val="1"/>
          <c:extLst>
            <c:ext xmlns:c16="http://schemas.microsoft.com/office/drawing/2014/chart" uri="{C3380CC4-5D6E-409C-BE32-E72D297353CC}">
              <c16:uniqueId val="{00000003-AF72-4414-A97B-94D85337F318}"/>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Data!$B$37:$B$40</c:f>
              <c:numCache>
                <c:formatCode>General</c:formatCode>
                <c:ptCount val="4"/>
                <c:pt idx="0">
                  <c:v>0</c:v>
                </c:pt>
                <c:pt idx="1">
                  <c:v>2</c:v>
                </c:pt>
                <c:pt idx="2">
                  <c:v>4</c:v>
                </c:pt>
                <c:pt idx="3">
                  <c:v>6</c:v>
                </c:pt>
              </c:numCache>
            </c:numRef>
          </c:xVal>
          <c:yVal>
            <c:numRef>
              <c:f>Data!$O$37:$O$40</c:f>
              <c:numCache>
                <c:formatCode>General</c:formatCode>
                <c:ptCount val="4"/>
                <c:pt idx="0">
                  <c:v>143257</c:v>
                </c:pt>
                <c:pt idx="1">
                  <c:v>139957</c:v>
                </c:pt>
                <c:pt idx="2">
                  <c:v>122555</c:v>
                </c:pt>
                <c:pt idx="3">
                  <c:v>130469</c:v>
                </c:pt>
              </c:numCache>
            </c:numRef>
          </c:yVal>
          <c:smooth val="1"/>
          <c:extLst>
            <c:ext xmlns:c16="http://schemas.microsoft.com/office/drawing/2014/chart" uri="{C3380CC4-5D6E-409C-BE32-E72D297353CC}">
              <c16:uniqueId val="{00000004-AF72-4414-A97B-94D85337F318}"/>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Data!$B$37:$B$40</c:f>
              <c:numCache>
                <c:formatCode>General</c:formatCode>
                <c:ptCount val="4"/>
                <c:pt idx="0">
                  <c:v>0</c:v>
                </c:pt>
                <c:pt idx="1">
                  <c:v>2</c:v>
                </c:pt>
                <c:pt idx="2">
                  <c:v>4</c:v>
                </c:pt>
                <c:pt idx="3">
                  <c:v>6</c:v>
                </c:pt>
              </c:numCache>
            </c:numRef>
          </c:xVal>
          <c:yVal>
            <c:numRef>
              <c:f>Data!$P$37:$P$40</c:f>
              <c:numCache>
                <c:formatCode>General</c:formatCode>
                <c:ptCount val="4"/>
                <c:pt idx="0">
                  <c:v>90410</c:v>
                </c:pt>
                <c:pt idx="1">
                  <c:v>81540</c:v>
                </c:pt>
                <c:pt idx="2">
                  <c:v>70595</c:v>
                </c:pt>
                <c:pt idx="3">
                  <c:v>79725</c:v>
                </c:pt>
              </c:numCache>
            </c:numRef>
          </c:yVal>
          <c:smooth val="1"/>
          <c:extLst>
            <c:ext xmlns:c16="http://schemas.microsoft.com/office/drawing/2014/chart" uri="{C3380CC4-5D6E-409C-BE32-E72D297353CC}">
              <c16:uniqueId val="{00000005-AF72-4414-A97B-94D85337F318}"/>
            </c:ext>
          </c:extLst>
        </c:ser>
        <c:dLbls>
          <c:showLegendKey val="0"/>
          <c:showVal val="0"/>
          <c:showCatName val="0"/>
          <c:showSerName val="0"/>
          <c:showPercent val="0"/>
          <c:showBubbleSize val="0"/>
        </c:dLbls>
        <c:axId val="445336424"/>
        <c:axId val="445336816"/>
      </c:scatterChart>
      <c:valAx>
        <c:axId val="445336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36816"/>
        <c:crosses val="autoZero"/>
        <c:crossBetween val="midCat"/>
      </c:valAx>
      <c:valAx>
        <c:axId val="445336816"/>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364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Optibond-Bacteria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Data!$B$42:$B$45</c:f>
              <c:numCache>
                <c:formatCode>General</c:formatCode>
                <c:ptCount val="4"/>
                <c:pt idx="0">
                  <c:v>0</c:v>
                </c:pt>
                <c:pt idx="1">
                  <c:v>2</c:v>
                </c:pt>
                <c:pt idx="2">
                  <c:v>4</c:v>
                </c:pt>
                <c:pt idx="3">
                  <c:v>6</c:v>
                </c:pt>
              </c:numCache>
            </c:numRef>
          </c:xVal>
          <c:yVal>
            <c:numRef>
              <c:f>Data!$K$42:$K$45</c:f>
              <c:numCache>
                <c:formatCode>General</c:formatCode>
                <c:ptCount val="4"/>
                <c:pt idx="0">
                  <c:v>133053</c:v>
                </c:pt>
                <c:pt idx="1">
                  <c:v>109736</c:v>
                </c:pt>
                <c:pt idx="2">
                  <c:v>88377</c:v>
                </c:pt>
                <c:pt idx="3">
                  <c:v>66335</c:v>
                </c:pt>
              </c:numCache>
            </c:numRef>
          </c:yVal>
          <c:smooth val="1"/>
          <c:extLst>
            <c:ext xmlns:c16="http://schemas.microsoft.com/office/drawing/2014/chart" uri="{C3380CC4-5D6E-409C-BE32-E72D297353CC}">
              <c16:uniqueId val="{00000000-E1B9-4B3B-A4BC-4E02E12C9263}"/>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Data!$B$42:$B$45</c:f>
              <c:numCache>
                <c:formatCode>General</c:formatCode>
                <c:ptCount val="4"/>
                <c:pt idx="0">
                  <c:v>0</c:v>
                </c:pt>
                <c:pt idx="1">
                  <c:v>2</c:v>
                </c:pt>
                <c:pt idx="2">
                  <c:v>4</c:v>
                </c:pt>
                <c:pt idx="3">
                  <c:v>6</c:v>
                </c:pt>
              </c:numCache>
            </c:numRef>
          </c:xVal>
          <c:yVal>
            <c:numRef>
              <c:f>Data!$L$42:$L$45</c:f>
              <c:numCache>
                <c:formatCode>General</c:formatCode>
                <c:ptCount val="4"/>
                <c:pt idx="0">
                  <c:v>77362</c:v>
                </c:pt>
                <c:pt idx="1">
                  <c:v>77547</c:v>
                </c:pt>
                <c:pt idx="2">
                  <c:v>60942</c:v>
                </c:pt>
                <c:pt idx="3">
                  <c:v>54421</c:v>
                </c:pt>
              </c:numCache>
            </c:numRef>
          </c:yVal>
          <c:smooth val="1"/>
          <c:extLst>
            <c:ext xmlns:c16="http://schemas.microsoft.com/office/drawing/2014/chart" uri="{C3380CC4-5D6E-409C-BE32-E72D297353CC}">
              <c16:uniqueId val="{00000001-E1B9-4B3B-A4BC-4E02E12C9263}"/>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Data!$B$42:$B$45</c:f>
              <c:numCache>
                <c:formatCode>General</c:formatCode>
                <c:ptCount val="4"/>
                <c:pt idx="0">
                  <c:v>0</c:v>
                </c:pt>
                <c:pt idx="1">
                  <c:v>2</c:v>
                </c:pt>
                <c:pt idx="2">
                  <c:v>4</c:v>
                </c:pt>
                <c:pt idx="3">
                  <c:v>6</c:v>
                </c:pt>
              </c:numCache>
            </c:numRef>
          </c:xVal>
          <c:yVal>
            <c:numRef>
              <c:f>Data!$M$42:$M$45</c:f>
              <c:numCache>
                <c:formatCode>General</c:formatCode>
                <c:ptCount val="4"/>
                <c:pt idx="0">
                  <c:v>107430</c:v>
                </c:pt>
                <c:pt idx="1">
                  <c:v>102811</c:v>
                </c:pt>
                <c:pt idx="2">
                  <c:v>90617</c:v>
                </c:pt>
                <c:pt idx="3">
                  <c:v>81878</c:v>
                </c:pt>
              </c:numCache>
            </c:numRef>
          </c:yVal>
          <c:smooth val="1"/>
          <c:extLst>
            <c:ext xmlns:c16="http://schemas.microsoft.com/office/drawing/2014/chart" uri="{C3380CC4-5D6E-409C-BE32-E72D297353CC}">
              <c16:uniqueId val="{00000002-E1B9-4B3B-A4BC-4E02E12C9263}"/>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Data!$B$42:$B$45</c:f>
              <c:numCache>
                <c:formatCode>General</c:formatCode>
                <c:ptCount val="4"/>
                <c:pt idx="0">
                  <c:v>0</c:v>
                </c:pt>
                <c:pt idx="1">
                  <c:v>2</c:v>
                </c:pt>
                <c:pt idx="2">
                  <c:v>4</c:v>
                </c:pt>
                <c:pt idx="3">
                  <c:v>6</c:v>
                </c:pt>
              </c:numCache>
            </c:numRef>
          </c:xVal>
          <c:yVal>
            <c:numRef>
              <c:f>Data!$N$42:$N$45</c:f>
              <c:numCache>
                <c:formatCode>General</c:formatCode>
                <c:ptCount val="4"/>
                <c:pt idx="0">
                  <c:v>112623</c:v>
                </c:pt>
                <c:pt idx="1">
                  <c:v>91396</c:v>
                </c:pt>
                <c:pt idx="2">
                  <c:v>84350</c:v>
                </c:pt>
                <c:pt idx="3">
                  <c:v>82483</c:v>
                </c:pt>
              </c:numCache>
            </c:numRef>
          </c:yVal>
          <c:smooth val="1"/>
          <c:extLst>
            <c:ext xmlns:c16="http://schemas.microsoft.com/office/drawing/2014/chart" uri="{C3380CC4-5D6E-409C-BE32-E72D297353CC}">
              <c16:uniqueId val="{00000003-E1B9-4B3B-A4BC-4E02E12C9263}"/>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Data!$B$42:$B$45</c:f>
              <c:numCache>
                <c:formatCode>General</c:formatCode>
                <c:ptCount val="4"/>
                <c:pt idx="0">
                  <c:v>0</c:v>
                </c:pt>
                <c:pt idx="1">
                  <c:v>2</c:v>
                </c:pt>
                <c:pt idx="2">
                  <c:v>4</c:v>
                </c:pt>
                <c:pt idx="3">
                  <c:v>6</c:v>
                </c:pt>
              </c:numCache>
            </c:numRef>
          </c:xVal>
          <c:yVal>
            <c:numRef>
              <c:f>Data!$O$42:$O$45</c:f>
              <c:numCache>
                <c:formatCode>General</c:formatCode>
                <c:ptCount val="4"/>
                <c:pt idx="0">
                  <c:v>82653</c:v>
                </c:pt>
                <c:pt idx="1">
                  <c:v>71769</c:v>
                </c:pt>
                <c:pt idx="2">
                  <c:v>60838</c:v>
                </c:pt>
                <c:pt idx="3">
                  <c:v>63453</c:v>
                </c:pt>
              </c:numCache>
            </c:numRef>
          </c:yVal>
          <c:smooth val="1"/>
          <c:extLst>
            <c:ext xmlns:c16="http://schemas.microsoft.com/office/drawing/2014/chart" uri="{C3380CC4-5D6E-409C-BE32-E72D297353CC}">
              <c16:uniqueId val="{00000004-E1B9-4B3B-A4BC-4E02E12C9263}"/>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Data!$B$42:$B$45</c:f>
              <c:numCache>
                <c:formatCode>General</c:formatCode>
                <c:ptCount val="4"/>
                <c:pt idx="0">
                  <c:v>0</c:v>
                </c:pt>
                <c:pt idx="1">
                  <c:v>2</c:v>
                </c:pt>
                <c:pt idx="2">
                  <c:v>4</c:v>
                </c:pt>
                <c:pt idx="3">
                  <c:v>6</c:v>
                </c:pt>
              </c:numCache>
            </c:numRef>
          </c:xVal>
          <c:yVal>
            <c:numRef>
              <c:f>Data!$P$42:$P$45</c:f>
              <c:numCache>
                <c:formatCode>General</c:formatCode>
                <c:ptCount val="4"/>
                <c:pt idx="0">
                  <c:v>61127</c:v>
                </c:pt>
                <c:pt idx="1">
                  <c:v>59858</c:v>
                </c:pt>
                <c:pt idx="2">
                  <c:v>55180</c:v>
                </c:pt>
                <c:pt idx="3">
                  <c:v>48630</c:v>
                </c:pt>
              </c:numCache>
            </c:numRef>
          </c:yVal>
          <c:smooth val="1"/>
          <c:extLst>
            <c:ext xmlns:c16="http://schemas.microsoft.com/office/drawing/2014/chart" uri="{C3380CC4-5D6E-409C-BE32-E72D297353CC}">
              <c16:uniqueId val="{00000005-E1B9-4B3B-A4BC-4E02E12C9263}"/>
            </c:ext>
          </c:extLst>
        </c:ser>
        <c:dLbls>
          <c:showLegendKey val="0"/>
          <c:showVal val="0"/>
          <c:showCatName val="0"/>
          <c:showSerName val="0"/>
          <c:showPercent val="0"/>
          <c:showBubbleSize val="0"/>
        </c:dLbls>
        <c:axId val="445337992"/>
        <c:axId val="445338384"/>
      </c:scatterChart>
      <c:valAx>
        <c:axId val="445337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38384"/>
        <c:crosses val="autoZero"/>
        <c:crossBetween val="midCat"/>
      </c:valAx>
      <c:valAx>
        <c:axId val="445338384"/>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379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NG in Water-Bacteria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Data!$B$7:$B$10</c:f>
              <c:numCache>
                <c:formatCode>General</c:formatCode>
                <c:ptCount val="4"/>
                <c:pt idx="0">
                  <c:v>0</c:v>
                </c:pt>
                <c:pt idx="1">
                  <c:v>2</c:v>
                </c:pt>
                <c:pt idx="2">
                  <c:v>4</c:v>
                </c:pt>
                <c:pt idx="3">
                  <c:v>6</c:v>
                </c:pt>
              </c:numCache>
            </c:numRef>
          </c:xVal>
          <c:yVal>
            <c:numRef>
              <c:f>Data!$S$7:$S$10</c:f>
              <c:numCache>
                <c:formatCode>General</c:formatCode>
                <c:ptCount val="4"/>
                <c:pt idx="0">
                  <c:v>89893</c:v>
                </c:pt>
                <c:pt idx="1">
                  <c:v>72882</c:v>
                </c:pt>
                <c:pt idx="2">
                  <c:v>65649</c:v>
                </c:pt>
                <c:pt idx="3">
                  <c:v>62533</c:v>
                </c:pt>
              </c:numCache>
            </c:numRef>
          </c:yVal>
          <c:smooth val="1"/>
          <c:extLst>
            <c:ext xmlns:c16="http://schemas.microsoft.com/office/drawing/2014/chart" uri="{C3380CC4-5D6E-409C-BE32-E72D297353CC}">
              <c16:uniqueId val="{00000000-95B5-44D7-AE75-F456A65AAC95}"/>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Data!$B$7:$B$10</c:f>
              <c:numCache>
                <c:formatCode>General</c:formatCode>
                <c:ptCount val="4"/>
                <c:pt idx="0">
                  <c:v>0</c:v>
                </c:pt>
                <c:pt idx="1">
                  <c:v>2</c:v>
                </c:pt>
                <c:pt idx="2">
                  <c:v>4</c:v>
                </c:pt>
                <c:pt idx="3">
                  <c:v>6</c:v>
                </c:pt>
              </c:numCache>
            </c:numRef>
          </c:xVal>
          <c:yVal>
            <c:numRef>
              <c:f>Data!$T$7:$T$10</c:f>
              <c:numCache>
                <c:formatCode>General</c:formatCode>
                <c:ptCount val="4"/>
                <c:pt idx="0">
                  <c:v>133932</c:v>
                </c:pt>
                <c:pt idx="1">
                  <c:v>122990</c:v>
                </c:pt>
                <c:pt idx="2">
                  <c:v>110794</c:v>
                </c:pt>
                <c:pt idx="3">
                  <c:v>110003</c:v>
                </c:pt>
              </c:numCache>
            </c:numRef>
          </c:yVal>
          <c:smooth val="1"/>
          <c:extLst>
            <c:ext xmlns:c16="http://schemas.microsoft.com/office/drawing/2014/chart" uri="{C3380CC4-5D6E-409C-BE32-E72D297353CC}">
              <c16:uniqueId val="{00000001-95B5-44D7-AE75-F456A65AAC95}"/>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Data!$B$7:$B$10</c:f>
              <c:numCache>
                <c:formatCode>General</c:formatCode>
                <c:ptCount val="4"/>
                <c:pt idx="0">
                  <c:v>0</c:v>
                </c:pt>
                <c:pt idx="1">
                  <c:v>2</c:v>
                </c:pt>
                <c:pt idx="2">
                  <c:v>4</c:v>
                </c:pt>
                <c:pt idx="3">
                  <c:v>6</c:v>
                </c:pt>
              </c:numCache>
            </c:numRef>
          </c:xVal>
          <c:yVal>
            <c:numRef>
              <c:f>Data!$U$7:$U$10</c:f>
              <c:numCache>
                <c:formatCode>General</c:formatCode>
                <c:ptCount val="4"/>
                <c:pt idx="0">
                  <c:v>176072</c:v>
                </c:pt>
                <c:pt idx="1">
                  <c:v>153917</c:v>
                </c:pt>
                <c:pt idx="2">
                  <c:v>146077</c:v>
                </c:pt>
                <c:pt idx="3">
                  <c:v>144686</c:v>
                </c:pt>
              </c:numCache>
            </c:numRef>
          </c:yVal>
          <c:smooth val="1"/>
          <c:extLst>
            <c:ext xmlns:c16="http://schemas.microsoft.com/office/drawing/2014/chart" uri="{C3380CC4-5D6E-409C-BE32-E72D297353CC}">
              <c16:uniqueId val="{00000002-95B5-44D7-AE75-F456A65AAC95}"/>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Data!$B$7:$B$10</c:f>
              <c:numCache>
                <c:formatCode>General</c:formatCode>
                <c:ptCount val="4"/>
                <c:pt idx="0">
                  <c:v>0</c:v>
                </c:pt>
                <c:pt idx="1">
                  <c:v>2</c:v>
                </c:pt>
                <c:pt idx="2">
                  <c:v>4</c:v>
                </c:pt>
                <c:pt idx="3">
                  <c:v>6</c:v>
                </c:pt>
              </c:numCache>
            </c:numRef>
          </c:xVal>
          <c:yVal>
            <c:numRef>
              <c:f>Data!$V$7:$V$10</c:f>
              <c:numCache>
                <c:formatCode>General</c:formatCode>
                <c:ptCount val="4"/>
                <c:pt idx="0">
                  <c:v>73518</c:v>
                </c:pt>
                <c:pt idx="1">
                  <c:v>74670</c:v>
                </c:pt>
                <c:pt idx="2">
                  <c:v>78739</c:v>
                </c:pt>
                <c:pt idx="3">
                  <c:v>72845</c:v>
                </c:pt>
              </c:numCache>
            </c:numRef>
          </c:yVal>
          <c:smooth val="1"/>
          <c:extLst>
            <c:ext xmlns:c16="http://schemas.microsoft.com/office/drawing/2014/chart" uri="{C3380CC4-5D6E-409C-BE32-E72D297353CC}">
              <c16:uniqueId val="{00000003-95B5-44D7-AE75-F456A65AAC95}"/>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Data!$B$7:$B$10</c:f>
              <c:numCache>
                <c:formatCode>General</c:formatCode>
                <c:ptCount val="4"/>
                <c:pt idx="0">
                  <c:v>0</c:v>
                </c:pt>
                <c:pt idx="1">
                  <c:v>2</c:v>
                </c:pt>
                <c:pt idx="2">
                  <c:v>4</c:v>
                </c:pt>
                <c:pt idx="3">
                  <c:v>6</c:v>
                </c:pt>
              </c:numCache>
            </c:numRef>
          </c:xVal>
          <c:yVal>
            <c:numRef>
              <c:f>Data!$W$7:$W$10</c:f>
              <c:numCache>
                <c:formatCode>General</c:formatCode>
                <c:ptCount val="4"/>
                <c:pt idx="0">
                  <c:v>105230</c:v>
                </c:pt>
                <c:pt idx="1">
                  <c:v>94246</c:v>
                </c:pt>
                <c:pt idx="2">
                  <c:v>88179</c:v>
                </c:pt>
                <c:pt idx="3">
                  <c:v>89358</c:v>
                </c:pt>
              </c:numCache>
            </c:numRef>
          </c:yVal>
          <c:smooth val="1"/>
          <c:extLst>
            <c:ext xmlns:c16="http://schemas.microsoft.com/office/drawing/2014/chart" uri="{C3380CC4-5D6E-409C-BE32-E72D297353CC}">
              <c16:uniqueId val="{00000004-95B5-44D7-AE75-F456A65AAC95}"/>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Data!$B$7:$B$10</c:f>
              <c:numCache>
                <c:formatCode>General</c:formatCode>
                <c:ptCount val="4"/>
                <c:pt idx="0">
                  <c:v>0</c:v>
                </c:pt>
                <c:pt idx="1">
                  <c:v>2</c:v>
                </c:pt>
                <c:pt idx="2">
                  <c:v>4</c:v>
                </c:pt>
                <c:pt idx="3">
                  <c:v>6</c:v>
                </c:pt>
              </c:numCache>
            </c:numRef>
          </c:xVal>
          <c:yVal>
            <c:numRef>
              <c:f>Data!$X$7:$X$10</c:f>
              <c:numCache>
                <c:formatCode>General</c:formatCode>
                <c:ptCount val="4"/>
                <c:pt idx="0">
                  <c:v>73789</c:v>
                </c:pt>
                <c:pt idx="1">
                  <c:v>62290</c:v>
                </c:pt>
                <c:pt idx="2">
                  <c:v>62038</c:v>
                </c:pt>
                <c:pt idx="3">
                  <c:v>58657</c:v>
                </c:pt>
              </c:numCache>
            </c:numRef>
          </c:yVal>
          <c:smooth val="1"/>
          <c:extLst>
            <c:ext xmlns:c16="http://schemas.microsoft.com/office/drawing/2014/chart" uri="{C3380CC4-5D6E-409C-BE32-E72D297353CC}">
              <c16:uniqueId val="{00000005-95B5-44D7-AE75-F456A65AAC95}"/>
            </c:ext>
          </c:extLst>
        </c:ser>
        <c:dLbls>
          <c:showLegendKey val="0"/>
          <c:showVal val="0"/>
          <c:showCatName val="0"/>
          <c:showSerName val="0"/>
          <c:showPercent val="0"/>
          <c:showBubbleSize val="0"/>
        </c:dLbls>
        <c:axId val="212738144"/>
        <c:axId val="212738536"/>
      </c:scatterChart>
      <c:valAx>
        <c:axId val="2127381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38536"/>
        <c:crosses val="autoZero"/>
        <c:crossBetween val="midCat"/>
      </c:valAx>
      <c:valAx>
        <c:axId val="212738536"/>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381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NT in EtOH-Bacteria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Data!$B$12:$B$15</c:f>
              <c:numCache>
                <c:formatCode>General</c:formatCode>
                <c:ptCount val="4"/>
                <c:pt idx="0">
                  <c:v>0</c:v>
                </c:pt>
                <c:pt idx="1">
                  <c:v>2</c:v>
                </c:pt>
                <c:pt idx="2">
                  <c:v>4</c:v>
                </c:pt>
                <c:pt idx="3">
                  <c:v>6</c:v>
                </c:pt>
              </c:numCache>
            </c:numRef>
          </c:xVal>
          <c:yVal>
            <c:numRef>
              <c:f>Data!$S$12:$S$15</c:f>
              <c:numCache>
                <c:formatCode>General</c:formatCode>
                <c:ptCount val="4"/>
                <c:pt idx="0">
                  <c:v>84209</c:v>
                </c:pt>
                <c:pt idx="1">
                  <c:v>76137</c:v>
                </c:pt>
                <c:pt idx="2">
                  <c:v>74947</c:v>
                </c:pt>
                <c:pt idx="3">
                  <c:v>71339</c:v>
                </c:pt>
              </c:numCache>
            </c:numRef>
          </c:yVal>
          <c:smooth val="1"/>
          <c:extLst>
            <c:ext xmlns:c16="http://schemas.microsoft.com/office/drawing/2014/chart" uri="{C3380CC4-5D6E-409C-BE32-E72D297353CC}">
              <c16:uniqueId val="{00000000-0A4A-4228-AE00-41172000F4FE}"/>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Data!$B$12:$B$15</c:f>
              <c:numCache>
                <c:formatCode>General</c:formatCode>
                <c:ptCount val="4"/>
                <c:pt idx="0">
                  <c:v>0</c:v>
                </c:pt>
                <c:pt idx="1">
                  <c:v>2</c:v>
                </c:pt>
                <c:pt idx="2">
                  <c:v>4</c:v>
                </c:pt>
                <c:pt idx="3">
                  <c:v>6</c:v>
                </c:pt>
              </c:numCache>
            </c:numRef>
          </c:xVal>
          <c:yVal>
            <c:numRef>
              <c:f>Data!$T$12:$T$15</c:f>
              <c:numCache>
                <c:formatCode>General</c:formatCode>
                <c:ptCount val="4"/>
                <c:pt idx="0">
                  <c:v>146972</c:v>
                </c:pt>
                <c:pt idx="1">
                  <c:v>128119</c:v>
                </c:pt>
                <c:pt idx="2">
                  <c:v>121840</c:v>
                </c:pt>
                <c:pt idx="3">
                  <c:v>113795</c:v>
                </c:pt>
              </c:numCache>
            </c:numRef>
          </c:yVal>
          <c:smooth val="1"/>
          <c:extLst>
            <c:ext xmlns:c16="http://schemas.microsoft.com/office/drawing/2014/chart" uri="{C3380CC4-5D6E-409C-BE32-E72D297353CC}">
              <c16:uniqueId val="{00000001-0A4A-4228-AE00-41172000F4FE}"/>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Data!$B$12:$B$15</c:f>
              <c:numCache>
                <c:formatCode>General</c:formatCode>
                <c:ptCount val="4"/>
                <c:pt idx="0">
                  <c:v>0</c:v>
                </c:pt>
                <c:pt idx="1">
                  <c:v>2</c:v>
                </c:pt>
                <c:pt idx="2">
                  <c:v>4</c:v>
                </c:pt>
                <c:pt idx="3">
                  <c:v>6</c:v>
                </c:pt>
              </c:numCache>
            </c:numRef>
          </c:xVal>
          <c:yVal>
            <c:numRef>
              <c:f>Data!$U$12:$U$15</c:f>
              <c:numCache>
                <c:formatCode>General</c:formatCode>
                <c:ptCount val="4"/>
                <c:pt idx="0">
                  <c:v>182532</c:v>
                </c:pt>
                <c:pt idx="1">
                  <c:v>164095</c:v>
                </c:pt>
                <c:pt idx="2">
                  <c:v>151862</c:v>
                </c:pt>
                <c:pt idx="3">
                  <c:v>133692</c:v>
                </c:pt>
              </c:numCache>
            </c:numRef>
          </c:yVal>
          <c:smooth val="1"/>
          <c:extLst>
            <c:ext xmlns:c16="http://schemas.microsoft.com/office/drawing/2014/chart" uri="{C3380CC4-5D6E-409C-BE32-E72D297353CC}">
              <c16:uniqueId val="{00000002-0A4A-4228-AE00-41172000F4FE}"/>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Data!$B$12:$B$15</c:f>
              <c:numCache>
                <c:formatCode>General</c:formatCode>
                <c:ptCount val="4"/>
                <c:pt idx="0">
                  <c:v>0</c:v>
                </c:pt>
                <c:pt idx="1">
                  <c:v>2</c:v>
                </c:pt>
                <c:pt idx="2">
                  <c:v>4</c:v>
                </c:pt>
                <c:pt idx="3">
                  <c:v>6</c:v>
                </c:pt>
              </c:numCache>
            </c:numRef>
          </c:xVal>
          <c:yVal>
            <c:numRef>
              <c:f>Data!$V$12:$V$15</c:f>
              <c:numCache>
                <c:formatCode>General</c:formatCode>
                <c:ptCount val="4"/>
                <c:pt idx="0">
                  <c:v>109434</c:v>
                </c:pt>
                <c:pt idx="1">
                  <c:v>97831</c:v>
                </c:pt>
                <c:pt idx="2">
                  <c:v>90128</c:v>
                </c:pt>
                <c:pt idx="3">
                  <c:v>79137</c:v>
                </c:pt>
              </c:numCache>
            </c:numRef>
          </c:yVal>
          <c:smooth val="1"/>
          <c:extLst>
            <c:ext xmlns:c16="http://schemas.microsoft.com/office/drawing/2014/chart" uri="{C3380CC4-5D6E-409C-BE32-E72D297353CC}">
              <c16:uniqueId val="{00000003-0A4A-4228-AE00-41172000F4FE}"/>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Data!$B$12:$B$15</c:f>
              <c:numCache>
                <c:formatCode>General</c:formatCode>
                <c:ptCount val="4"/>
                <c:pt idx="0">
                  <c:v>0</c:v>
                </c:pt>
                <c:pt idx="1">
                  <c:v>2</c:v>
                </c:pt>
                <c:pt idx="2">
                  <c:v>4</c:v>
                </c:pt>
                <c:pt idx="3">
                  <c:v>6</c:v>
                </c:pt>
              </c:numCache>
            </c:numRef>
          </c:xVal>
          <c:yVal>
            <c:numRef>
              <c:f>Data!$W$12:$W$15</c:f>
              <c:numCache>
                <c:formatCode>General</c:formatCode>
                <c:ptCount val="4"/>
                <c:pt idx="0">
                  <c:v>78235</c:v>
                </c:pt>
                <c:pt idx="1">
                  <c:v>61299</c:v>
                </c:pt>
                <c:pt idx="2">
                  <c:v>57115</c:v>
                </c:pt>
                <c:pt idx="3">
                  <c:v>57233</c:v>
                </c:pt>
              </c:numCache>
            </c:numRef>
          </c:yVal>
          <c:smooth val="1"/>
          <c:extLst>
            <c:ext xmlns:c16="http://schemas.microsoft.com/office/drawing/2014/chart" uri="{C3380CC4-5D6E-409C-BE32-E72D297353CC}">
              <c16:uniqueId val="{00000004-0A4A-4228-AE00-41172000F4FE}"/>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Data!$B$12:$B$15</c:f>
              <c:numCache>
                <c:formatCode>General</c:formatCode>
                <c:ptCount val="4"/>
                <c:pt idx="0">
                  <c:v>0</c:v>
                </c:pt>
                <c:pt idx="1">
                  <c:v>2</c:v>
                </c:pt>
                <c:pt idx="2">
                  <c:v>4</c:v>
                </c:pt>
                <c:pt idx="3">
                  <c:v>6</c:v>
                </c:pt>
              </c:numCache>
            </c:numRef>
          </c:xVal>
          <c:yVal>
            <c:numRef>
              <c:f>Data!$X$12:$X$15</c:f>
              <c:numCache>
                <c:formatCode>General</c:formatCode>
                <c:ptCount val="4"/>
                <c:pt idx="0">
                  <c:v>322850</c:v>
                </c:pt>
                <c:pt idx="1">
                  <c:v>403120</c:v>
                </c:pt>
                <c:pt idx="2">
                  <c:v>365885</c:v>
                </c:pt>
                <c:pt idx="3">
                  <c:v>301123</c:v>
                </c:pt>
              </c:numCache>
            </c:numRef>
          </c:yVal>
          <c:smooth val="1"/>
          <c:extLst>
            <c:ext xmlns:c16="http://schemas.microsoft.com/office/drawing/2014/chart" uri="{C3380CC4-5D6E-409C-BE32-E72D297353CC}">
              <c16:uniqueId val="{00000005-0A4A-4228-AE00-41172000F4FE}"/>
            </c:ext>
          </c:extLst>
        </c:ser>
        <c:dLbls>
          <c:showLegendKey val="0"/>
          <c:showVal val="0"/>
          <c:showCatName val="0"/>
          <c:showSerName val="0"/>
          <c:showPercent val="0"/>
          <c:showBubbleSize val="0"/>
        </c:dLbls>
        <c:axId val="212739712"/>
        <c:axId val="212740104"/>
      </c:scatterChart>
      <c:valAx>
        <c:axId val="212739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40104"/>
        <c:crosses val="autoZero"/>
        <c:crossBetween val="midCat"/>
      </c:valAx>
      <c:valAx>
        <c:axId val="212740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397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NG in Water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Data!$B$17:$B$20</c:f>
              <c:numCache>
                <c:formatCode>General</c:formatCode>
                <c:ptCount val="4"/>
                <c:pt idx="0">
                  <c:v>0</c:v>
                </c:pt>
                <c:pt idx="1">
                  <c:v>2</c:v>
                </c:pt>
                <c:pt idx="2">
                  <c:v>4</c:v>
                </c:pt>
                <c:pt idx="3">
                  <c:v>6</c:v>
                </c:pt>
              </c:numCache>
            </c:numRef>
          </c:xVal>
          <c:yVal>
            <c:numRef>
              <c:f>Data!$S$17:$S$20</c:f>
              <c:numCache>
                <c:formatCode>General</c:formatCode>
                <c:ptCount val="4"/>
                <c:pt idx="0">
                  <c:v>141532</c:v>
                </c:pt>
                <c:pt idx="1">
                  <c:v>147896</c:v>
                </c:pt>
                <c:pt idx="2">
                  <c:v>130002</c:v>
                </c:pt>
                <c:pt idx="3">
                  <c:v>117033</c:v>
                </c:pt>
              </c:numCache>
            </c:numRef>
          </c:yVal>
          <c:smooth val="1"/>
          <c:extLst>
            <c:ext xmlns:c16="http://schemas.microsoft.com/office/drawing/2014/chart" uri="{C3380CC4-5D6E-409C-BE32-E72D297353CC}">
              <c16:uniqueId val="{00000000-4180-448D-BF53-9A489CB73F0A}"/>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Data!$B$17:$B$20</c:f>
              <c:numCache>
                <c:formatCode>General</c:formatCode>
                <c:ptCount val="4"/>
                <c:pt idx="0">
                  <c:v>0</c:v>
                </c:pt>
                <c:pt idx="1">
                  <c:v>2</c:v>
                </c:pt>
                <c:pt idx="2">
                  <c:v>4</c:v>
                </c:pt>
                <c:pt idx="3">
                  <c:v>6</c:v>
                </c:pt>
              </c:numCache>
            </c:numRef>
          </c:xVal>
          <c:yVal>
            <c:numRef>
              <c:f>Data!$T$17:$T$20</c:f>
              <c:numCache>
                <c:formatCode>General</c:formatCode>
                <c:ptCount val="4"/>
                <c:pt idx="0">
                  <c:v>110642</c:v>
                </c:pt>
                <c:pt idx="1">
                  <c:v>108314</c:v>
                </c:pt>
                <c:pt idx="2">
                  <c:v>97168</c:v>
                </c:pt>
                <c:pt idx="3">
                  <c:v>87687</c:v>
                </c:pt>
              </c:numCache>
            </c:numRef>
          </c:yVal>
          <c:smooth val="1"/>
          <c:extLst>
            <c:ext xmlns:c16="http://schemas.microsoft.com/office/drawing/2014/chart" uri="{C3380CC4-5D6E-409C-BE32-E72D297353CC}">
              <c16:uniqueId val="{00000001-4180-448D-BF53-9A489CB73F0A}"/>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Data!$B$17:$B$20</c:f>
              <c:numCache>
                <c:formatCode>General</c:formatCode>
                <c:ptCount val="4"/>
                <c:pt idx="0">
                  <c:v>0</c:v>
                </c:pt>
                <c:pt idx="1">
                  <c:v>2</c:v>
                </c:pt>
                <c:pt idx="2">
                  <c:v>4</c:v>
                </c:pt>
                <c:pt idx="3">
                  <c:v>6</c:v>
                </c:pt>
              </c:numCache>
            </c:numRef>
          </c:xVal>
          <c:yVal>
            <c:numRef>
              <c:f>Data!$U$17:$U$20</c:f>
              <c:numCache>
                <c:formatCode>General</c:formatCode>
                <c:ptCount val="4"/>
                <c:pt idx="0">
                  <c:v>229017</c:v>
                </c:pt>
                <c:pt idx="1">
                  <c:v>222457</c:v>
                </c:pt>
                <c:pt idx="2">
                  <c:v>212383</c:v>
                </c:pt>
                <c:pt idx="3">
                  <c:v>189679</c:v>
                </c:pt>
              </c:numCache>
            </c:numRef>
          </c:yVal>
          <c:smooth val="1"/>
          <c:extLst>
            <c:ext xmlns:c16="http://schemas.microsoft.com/office/drawing/2014/chart" uri="{C3380CC4-5D6E-409C-BE32-E72D297353CC}">
              <c16:uniqueId val="{00000002-4180-448D-BF53-9A489CB73F0A}"/>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Data!$B$17:$B$20</c:f>
              <c:numCache>
                <c:formatCode>General</c:formatCode>
                <c:ptCount val="4"/>
                <c:pt idx="0">
                  <c:v>0</c:v>
                </c:pt>
                <c:pt idx="1">
                  <c:v>2</c:v>
                </c:pt>
                <c:pt idx="2">
                  <c:v>4</c:v>
                </c:pt>
                <c:pt idx="3">
                  <c:v>6</c:v>
                </c:pt>
              </c:numCache>
            </c:numRef>
          </c:xVal>
          <c:yVal>
            <c:numRef>
              <c:f>Data!$V$17:$V$20</c:f>
              <c:numCache>
                <c:formatCode>General</c:formatCode>
                <c:ptCount val="4"/>
                <c:pt idx="0">
                  <c:v>198594</c:v>
                </c:pt>
                <c:pt idx="1">
                  <c:v>156912</c:v>
                </c:pt>
                <c:pt idx="2">
                  <c:v>125491</c:v>
                </c:pt>
                <c:pt idx="3">
                  <c:v>119555</c:v>
                </c:pt>
              </c:numCache>
            </c:numRef>
          </c:yVal>
          <c:smooth val="1"/>
          <c:extLst>
            <c:ext xmlns:c16="http://schemas.microsoft.com/office/drawing/2014/chart" uri="{C3380CC4-5D6E-409C-BE32-E72D297353CC}">
              <c16:uniqueId val="{00000003-4180-448D-BF53-9A489CB73F0A}"/>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Data!$B$17:$B$20</c:f>
              <c:numCache>
                <c:formatCode>General</c:formatCode>
                <c:ptCount val="4"/>
                <c:pt idx="0">
                  <c:v>0</c:v>
                </c:pt>
                <c:pt idx="1">
                  <c:v>2</c:v>
                </c:pt>
                <c:pt idx="2">
                  <c:v>4</c:v>
                </c:pt>
                <c:pt idx="3">
                  <c:v>6</c:v>
                </c:pt>
              </c:numCache>
            </c:numRef>
          </c:xVal>
          <c:yVal>
            <c:numRef>
              <c:f>Data!$W$17:$W$20</c:f>
              <c:numCache>
                <c:formatCode>General</c:formatCode>
                <c:ptCount val="4"/>
                <c:pt idx="0">
                  <c:v>155054</c:v>
                </c:pt>
                <c:pt idx="1">
                  <c:v>133864</c:v>
                </c:pt>
                <c:pt idx="2">
                  <c:v>158392</c:v>
                </c:pt>
                <c:pt idx="3">
                  <c:v>151539</c:v>
                </c:pt>
              </c:numCache>
            </c:numRef>
          </c:yVal>
          <c:smooth val="1"/>
          <c:extLst>
            <c:ext xmlns:c16="http://schemas.microsoft.com/office/drawing/2014/chart" uri="{C3380CC4-5D6E-409C-BE32-E72D297353CC}">
              <c16:uniqueId val="{00000004-4180-448D-BF53-9A489CB73F0A}"/>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Data!$B$17:$B$20</c:f>
              <c:numCache>
                <c:formatCode>General</c:formatCode>
                <c:ptCount val="4"/>
                <c:pt idx="0">
                  <c:v>0</c:v>
                </c:pt>
                <c:pt idx="1">
                  <c:v>2</c:v>
                </c:pt>
                <c:pt idx="2">
                  <c:v>4</c:v>
                </c:pt>
                <c:pt idx="3">
                  <c:v>6</c:v>
                </c:pt>
              </c:numCache>
            </c:numRef>
          </c:xVal>
          <c:yVal>
            <c:numRef>
              <c:f>Data!$X$17:$X$20</c:f>
              <c:numCache>
                <c:formatCode>General</c:formatCode>
                <c:ptCount val="4"/>
                <c:pt idx="0">
                  <c:v>281693</c:v>
                </c:pt>
                <c:pt idx="1">
                  <c:v>250411</c:v>
                </c:pt>
                <c:pt idx="2">
                  <c:v>242141</c:v>
                </c:pt>
                <c:pt idx="3">
                  <c:v>217225</c:v>
                </c:pt>
              </c:numCache>
            </c:numRef>
          </c:yVal>
          <c:smooth val="1"/>
          <c:extLst>
            <c:ext xmlns:c16="http://schemas.microsoft.com/office/drawing/2014/chart" uri="{C3380CC4-5D6E-409C-BE32-E72D297353CC}">
              <c16:uniqueId val="{00000005-4180-448D-BF53-9A489CB73F0A}"/>
            </c:ext>
          </c:extLst>
        </c:ser>
        <c:dLbls>
          <c:showLegendKey val="0"/>
          <c:showVal val="0"/>
          <c:showCatName val="0"/>
          <c:showSerName val="0"/>
          <c:showPercent val="0"/>
          <c:showBubbleSize val="0"/>
        </c:dLbls>
        <c:axId val="212741280"/>
        <c:axId val="212741672"/>
      </c:scatterChart>
      <c:valAx>
        <c:axId val="212741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41672"/>
        <c:crosses val="autoZero"/>
        <c:crossBetween val="midCat"/>
      </c:valAx>
      <c:valAx>
        <c:axId val="212741672"/>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412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0" u="none" strike="noStrike" baseline="0">
                <a:latin typeface="+mn-lt"/>
              </a:rPr>
              <a:t>Average Contact Angle Measured vs Average Contact Angle Literature</a:t>
            </a:r>
            <a:endParaRPr lang="en-US" sz="1400">
              <a:latin typeface="+mn-lt"/>
            </a:endParaRPr>
          </a:p>
        </c:rich>
      </c:tx>
      <c:overlay val="0"/>
    </c:title>
    <c:autoTitleDeleted val="0"/>
    <c:plotArea>
      <c:layout>
        <c:manualLayout>
          <c:layoutTarget val="inner"/>
          <c:xMode val="edge"/>
          <c:yMode val="edge"/>
          <c:x val="0.10430746284700761"/>
          <c:y val="9.9303882195448459E-2"/>
          <c:w val="0.63027451560022574"/>
          <c:h val="0.78181176148162201"/>
        </c:manualLayout>
      </c:layout>
      <c:scatterChart>
        <c:scatterStyle val="lineMarker"/>
        <c:varyColors val="0"/>
        <c:ser>
          <c:idx val="1"/>
          <c:order val="0"/>
          <c:tx>
            <c:v>Form Zno</c:v>
          </c:tx>
          <c:spPr>
            <a:ln w="19050">
              <a:solidFill>
                <a:sysClr val="windowText" lastClr="000000"/>
              </a:solidFill>
            </a:ln>
          </c:spPr>
          <c:marker>
            <c:symbol val="triangle"/>
            <c:size val="7"/>
            <c:spPr>
              <a:solidFill>
                <a:srgbClr val="C0000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Graphs!$T$4</c:f>
                <c:numCache>
                  <c:formatCode>General</c:formatCode>
                  <c:ptCount val="1"/>
                  <c:pt idx="0">
                    <c:v>14</c:v>
                  </c:pt>
                </c:numCache>
              </c:numRef>
            </c:plus>
            <c:minus>
              <c:numRef>
                <c:f>Graphs!$T$4</c:f>
                <c:numCache>
                  <c:formatCode>General</c:formatCode>
                  <c:ptCount val="1"/>
                  <c:pt idx="0">
                    <c:v>14</c:v>
                  </c:pt>
                </c:numCache>
              </c:numRef>
            </c:minus>
          </c:errBars>
          <c:xVal>
            <c:numRef>
              <c:f>Graphs!$P$4</c:f>
              <c:numCache>
                <c:formatCode>General</c:formatCode>
                <c:ptCount val="1"/>
                <c:pt idx="0">
                  <c:v>23.5</c:v>
                </c:pt>
              </c:numCache>
            </c:numRef>
          </c:xVal>
          <c:yVal>
            <c:numRef>
              <c:f>Graphs!$R$4</c:f>
              <c:numCache>
                <c:formatCode>0.00</c:formatCode>
                <c:ptCount val="1"/>
                <c:pt idx="0">
                  <c:v>16.819376791704599</c:v>
                </c:pt>
              </c:numCache>
            </c:numRef>
          </c:yVal>
          <c:smooth val="0"/>
          <c:extLst>
            <c:ext xmlns:c16="http://schemas.microsoft.com/office/drawing/2014/chart" uri="{C3380CC4-5D6E-409C-BE32-E72D297353CC}">
              <c16:uniqueId val="{00000000-A1F0-46CD-85B5-C28158289FBF}"/>
            </c:ext>
          </c:extLst>
        </c:ser>
        <c:ser>
          <c:idx val="2"/>
          <c:order val="1"/>
          <c:tx>
            <c:v>eth Gly ZnO</c:v>
          </c:tx>
          <c:spPr>
            <a:ln w="19050">
              <a:solidFill>
                <a:sysClr val="windowText" lastClr="000000"/>
              </a:solidFill>
            </a:ln>
          </c:spPr>
          <c:marker>
            <c:symbol val="triangle"/>
            <c:size val="7"/>
            <c:spPr>
              <a:solidFill>
                <a:srgbClr val="00B05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Graphs!$T$5</c:f>
                <c:numCache>
                  <c:formatCode>General</c:formatCode>
                  <c:ptCount val="1"/>
                  <c:pt idx="0">
                    <c:v>2.6666666666666665</c:v>
                  </c:pt>
                </c:numCache>
              </c:numRef>
            </c:plus>
            <c:minus>
              <c:numRef>
                <c:f>Graphs!$T$5</c:f>
                <c:numCache>
                  <c:formatCode>General</c:formatCode>
                  <c:ptCount val="1"/>
                  <c:pt idx="0">
                    <c:v>2.6666666666666665</c:v>
                  </c:pt>
                </c:numCache>
              </c:numRef>
            </c:minus>
          </c:errBars>
          <c:xVal>
            <c:numRef>
              <c:f>Graphs!$P$5</c:f>
              <c:numCache>
                <c:formatCode>General</c:formatCode>
                <c:ptCount val="1"/>
                <c:pt idx="0">
                  <c:v>68</c:v>
                </c:pt>
              </c:numCache>
            </c:numRef>
          </c:xVal>
          <c:yVal>
            <c:numRef>
              <c:f>Graphs!$R$5</c:f>
              <c:numCache>
                <c:formatCode>0.00</c:formatCode>
                <c:ptCount val="1"/>
                <c:pt idx="0">
                  <c:v>71.212901073834857</c:v>
                </c:pt>
              </c:numCache>
            </c:numRef>
          </c:yVal>
          <c:smooth val="0"/>
          <c:extLst>
            <c:ext xmlns:c16="http://schemas.microsoft.com/office/drawing/2014/chart" uri="{C3380CC4-5D6E-409C-BE32-E72D297353CC}">
              <c16:uniqueId val="{00000001-A1F0-46CD-85B5-C28158289FBF}"/>
            </c:ext>
          </c:extLst>
        </c:ser>
        <c:ser>
          <c:idx val="7"/>
          <c:order val="2"/>
          <c:tx>
            <c:v>form 21</c:v>
          </c:tx>
          <c:spPr>
            <a:ln w="19050">
              <a:solidFill>
                <a:sysClr val="windowText" lastClr="000000"/>
              </a:solidFill>
            </a:ln>
          </c:spPr>
          <c:marker>
            <c:symbol val="square"/>
            <c:size val="7"/>
            <c:spPr>
              <a:solidFill>
                <a:srgbClr val="C0000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Graphs!$T$9</c:f>
                <c:numCache>
                  <c:formatCode>General</c:formatCode>
                  <c:ptCount val="1"/>
                  <c:pt idx="0">
                    <c:v>5</c:v>
                  </c:pt>
                </c:numCache>
              </c:numRef>
            </c:plus>
            <c:minus>
              <c:numRef>
                <c:f>Graphs!$T$9</c:f>
                <c:numCache>
                  <c:formatCode>General</c:formatCode>
                  <c:ptCount val="1"/>
                  <c:pt idx="0">
                    <c:v>5</c:v>
                  </c:pt>
                </c:numCache>
              </c:numRef>
            </c:minus>
          </c:errBars>
          <c:xVal>
            <c:numRef>
              <c:f>Graphs!$P$9</c:f>
              <c:numCache>
                <c:formatCode>General</c:formatCode>
                <c:ptCount val="1"/>
                <c:pt idx="0">
                  <c:v>57.5</c:v>
                </c:pt>
              </c:numCache>
            </c:numRef>
          </c:xVal>
          <c:yVal>
            <c:numRef>
              <c:f>Graphs!$R$9</c:f>
              <c:numCache>
                <c:formatCode>0.00</c:formatCode>
                <c:ptCount val="1"/>
                <c:pt idx="0">
                  <c:v>63.60663939486561</c:v>
                </c:pt>
              </c:numCache>
            </c:numRef>
          </c:yVal>
          <c:smooth val="0"/>
          <c:extLst>
            <c:ext xmlns:c16="http://schemas.microsoft.com/office/drawing/2014/chart" uri="{C3380CC4-5D6E-409C-BE32-E72D297353CC}">
              <c16:uniqueId val="{00000002-A1F0-46CD-85B5-C28158289FBF}"/>
            </c:ext>
          </c:extLst>
        </c:ser>
        <c:ser>
          <c:idx val="8"/>
          <c:order val="3"/>
          <c:tx>
            <c:v>bromo 21</c:v>
          </c:tx>
          <c:spPr>
            <a:ln w="19050">
              <a:solidFill>
                <a:sysClr val="windowText" lastClr="000000"/>
              </a:solidFill>
            </a:ln>
          </c:spPr>
          <c:marker>
            <c:symbol val="square"/>
            <c:size val="7"/>
            <c:spPr>
              <a:solidFill>
                <a:srgbClr val="F5D14D"/>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Graphs!$T$10</c:f>
                <c:numCache>
                  <c:formatCode>General</c:formatCode>
                  <c:ptCount val="1"/>
                  <c:pt idx="0">
                    <c:v>1</c:v>
                  </c:pt>
                </c:numCache>
              </c:numRef>
            </c:plus>
            <c:minus>
              <c:numRef>
                <c:f>Graphs!$T$10</c:f>
                <c:numCache>
                  <c:formatCode>General</c:formatCode>
                  <c:ptCount val="1"/>
                  <c:pt idx="0">
                    <c:v>1</c:v>
                  </c:pt>
                </c:numCache>
              </c:numRef>
            </c:minus>
          </c:errBars>
          <c:xVal>
            <c:numRef>
              <c:f>Graphs!$P$10</c:f>
              <c:numCache>
                <c:formatCode>General</c:formatCode>
                <c:ptCount val="1"/>
                <c:pt idx="0">
                  <c:v>44</c:v>
                </c:pt>
              </c:numCache>
            </c:numRef>
          </c:xVal>
          <c:yVal>
            <c:numRef>
              <c:f>Graphs!$R$10</c:f>
              <c:numCache>
                <c:formatCode>0.00</c:formatCode>
                <c:ptCount val="1"/>
                <c:pt idx="0">
                  <c:v>62.383602101672388</c:v>
                </c:pt>
              </c:numCache>
            </c:numRef>
          </c:yVal>
          <c:smooth val="0"/>
          <c:extLst>
            <c:ext xmlns:c16="http://schemas.microsoft.com/office/drawing/2014/chart" uri="{C3380CC4-5D6E-409C-BE32-E72D297353CC}">
              <c16:uniqueId val="{00000003-A1F0-46CD-85B5-C28158289FBF}"/>
            </c:ext>
          </c:extLst>
        </c:ser>
        <c:ser>
          <c:idx val="9"/>
          <c:order val="4"/>
          <c:tx>
            <c:v>water 21</c:v>
          </c:tx>
          <c:spPr>
            <a:ln w="19050">
              <a:solidFill>
                <a:sysClr val="windowText" lastClr="000000"/>
              </a:solidFill>
            </a:ln>
          </c:spPr>
          <c:marker>
            <c:symbol val="square"/>
            <c:size val="7"/>
            <c:spPr>
              <a:solidFill>
                <a:srgbClr val="00B0F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Graphs!$T$11</c:f>
                <c:numCache>
                  <c:formatCode>General</c:formatCode>
                  <c:ptCount val="1"/>
                  <c:pt idx="0">
                    <c:v>2.2000000000000002</c:v>
                  </c:pt>
                </c:numCache>
              </c:numRef>
            </c:plus>
            <c:minus>
              <c:numRef>
                <c:f>Graphs!$T$11</c:f>
                <c:numCache>
                  <c:formatCode>General</c:formatCode>
                  <c:ptCount val="1"/>
                  <c:pt idx="0">
                    <c:v>2.2000000000000002</c:v>
                  </c:pt>
                </c:numCache>
              </c:numRef>
            </c:minus>
          </c:errBars>
          <c:xVal>
            <c:numRef>
              <c:f>Graphs!$P$11</c:f>
              <c:numCache>
                <c:formatCode>General</c:formatCode>
                <c:ptCount val="1"/>
                <c:pt idx="0">
                  <c:v>75</c:v>
                </c:pt>
              </c:numCache>
            </c:numRef>
          </c:xVal>
          <c:yVal>
            <c:numRef>
              <c:f>Graphs!$R$11</c:f>
              <c:numCache>
                <c:formatCode>0.00</c:formatCode>
                <c:ptCount val="1"/>
                <c:pt idx="0">
                  <c:v>77.936964147955877</c:v>
                </c:pt>
              </c:numCache>
            </c:numRef>
          </c:yVal>
          <c:smooth val="0"/>
          <c:extLst>
            <c:ext xmlns:c16="http://schemas.microsoft.com/office/drawing/2014/chart" uri="{C3380CC4-5D6E-409C-BE32-E72D297353CC}">
              <c16:uniqueId val="{00000004-A1F0-46CD-85B5-C28158289FBF}"/>
            </c:ext>
          </c:extLst>
        </c:ser>
        <c:ser>
          <c:idx val="11"/>
          <c:order val="5"/>
          <c:tx>
            <c:v>form 100</c:v>
          </c:tx>
          <c:spPr>
            <a:ln w="19050">
              <a:solidFill>
                <a:schemeClr val="tx1"/>
              </a:solidFill>
            </a:ln>
          </c:spPr>
          <c:marker>
            <c:symbol val="circle"/>
            <c:size val="7"/>
            <c:spPr>
              <a:solidFill>
                <a:srgbClr val="C00000"/>
              </a:solidFill>
              <a:ln>
                <a:solidFill>
                  <a:schemeClr val="tx1"/>
                </a:solidFill>
              </a:ln>
            </c:spPr>
          </c:marker>
          <c:errBars>
            <c:errDir val="x"/>
            <c:errBarType val="both"/>
            <c:errValType val="stdErr"/>
            <c:noEndCap val="0"/>
          </c:errBars>
          <c:errBars>
            <c:errDir val="y"/>
            <c:errBarType val="both"/>
            <c:errValType val="cust"/>
            <c:noEndCap val="0"/>
            <c:plus>
              <c:numRef>
                <c:f>Graphs!$T$14</c:f>
                <c:numCache>
                  <c:formatCode>General</c:formatCode>
                  <c:ptCount val="1"/>
                  <c:pt idx="0">
                    <c:v>11.666666666666666</c:v>
                  </c:pt>
                </c:numCache>
              </c:numRef>
            </c:plus>
            <c:minus>
              <c:numRef>
                <c:f>Graphs!$T$14</c:f>
                <c:numCache>
                  <c:formatCode>General</c:formatCode>
                  <c:ptCount val="1"/>
                  <c:pt idx="0">
                    <c:v>11.666666666666666</c:v>
                  </c:pt>
                </c:numCache>
              </c:numRef>
            </c:minus>
          </c:errBars>
          <c:xVal>
            <c:numRef>
              <c:f>Graphs!$P$14</c:f>
              <c:numCache>
                <c:formatCode>General</c:formatCode>
                <c:ptCount val="1"/>
                <c:pt idx="0">
                  <c:v>57.5</c:v>
                </c:pt>
              </c:numCache>
            </c:numRef>
          </c:xVal>
          <c:yVal>
            <c:numRef>
              <c:f>Graphs!$R$14</c:f>
              <c:numCache>
                <c:formatCode>0.00</c:formatCode>
                <c:ptCount val="1"/>
                <c:pt idx="0">
                  <c:v>59.65760033469946</c:v>
                </c:pt>
              </c:numCache>
            </c:numRef>
          </c:yVal>
          <c:smooth val="0"/>
          <c:extLst>
            <c:ext xmlns:c16="http://schemas.microsoft.com/office/drawing/2014/chart" uri="{C3380CC4-5D6E-409C-BE32-E72D297353CC}">
              <c16:uniqueId val="{00000005-A1F0-46CD-85B5-C28158289FBF}"/>
            </c:ext>
          </c:extLst>
        </c:ser>
        <c:ser>
          <c:idx val="12"/>
          <c:order val="6"/>
          <c:tx>
            <c:v>eth gly 100</c:v>
          </c:tx>
          <c:spPr>
            <a:ln w="19050">
              <a:solidFill>
                <a:sysClr val="windowText" lastClr="000000"/>
              </a:solidFill>
            </a:ln>
          </c:spPr>
          <c:marker>
            <c:symbol val="circle"/>
            <c:size val="7"/>
            <c:spPr>
              <a:solidFill>
                <a:srgbClr val="00B05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Graphs!$T$15</c:f>
                <c:numCache>
                  <c:formatCode>General</c:formatCode>
                  <c:ptCount val="1"/>
                  <c:pt idx="0">
                    <c:v>2</c:v>
                  </c:pt>
                </c:numCache>
              </c:numRef>
            </c:plus>
            <c:minus>
              <c:numRef>
                <c:f>Graphs!$T$15</c:f>
                <c:numCache>
                  <c:formatCode>General</c:formatCode>
                  <c:ptCount val="1"/>
                  <c:pt idx="0">
                    <c:v>2</c:v>
                  </c:pt>
                </c:numCache>
              </c:numRef>
            </c:minus>
          </c:errBars>
          <c:xVal>
            <c:numRef>
              <c:f>Graphs!$P$15</c:f>
              <c:numCache>
                <c:formatCode>General</c:formatCode>
                <c:ptCount val="1"/>
                <c:pt idx="0">
                  <c:v>44</c:v>
                </c:pt>
              </c:numCache>
            </c:numRef>
          </c:xVal>
          <c:yVal>
            <c:numRef>
              <c:f>Graphs!$R$15</c:f>
              <c:numCache>
                <c:formatCode>0.00</c:formatCode>
                <c:ptCount val="1"/>
                <c:pt idx="0">
                  <c:v>46.664017427765636</c:v>
                </c:pt>
              </c:numCache>
            </c:numRef>
          </c:yVal>
          <c:smooth val="0"/>
          <c:extLst>
            <c:ext xmlns:c16="http://schemas.microsoft.com/office/drawing/2014/chart" uri="{C3380CC4-5D6E-409C-BE32-E72D297353CC}">
              <c16:uniqueId val="{00000006-A1F0-46CD-85B5-C28158289FBF}"/>
            </c:ext>
          </c:extLst>
        </c:ser>
        <c:ser>
          <c:idx val="13"/>
          <c:order val="7"/>
          <c:tx>
            <c:v>water 100</c:v>
          </c:tx>
          <c:spPr>
            <a:ln w="19050">
              <a:solidFill>
                <a:sysClr val="windowText" lastClr="000000"/>
              </a:solidFill>
            </a:ln>
          </c:spPr>
          <c:marker>
            <c:symbol val="circle"/>
            <c:size val="7"/>
            <c:spPr>
              <a:solidFill>
                <a:srgbClr val="00B0F0"/>
              </a:solidFill>
              <a:ln>
                <a:solidFill>
                  <a:sysClr val="windowText" lastClr="000000"/>
                </a:solidFill>
              </a:ln>
            </c:spPr>
          </c:marker>
          <c:errBars>
            <c:errDir val="x"/>
            <c:errBarType val="both"/>
            <c:errValType val="stdErr"/>
            <c:noEndCap val="0"/>
          </c:errBars>
          <c:errBars>
            <c:errDir val="y"/>
            <c:errBarType val="both"/>
            <c:errValType val="cust"/>
            <c:noEndCap val="0"/>
            <c:plus>
              <c:numRef>
                <c:f>Graphs!$T$16</c:f>
                <c:numCache>
                  <c:formatCode>General</c:formatCode>
                  <c:ptCount val="1"/>
                  <c:pt idx="0">
                    <c:v>5.8</c:v>
                  </c:pt>
                </c:numCache>
              </c:numRef>
            </c:plus>
            <c:minus>
              <c:numRef>
                <c:f>Graphs!$T$16</c:f>
                <c:numCache>
                  <c:formatCode>General</c:formatCode>
                  <c:ptCount val="1"/>
                  <c:pt idx="0">
                    <c:v>5.8</c:v>
                  </c:pt>
                </c:numCache>
              </c:numRef>
            </c:minus>
          </c:errBars>
          <c:xVal>
            <c:numRef>
              <c:f>Graphs!$P$16</c:f>
              <c:numCache>
                <c:formatCode>General</c:formatCode>
                <c:ptCount val="1"/>
                <c:pt idx="0">
                  <c:v>75</c:v>
                </c:pt>
              </c:numCache>
            </c:numRef>
          </c:xVal>
          <c:yVal>
            <c:numRef>
              <c:f>Graphs!$R$16</c:f>
              <c:numCache>
                <c:formatCode>0.00</c:formatCode>
                <c:ptCount val="1"/>
                <c:pt idx="0">
                  <c:v>66.94131322039955</c:v>
                </c:pt>
              </c:numCache>
            </c:numRef>
          </c:yVal>
          <c:smooth val="0"/>
          <c:extLst>
            <c:ext xmlns:c16="http://schemas.microsoft.com/office/drawing/2014/chart" uri="{C3380CC4-5D6E-409C-BE32-E72D297353CC}">
              <c16:uniqueId val="{00000007-A1F0-46CD-85B5-C28158289FBF}"/>
            </c:ext>
          </c:extLst>
        </c:ser>
        <c:ser>
          <c:idx val="0"/>
          <c:order val="8"/>
          <c:tx>
            <c:v>Trendline</c:v>
          </c:tx>
          <c:spPr>
            <a:ln>
              <a:solidFill>
                <a:schemeClr val="accent1">
                  <a:lumMod val="20000"/>
                  <a:lumOff val="80000"/>
                </a:schemeClr>
              </a:solidFill>
            </a:ln>
          </c:spPr>
          <c:marker>
            <c:spPr>
              <a:noFill/>
              <a:ln>
                <a:solidFill>
                  <a:schemeClr val="accent1">
                    <a:lumMod val="20000"/>
                    <a:lumOff val="80000"/>
                  </a:schemeClr>
                </a:solidFill>
              </a:ln>
            </c:spPr>
          </c:marker>
          <c:xVal>
            <c:numRef>
              <c:f>Graphs!$H$116:$H$117</c:f>
              <c:numCache>
                <c:formatCode>General</c:formatCode>
                <c:ptCount val="2"/>
                <c:pt idx="0">
                  <c:v>23.5</c:v>
                </c:pt>
                <c:pt idx="1">
                  <c:v>75</c:v>
                </c:pt>
              </c:numCache>
            </c:numRef>
          </c:xVal>
          <c:yVal>
            <c:numRef>
              <c:f>Graphs!$G$116:$G$117</c:f>
              <c:numCache>
                <c:formatCode>General</c:formatCode>
                <c:ptCount val="2"/>
                <c:pt idx="0">
                  <c:v>27.143449999999998</c:v>
                </c:pt>
                <c:pt idx="1">
                  <c:v>76.949100000000001</c:v>
                </c:pt>
              </c:numCache>
            </c:numRef>
          </c:yVal>
          <c:smooth val="0"/>
          <c:extLst>
            <c:ext xmlns:c16="http://schemas.microsoft.com/office/drawing/2014/chart" uri="{C3380CC4-5D6E-409C-BE32-E72D297353CC}">
              <c16:uniqueId val="{00000008-A1F0-46CD-85B5-C28158289FBF}"/>
            </c:ext>
          </c:extLst>
        </c:ser>
        <c:dLbls>
          <c:showLegendKey val="0"/>
          <c:showVal val="0"/>
          <c:showCatName val="0"/>
          <c:showSerName val="0"/>
          <c:showPercent val="0"/>
          <c:showBubbleSize val="0"/>
        </c:dLbls>
        <c:axId val="438113920"/>
        <c:axId val="438114312"/>
      </c:scatterChart>
      <c:valAx>
        <c:axId val="438113920"/>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CA</a:t>
                </a:r>
                <a:r>
                  <a:rPr lang="en-US" baseline="0"/>
                  <a:t> Literature (degree)</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114312"/>
        <c:crosses val="autoZero"/>
        <c:crossBetween val="midCat"/>
        <c:majorUnit val="10"/>
      </c:valAx>
      <c:valAx>
        <c:axId val="43811431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CA Measured (degree)</a:t>
                </a:r>
              </a:p>
            </c:rich>
          </c:tx>
          <c:overlay val="0"/>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113920"/>
        <c:crosses val="autoZero"/>
        <c:crossBetween val="midCat"/>
      </c:valAx>
    </c:plotArea>
    <c:plotVisOnly val="1"/>
    <c:dispBlanksAs val="gap"/>
    <c:showDLblsOverMax val="0"/>
    <c:extLst/>
  </c:chart>
  <c:txPr>
    <a:bodyPr/>
    <a:lstStyle/>
    <a:p>
      <a:pPr>
        <a:defRPr/>
      </a:pPr>
      <a:endParaRPr lang="en-US"/>
    </a:p>
  </c:txPr>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NT in Water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Data!$B$22:$B$25</c:f>
              <c:numCache>
                <c:formatCode>General</c:formatCode>
                <c:ptCount val="4"/>
                <c:pt idx="0">
                  <c:v>0</c:v>
                </c:pt>
                <c:pt idx="1">
                  <c:v>2</c:v>
                </c:pt>
                <c:pt idx="2">
                  <c:v>4</c:v>
                </c:pt>
                <c:pt idx="3">
                  <c:v>6</c:v>
                </c:pt>
              </c:numCache>
            </c:numRef>
          </c:xVal>
          <c:yVal>
            <c:numRef>
              <c:f>Data!$S$22:$S$25</c:f>
              <c:numCache>
                <c:formatCode>General</c:formatCode>
                <c:ptCount val="4"/>
                <c:pt idx="0">
                  <c:v>77314</c:v>
                </c:pt>
                <c:pt idx="1">
                  <c:v>68599</c:v>
                </c:pt>
                <c:pt idx="2">
                  <c:v>70687</c:v>
                </c:pt>
                <c:pt idx="3">
                  <c:v>58133</c:v>
                </c:pt>
              </c:numCache>
            </c:numRef>
          </c:yVal>
          <c:smooth val="1"/>
          <c:extLst>
            <c:ext xmlns:c16="http://schemas.microsoft.com/office/drawing/2014/chart" uri="{C3380CC4-5D6E-409C-BE32-E72D297353CC}">
              <c16:uniqueId val="{00000000-297F-413C-8A49-DE714710CD5C}"/>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Data!$B$22:$B$25</c:f>
              <c:numCache>
                <c:formatCode>General</c:formatCode>
                <c:ptCount val="4"/>
                <c:pt idx="0">
                  <c:v>0</c:v>
                </c:pt>
                <c:pt idx="1">
                  <c:v>2</c:v>
                </c:pt>
                <c:pt idx="2">
                  <c:v>4</c:v>
                </c:pt>
                <c:pt idx="3">
                  <c:v>6</c:v>
                </c:pt>
              </c:numCache>
            </c:numRef>
          </c:xVal>
          <c:yVal>
            <c:numRef>
              <c:f>Data!$T$22:$T$25</c:f>
              <c:numCache>
                <c:formatCode>General</c:formatCode>
                <c:ptCount val="4"/>
                <c:pt idx="0">
                  <c:v>310641</c:v>
                </c:pt>
                <c:pt idx="1">
                  <c:v>272157</c:v>
                </c:pt>
                <c:pt idx="2">
                  <c:v>233371</c:v>
                </c:pt>
                <c:pt idx="3">
                  <c:v>193847</c:v>
                </c:pt>
              </c:numCache>
            </c:numRef>
          </c:yVal>
          <c:smooth val="1"/>
          <c:extLst>
            <c:ext xmlns:c16="http://schemas.microsoft.com/office/drawing/2014/chart" uri="{C3380CC4-5D6E-409C-BE32-E72D297353CC}">
              <c16:uniqueId val="{00000001-297F-413C-8A49-DE714710CD5C}"/>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Data!$B$22:$B$25</c:f>
              <c:numCache>
                <c:formatCode>General</c:formatCode>
                <c:ptCount val="4"/>
                <c:pt idx="0">
                  <c:v>0</c:v>
                </c:pt>
                <c:pt idx="1">
                  <c:v>2</c:v>
                </c:pt>
                <c:pt idx="2">
                  <c:v>4</c:v>
                </c:pt>
                <c:pt idx="3">
                  <c:v>6</c:v>
                </c:pt>
              </c:numCache>
            </c:numRef>
          </c:xVal>
          <c:yVal>
            <c:numRef>
              <c:f>Data!$U$22:$U$25</c:f>
              <c:numCache>
                <c:formatCode>General</c:formatCode>
                <c:ptCount val="4"/>
                <c:pt idx="0">
                  <c:v>407664</c:v>
                </c:pt>
                <c:pt idx="1">
                  <c:v>333800</c:v>
                </c:pt>
                <c:pt idx="2">
                  <c:v>303326</c:v>
                </c:pt>
                <c:pt idx="3">
                  <c:v>287354</c:v>
                </c:pt>
              </c:numCache>
            </c:numRef>
          </c:yVal>
          <c:smooth val="1"/>
          <c:extLst>
            <c:ext xmlns:c16="http://schemas.microsoft.com/office/drawing/2014/chart" uri="{C3380CC4-5D6E-409C-BE32-E72D297353CC}">
              <c16:uniqueId val="{00000002-297F-413C-8A49-DE714710CD5C}"/>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Data!$B$22:$B$25</c:f>
              <c:numCache>
                <c:formatCode>General</c:formatCode>
                <c:ptCount val="4"/>
                <c:pt idx="0">
                  <c:v>0</c:v>
                </c:pt>
                <c:pt idx="1">
                  <c:v>2</c:v>
                </c:pt>
                <c:pt idx="2">
                  <c:v>4</c:v>
                </c:pt>
                <c:pt idx="3">
                  <c:v>6</c:v>
                </c:pt>
              </c:numCache>
            </c:numRef>
          </c:xVal>
          <c:yVal>
            <c:numRef>
              <c:f>Data!$V$22:$V$25</c:f>
              <c:numCache>
                <c:formatCode>General</c:formatCode>
                <c:ptCount val="4"/>
                <c:pt idx="0">
                  <c:v>224351</c:v>
                </c:pt>
                <c:pt idx="1">
                  <c:v>264117</c:v>
                </c:pt>
                <c:pt idx="2">
                  <c:v>291815</c:v>
                </c:pt>
                <c:pt idx="3">
                  <c:v>272995</c:v>
                </c:pt>
              </c:numCache>
            </c:numRef>
          </c:yVal>
          <c:smooth val="1"/>
          <c:extLst>
            <c:ext xmlns:c16="http://schemas.microsoft.com/office/drawing/2014/chart" uri="{C3380CC4-5D6E-409C-BE32-E72D297353CC}">
              <c16:uniqueId val="{00000003-297F-413C-8A49-DE714710CD5C}"/>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Data!$B$22:$B$25</c:f>
              <c:numCache>
                <c:formatCode>General</c:formatCode>
                <c:ptCount val="4"/>
                <c:pt idx="0">
                  <c:v>0</c:v>
                </c:pt>
                <c:pt idx="1">
                  <c:v>2</c:v>
                </c:pt>
                <c:pt idx="2">
                  <c:v>4</c:v>
                </c:pt>
                <c:pt idx="3">
                  <c:v>6</c:v>
                </c:pt>
              </c:numCache>
            </c:numRef>
          </c:xVal>
          <c:yVal>
            <c:numRef>
              <c:f>Data!$W$22:$W$25</c:f>
              <c:numCache>
                <c:formatCode>General</c:formatCode>
                <c:ptCount val="4"/>
                <c:pt idx="0">
                  <c:v>158883</c:v>
                </c:pt>
                <c:pt idx="1">
                  <c:v>161058</c:v>
                </c:pt>
                <c:pt idx="2">
                  <c:v>141190</c:v>
                </c:pt>
                <c:pt idx="3">
                  <c:v>142722</c:v>
                </c:pt>
              </c:numCache>
            </c:numRef>
          </c:yVal>
          <c:smooth val="1"/>
          <c:extLst>
            <c:ext xmlns:c16="http://schemas.microsoft.com/office/drawing/2014/chart" uri="{C3380CC4-5D6E-409C-BE32-E72D297353CC}">
              <c16:uniqueId val="{00000004-297F-413C-8A49-DE714710CD5C}"/>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Data!$B$22:$B$25</c:f>
              <c:numCache>
                <c:formatCode>General</c:formatCode>
                <c:ptCount val="4"/>
                <c:pt idx="0">
                  <c:v>0</c:v>
                </c:pt>
                <c:pt idx="1">
                  <c:v>2</c:v>
                </c:pt>
                <c:pt idx="2">
                  <c:v>4</c:v>
                </c:pt>
                <c:pt idx="3">
                  <c:v>6</c:v>
                </c:pt>
              </c:numCache>
            </c:numRef>
          </c:xVal>
          <c:yVal>
            <c:numRef>
              <c:f>Data!$X$22:$X$25</c:f>
              <c:numCache>
                <c:formatCode>General</c:formatCode>
                <c:ptCount val="4"/>
                <c:pt idx="0">
                  <c:v>144961</c:v>
                </c:pt>
                <c:pt idx="1">
                  <c:v>132052</c:v>
                </c:pt>
                <c:pt idx="2">
                  <c:v>129092</c:v>
                </c:pt>
                <c:pt idx="3">
                  <c:v>129452</c:v>
                </c:pt>
              </c:numCache>
            </c:numRef>
          </c:yVal>
          <c:smooth val="1"/>
          <c:extLst>
            <c:ext xmlns:c16="http://schemas.microsoft.com/office/drawing/2014/chart" uri="{C3380CC4-5D6E-409C-BE32-E72D297353CC}">
              <c16:uniqueId val="{00000005-297F-413C-8A49-DE714710CD5C}"/>
            </c:ext>
          </c:extLst>
        </c:ser>
        <c:dLbls>
          <c:showLegendKey val="0"/>
          <c:showVal val="0"/>
          <c:showCatName val="0"/>
          <c:showSerName val="0"/>
          <c:showPercent val="0"/>
          <c:showBubbleSize val="0"/>
        </c:dLbls>
        <c:axId val="436691632"/>
        <c:axId val="436692024"/>
      </c:scatterChart>
      <c:valAx>
        <c:axId val="4366916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692024"/>
        <c:crosses val="autoZero"/>
        <c:crossBetween val="midCat"/>
      </c:valAx>
      <c:valAx>
        <c:axId val="436692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69163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NG in EtOH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Data!$B$27:$B$30</c:f>
              <c:numCache>
                <c:formatCode>General</c:formatCode>
                <c:ptCount val="4"/>
                <c:pt idx="0">
                  <c:v>0</c:v>
                </c:pt>
                <c:pt idx="1">
                  <c:v>2</c:v>
                </c:pt>
                <c:pt idx="2">
                  <c:v>4</c:v>
                </c:pt>
                <c:pt idx="3">
                  <c:v>6</c:v>
                </c:pt>
              </c:numCache>
            </c:numRef>
          </c:xVal>
          <c:yVal>
            <c:numRef>
              <c:f>Data!$S$27:$S$30</c:f>
              <c:numCache>
                <c:formatCode>General</c:formatCode>
                <c:ptCount val="4"/>
                <c:pt idx="0">
                  <c:v>174415</c:v>
                </c:pt>
                <c:pt idx="1">
                  <c:v>164796</c:v>
                </c:pt>
                <c:pt idx="2">
                  <c:v>153935</c:v>
                </c:pt>
                <c:pt idx="3">
                  <c:v>135904</c:v>
                </c:pt>
              </c:numCache>
            </c:numRef>
          </c:yVal>
          <c:smooth val="1"/>
          <c:extLst>
            <c:ext xmlns:c16="http://schemas.microsoft.com/office/drawing/2014/chart" uri="{C3380CC4-5D6E-409C-BE32-E72D297353CC}">
              <c16:uniqueId val="{00000000-ADA1-442F-A563-209F615FC2C7}"/>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Data!$B$27:$B$30</c:f>
              <c:numCache>
                <c:formatCode>General</c:formatCode>
                <c:ptCount val="4"/>
                <c:pt idx="0">
                  <c:v>0</c:v>
                </c:pt>
                <c:pt idx="1">
                  <c:v>2</c:v>
                </c:pt>
                <c:pt idx="2">
                  <c:v>4</c:v>
                </c:pt>
                <c:pt idx="3">
                  <c:v>6</c:v>
                </c:pt>
              </c:numCache>
            </c:numRef>
          </c:xVal>
          <c:yVal>
            <c:numRef>
              <c:f>Data!$T$27:$T$30</c:f>
              <c:numCache>
                <c:formatCode>General</c:formatCode>
                <c:ptCount val="4"/>
                <c:pt idx="0">
                  <c:v>140076</c:v>
                </c:pt>
                <c:pt idx="1">
                  <c:v>120730</c:v>
                </c:pt>
                <c:pt idx="2">
                  <c:v>104239</c:v>
                </c:pt>
                <c:pt idx="3">
                  <c:v>96288</c:v>
                </c:pt>
              </c:numCache>
            </c:numRef>
          </c:yVal>
          <c:smooth val="1"/>
          <c:extLst>
            <c:ext xmlns:c16="http://schemas.microsoft.com/office/drawing/2014/chart" uri="{C3380CC4-5D6E-409C-BE32-E72D297353CC}">
              <c16:uniqueId val="{00000001-ADA1-442F-A563-209F615FC2C7}"/>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Data!$B$27:$B$30</c:f>
              <c:numCache>
                <c:formatCode>General</c:formatCode>
                <c:ptCount val="4"/>
                <c:pt idx="0">
                  <c:v>0</c:v>
                </c:pt>
                <c:pt idx="1">
                  <c:v>2</c:v>
                </c:pt>
                <c:pt idx="2">
                  <c:v>4</c:v>
                </c:pt>
                <c:pt idx="3">
                  <c:v>6</c:v>
                </c:pt>
              </c:numCache>
            </c:numRef>
          </c:xVal>
          <c:yVal>
            <c:numRef>
              <c:f>Data!$U$27:$U$30</c:f>
              <c:numCache>
                <c:formatCode>General</c:formatCode>
                <c:ptCount val="4"/>
                <c:pt idx="0">
                  <c:v>178306</c:v>
                </c:pt>
                <c:pt idx="1">
                  <c:v>161441</c:v>
                </c:pt>
                <c:pt idx="2">
                  <c:v>132365</c:v>
                </c:pt>
                <c:pt idx="3">
                  <c:v>120787</c:v>
                </c:pt>
              </c:numCache>
            </c:numRef>
          </c:yVal>
          <c:smooth val="1"/>
          <c:extLst>
            <c:ext xmlns:c16="http://schemas.microsoft.com/office/drawing/2014/chart" uri="{C3380CC4-5D6E-409C-BE32-E72D297353CC}">
              <c16:uniqueId val="{00000002-ADA1-442F-A563-209F615FC2C7}"/>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Data!$B$27:$B$30</c:f>
              <c:numCache>
                <c:formatCode>General</c:formatCode>
                <c:ptCount val="4"/>
                <c:pt idx="0">
                  <c:v>0</c:v>
                </c:pt>
                <c:pt idx="1">
                  <c:v>2</c:v>
                </c:pt>
                <c:pt idx="2">
                  <c:v>4</c:v>
                </c:pt>
                <c:pt idx="3">
                  <c:v>6</c:v>
                </c:pt>
              </c:numCache>
            </c:numRef>
          </c:xVal>
          <c:yVal>
            <c:numRef>
              <c:f>Data!$V$27:$V$30</c:f>
              <c:numCache>
                <c:formatCode>General</c:formatCode>
                <c:ptCount val="4"/>
                <c:pt idx="0">
                  <c:v>309384</c:v>
                </c:pt>
                <c:pt idx="1">
                  <c:v>275256</c:v>
                </c:pt>
                <c:pt idx="2">
                  <c:v>250234</c:v>
                </c:pt>
                <c:pt idx="3">
                  <c:v>241489</c:v>
                </c:pt>
              </c:numCache>
            </c:numRef>
          </c:yVal>
          <c:smooth val="1"/>
          <c:extLst>
            <c:ext xmlns:c16="http://schemas.microsoft.com/office/drawing/2014/chart" uri="{C3380CC4-5D6E-409C-BE32-E72D297353CC}">
              <c16:uniqueId val="{00000003-ADA1-442F-A563-209F615FC2C7}"/>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Data!$B$27:$B$30</c:f>
              <c:numCache>
                <c:formatCode>General</c:formatCode>
                <c:ptCount val="4"/>
                <c:pt idx="0">
                  <c:v>0</c:v>
                </c:pt>
                <c:pt idx="1">
                  <c:v>2</c:v>
                </c:pt>
                <c:pt idx="2">
                  <c:v>4</c:v>
                </c:pt>
                <c:pt idx="3">
                  <c:v>6</c:v>
                </c:pt>
              </c:numCache>
            </c:numRef>
          </c:xVal>
          <c:yVal>
            <c:numRef>
              <c:f>Data!$W$27:$W$30</c:f>
              <c:numCache>
                <c:formatCode>General</c:formatCode>
                <c:ptCount val="4"/>
                <c:pt idx="0">
                  <c:v>416687</c:v>
                </c:pt>
                <c:pt idx="1">
                  <c:v>362422</c:v>
                </c:pt>
                <c:pt idx="2">
                  <c:v>324173</c:v>
                </c:pt>
                <c:pt idx="3">
                  <c:v>305955</c:v>
                </c:pt>
              </c:numCache>
            </c:numRef>
          </c:yVal>
          <c:smooth val="1"/>
          <c:extLst>
            <c:ext xmlns:c16="http://schemas.microsoft.com/office/drawing/2014/chart" uri="{C3380CC4-5D6E-409C-BE32-E72D297353CC}">
              <c16:uniqueId val="{00000004-ADA1-442F-A563-209F615FC2C7}"/>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Data!$B$27:$B$30</c:f>
              <c:numCache>
                <c:formatCode>General</c:formatCode>
                <c:ptCount val="4"/>
                <c:pt idx="0">
                  <c:v>0</c:v>
                </c:pt>
                <c:pt idx="1">
                  <c:v>2</c:v>
                </c:pt>
                <c:pt idx="2">
                  <c:v>4</c:v>
                </c:pt>
                <c:pt idx="3">
                  <c:v>6</c:v>
                </c:pt>
              </c:numCache>
            </c:numRef>
          </c:xVal>
          <c:yVal>
            <c:numRef>
              <c:f>Data!$X$27:$X$30</c:f>
              <c:numCache>
                <c:formatCode>General</c:formatCode>
                <c:ptCount val="4"/>
                <c:pt idx="0">
                  <c:v>226407</c:v>
                </c:pt>
                <c:pt idx="1">
                  <c:v>266032</c:v>
                </c:pt>
                <c:pt idx="2">
                  <c:v>279521</c:v>
                </c:pt>
                <c:pt idx="3">
                  <c:v>270364</c:v>
                </c:pt>
              </c:numCache>
            </c:numRef>
          </c:yVal>
          <c:smooth val="1"/>
          <c:extLst>
            <c:ext xmlns:c16="http://schemas.microsoft.com/office/drawing/2014/chart" uri="{C3380CC4-5D6E-409C-BE32-E72D297353CC}">
              <c16:uniqueId val="{00000005-ADA1-442F-A563-209F615FC2C7}"/>
            </c:ext>
          </c:extLst>
        </c:ser>
        <c:dLbls>
          <c:showLegendKey val="0"/>
          <c:showVal val="0"/>
          <c:showCatName val="0"/>
          <c:showSerName val="0"/>
          <c:showPercent val="0"/>
          <c:showBubbleSize val="0"/>
        </c:dLbls>
        <c:axId val="436693200"/>
        <c:axId val="436693592"/>
      </c:scatterChart>
      <c:valAx>
        <c:axId val="436693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693592"/>
        <c:crosses val="autoZero"/>
        <c:crossBetween val="midCat"/>
      </c:valAx>
      <c:valAx>
        <c:axId val="436693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6932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NT in EtOH 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Data!$B$32:$B$35</c:f>
              <c:numCache>
                <c:formatCode>General</c:formatCode>
                <c:ptCount val="4"/>
                <c:pt idx="0">
                  <c:v>0</c:v>
                </c:pt>
                <c:pt idx="1">
                  <c:v>2</c:v>
                </c:pt>
                <c:pt idx="2">
                  <c:v>4</c:v>
                </c:pt>
                <c:pt idx="3">
                  <c:v>6</c:v>
                </c:pt>
              </c:numCache>
            </c:numRef>
          </c:xVal>
          <c:yVal>
            <c:numRef>
              <c:f>Data!$S$32:$S$35</c:f>
              <c:numCache>
                <c:formatCode>General</c:formatCode>
                <c:ptCount val="4"/>
                <c:pt idx="0">
                  <c:v>189045</c:v>
                </c:pt>
                <c:pt idx="1">
                  <c:v>158541</c:v>
                </c:pt>
                <c:pt idx="2">
                  <c:v>162797</c:v>
                </c:pt>
                <c:pt idx="3">
                  <c:v>150239</c:v>
                </c:pt>
              </c:numCache>
            </c:numRef>
          </c:yVal>
          <c:smooth val="1"/>
          <c:extLst>
            <c:ext xmlns:c16="http://schemas.microsoft.com/office/drawing/2014/chart" uri="{C3380CC4-5D6E-409C-BE32-E72D297353CC}">
              <c16:uniqueId val="{00000000-5DC4-47F5-AA87-12E03774487F}"/>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Data!$B$32:$B$35</c:f>
              <c:numCache>
                <c:formatCode>General</c:formatCode>
                <c:ptCount val="4"/>
                <c:pt idx="0">
                  <c:v>0</c:v>
                </c:pt>
                <c:pt idx="1">
                  <c:v>2</c:v>
                </c:pt>
                <c:pt idx="2">
                  <c:v>4</c:v>
                </c:pt>
                <c:pt idx="3">
                  <c:v>6</c:v>
                </c:pt>
              </c:numCache>
            </c:numRef>
          </c:xVal>
          <c:yVal>
            <c:numRef>
              <c:f>Data!$T$32:$T$35</c:f>
              <c:numCache>
                <c:formatCode>General</c:formatCode>
                <c:ptCount val="4"/>
                <c:pt idx="0">
                  <c:v>180796</c:v>
                </c:pt>
                <c:pt idx="1">
                  <c:v>169438</c:v>
                </c:pt>
                <c:pt idx="2">
                  <c:v>149175</c:v>
                </c:pt>
                <c:pt idx="3">
                  <c:v>137762</c:v>
                </c:pt>
              </c:numCache>
            </c:numRef>
          </c:yVal>
          <c:smooth val="1"/>
          <c:extLst>
            <c:ext xmlns:c16="http://schemas.microsoft.com/office/drawing/2014/chart" uri="{C3380CC4-5D6E-409C-BE32-E72D297353CC}">
              <c16:uniqueId val="{00000001-5DC4-47F5-AA87-12E03774487F}"/>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Data!$B$32:$B$35</c:f>
              <c:numCache>
                <c:formatCode>General</c:formatCode>
                <c:ptCount val="4"/>
                <c:pt idx="0">
                  <c:v>0</c:v>
                </c:pt>
                <c:pt idx="1">
                  <c:v>2</c:v>
                </c:pt>
                <c:pt idx="2">
                  <c:v>4</c:v>
                </c:pt>
                <c:pt idx="3">
                  <c:v>6</c:v>
                </c:pt>
              </c:numCache>
            </c:numRef>
          </c:xVal>
          <c:yVal>
            <c:numRef>
              <c:f>Data!$U$32:$U$35</c:f>
              <c:numCache>
                <c:formatCode>General</c:formatCode>
                <c:ptCount val="4"/>
                <c:pt idx="0">
                  <c:v>196210</c:v>
                </c:pt>
                <c:pt idx="1">
                  <c:v>153894</c:v>
                </c:pt>
                <c:pt idx="2">
                  <c:v>140889</c:v>
                </c:pt>
                <c:pt idx="3">
                  <c:v>155131</c:v>
                </c:pt>
              </c:numCache>
            </c:numRef>
          </c:yVal>
          <c:smooth val="1"/>
          <c:extLst>
            <c:ext xmlns:c16="http://schemas.microsoft.com/office/drawing/2014/chart" uri="{C3380CC4-5D6E-409C-BE32-E72D297353CC}">
              <c16:uniqueId val="{00000002-5DC4-47F5-AA87-12E03774487F}"/>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Data!$B$32:$B$35</c:f>
              <c:numCache>
                <c:formatCode>General</c:formatCode>
                <c:ptCount val="4"/>
                <c:pt idx="0">
                  <c:v>0</c:v>
                </c:pt>
                <c:pt idx="1">
                  <c:v>2</c:v>
                </c:pt>
                <c:pt idx="2">
                  <c:v>4</c:v>
                </c:pt>
                <c:pt idx="3">
                  <c:v>6</c:v>
                </c:pt>
              </c:numCache>
            </c:numRef>
          </c:xVal>
          <c:yVal>
            <c:numRef>
              <c:f>Data!$V$32:$V$35</c:f>
              <c:numCache>
                <c:formatCode>General</c:formatCode>
                <c:ptCount val="4"/>
                <c:pt idx="0">
                  <c:v>260710</c:v>
                </c:pt>
                <c:pt idx="1">
                  <c:v>241140</c:v>
                </c:pt>
                <c:pt idx="2">
                  <c:v>233590</c:v>
                </c:pt>
                <c:pt idx="3">
                  <c:v>211749</c:v>
                </c:pt>
              </c:numCache>
            </c:numRef>
          </c:yVal>
          <c:smooth val="1"/>
          <c:extLst>
            <c:ext xmlns:c16="http://schemas.microsoft.com/office/drawing/2014/chart" uri="{C3380CC4-5D6E-409C-BE32-E72D297353CC}">
              <c16:uniqueId val="{00000003-5DC4-47F5-AA87-12E03774487F}"/>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Data!$B$32:$B$35</c:f>
              <c:numCache>
                <c:formatCode>General</c:formatCode>
                <c:ptCount val="4"/>
                <c:pt idx="0">
                  <c:v>0</c:v>
                </c:pt>
                <c:pt idx="1">
                  <c:v>2</c:v>
                </c:pt>
                <c:pt idx="2">
                  <c:v>4</c:v>
                </c:pt>
                <c:pt idx="3">
                  <c:v>6</c:v>
                </c:pt>
              </c:numCache>
            </c:numRef>
          </c:xVal>
          <c:yVal>
            <c:numRef>
              <c:f>Data!$W$32:$W$35</c:f>
              <c:numCache>
                <c:formatCode>General</c:formatCode>
                <c:ptCount val="4"/>
                <c:pt idx="0">
                  <c:v>117530</c:v>
                </c:pt>
                <c:pt idx="1">
                  <c:v>100562</c:v>
                </c:pt>
                <c:pt idx="2">
                  <c:v>93206</c:v>
                </c:pt>
                <c:pt idx="3">
                  <c:v>96401</c:v>
                </c:pt>
              </c:numCache>
            </c:numRef>
          </c:yVal>
          <c:smooth val="1"/>
          <c:extLst>
            <c:ext xmlns:c16="http://schemas.microsoft.com/office/drawing/2014/chart" uri="{C3380CC4-5D6E-409C-BE32-E72D297353CC}">
              <c16:uniqueId val="{00000004-5DC4-47F5-AA87-12E03774487F}"/>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Data!$B$32:$B$35</c:f>
              <c:numCache>
                <c:formatCode>General</c:formatCode>
                <c:ptCount val="4"/>
                <c:pt idx="0">
                  <c:v>0</c:v>
                </c:pt>
                <c:pt idx="1">
                  <c:v>2</c:v>
                </c:pt>
                <c:pt idx="2">
                  <c:v>4</c:v>
                </c:pt>
                <c:pt idx="3">
                  <c:v>6</c:v>
                </c:pt>
              </c:numCache>
            </c:numRef>
          </c:xVal>
          <c:yVal>
            <c:numRef>
              <c:f>Data!$X$32:$X$35</c:f>
              <c:numCache>
                <c:formatCode>General</c:formatCode>
                <c:ptCount val="4"/>
                <c:pt idx="0">
                  <c:v>126129</c:v>
                </c:pt>
                <c:pt idx="1">
                  <c:v>200451</c:v>
                </c:pt>
                <c:pt idx="2">
                  <c:v>128656</c:v>
                </c:pt>
                <c:pt idx="3">
                  <c:v>101377</c:v>
                </c:pt>
              </c:numCache>
            </c:numRef>
          </c:yVal>
          <c:smooth val="1"/>
          <c:extLst>
            <c:ext xmlns:c16="http://schemas.microsoft.com/office/drawing/2014/chart" uri="{C3380CC4-5D6E-409C-BE32-E72D297353CC}">
              <c16:uniqueId val="{00000005-5DC4-47F5-AA87-12E03774487F}"/>
            </c:ext>
          </c:extLst>
        </c:ser>
        <c:dLbls>
          <c:showLegendKey val="0"/>
          <c:showVal val="0"/>
          <c:showCatName val="0"/>
          <c:showSerName val="0"/>
          <c:showPercent val="0"/>
          <c:showBubbleSize val="0"/>
        </c:dLbls>
        <c:axId val="507854904"/>
        <c:axId val="507855296"/>
      </c:scatterChart>
      <c:valAx>
        <c:axId val="5078549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855296"/>
        <c:crosses val="autoZero"/>
        <c:crossBetween val="midCat"/>
      </c:valAx>
      <c:valAx>
        <c:axId val="507855296"/>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85490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DDAO-Bacteria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Data!$B$37:$B$40</c:f>
              <c:numCache>
                <c:formatCode>General</c:formatCode>
                <c:ptCount val="4"/>
                <c:pt idx="0">
                  <c:v>0</c:v>
                </c:pt>
                <c:pt idx="1">
                  <c:v>2</c:v>
                </c:pt>
                <c:pt idx="2">
                  <c:v>4</c:v>
                </c:pt>
                <c:pt idx="3">
                  <c:v>6</c:v>
                </c:pt>
              </c:numCache>
            </c:numRef>
          </c:xVal>
          <c:yVal>
            <c:numRef>
              <c:f>Data!$S$37:$S$40</c:f>
              <c:numCache>
                <c:formatCode>General</c:formatCode>
                <c:ptCount val="4"/>
                <c:pt idx="0">
                  <c:v>104749</c:v>
                </c:pt>
                <c:pt idx="1">
                  <c:v>109587</c:v>
                </c:pt>
                <c:pt idx="2">
                  <c:v>88896</c:v>
                </c:pt>
                <c:pt idx="3">
                  <c:v>83305</c:v>
                </c:pt>
              </c:numCache>
            </c:numRef>
          </c:yVal>
          <c:smooth val="1"/>
          <c:extLst>
            <c:ext xmlns:c16="http://schemas.microsoft.com/office/drawing/2014/chart" uri="{C3380CC4-5D6E-409C-BE32-E72D297353CC}">
              <c16:uniqueId val="{00000000-91AF-4F78-A477-A62857301D57}"/>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Data!$B$37:$B$40</c:f>
              <c:numCache>
                <c:formatCode>General</c:formatCode>
                <c:ptCount val="4"/>
                <c:pt idx="0">
                  <c:v>0</c:v>
                </c:pt>
                <c:pt idx="1">
                  <c:v>2</c:v>
                </c:pt>
                <c:pt idx="2">
                  <c:v>4</c:v>
                </c:pt>
                <c:pt idx="3">
                  <c:v>6</c:v>
                </c:pt>
              </c:numCache>
            </c:numRef>
          </c:xVal>
          <c:yVal>
            <c:numRef>
              <c:f>Data!$T$37:$T$40</c:f>
              <c:numCache>
                <c:formatCode>General</c:formatCode>
                <c:ptCount val="4"/>
                <c:pt idx="0">
                  <c:v>55981</c:v>
                </c:pt>
                <c:pt idx="1">
                  <c:v>47079</c:v>
                </c:pt>
                <c:pt idx="2">
                  <c:v>39277</c:v>
                </c:pt>
                <c:pt idx="3">
                  <c:v>46704</c:v>
                </c:pt>
              </c:numCache>
            </c:numRef>
          </c:yVal>
          <c:smooth val="1"/>
          <c:extLst>
            <c:ext xmlns:c16="http://schemas.microsoft.com/office/drawing/2014/chart" uri="{C3380CC4-5D6E-409C-BE32-E72D297353CC}">
              <c16:uniqueId val="{00000001-91AF-4F78-A477-A62857301D57}"/>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Data!$B$37:$B$40</c:f>
              <c:numCache>
                <c:formatCode>General</c:formatCode>
                <c:ptCount val="4"/>
                <c:pt idx="0">
                  <c:v>0</c:v>
                </c:pt>
                <c:pt idx="1">
                  <c:v>2</c:v>
                </c:pt>
                <c:pt idx="2">
                  <c:v>4</c:v>
                </c:pt>
                <c:pt idx="3">
                  <c:v>6</c:v>
                </c:pt>
              </c:numCache>
            </c:numRef>
          </c:xVal>
          <c:yVal>
            <c:numRef>
              <c:f>Data!$U$37:$U$40</c:f>
              <c:numCache>
                <c:formatCode>General</c:formatCode>
                <c:ptCount val="4"/>
                <c:pt idx="0">
                  <c:v>87170</c:v>
                </c:pt>
                <c:pt idx="1">
                  <c:v>78130</c:v>
                </c:pt>
                <c:pt idx="2">
                  <c:v>75765</c:v>
                </c:pt>
                <c:pt idx="3">
                  <c:v>63570</c:v>
                </c:pt>
              </c:numCache>
            </c:numRef>
          </c:yVal>
          <c:smooth val="1"/>
          <c:extLst>
            <c:ext xmlns:c16="http://schemas.microsoft.com/office/drawing/2014/chart" uri="{C3380CC4-5D6E-409C-BE32-E72D297353CC}">
              <c16:uniqueId val="{00000002-91AF-4F78-A477-A62857301D57}"/>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Data!$B$37:$B$40</c:f>
              <c:numCache>
                <c:formatCode>General</c:formatCode>
                <c:ptCount val="4"/>
                <c:pt idx="0">
                  <c:v>0</c:v>
                </c:pt>
                <c:pt idx="1">
                  <c:v>2</c:v>
                </c:pt>
                <c:pt idx="2">
                  <c:v>4</c:v>
                </c:pt>
                <c:pt idx="3">
                  <c:v>6</c:v>
                </c:pt>
              </c:numCache>
            </c:numRef>
          </c:xVal>
          <c:yVal>
            <c:numRef>
              <c:f>Data!$V$37:$V$40</c:f>
              <c:numCache>
                <c:formatCode>General</c:formatCode>
                <c:ptCount val="4"/>
                <c:pt idx="0">
                  <c:v>40641</c:v>
                </c:pt>
                <c:pt idx="1">
                  <c:v>31167</c:v>
                </c:pt>
                <c:pt idx="2">
                  <c:v>26198</c:v>
                </c:pt>
                <c:pt idx="3">
                  <c:v>27586</c:v>
                </c:pt>
              </c:numCache>
            </c:numRef>
          </c:yVal>
          <c:smooth val="1"/>
          <c:extLst>
            <c:ext xmlns:c16="http://schemas.microsoft.com/office/drawing/2014/chart" uri="{C3380CC4-5D6E-409C-BE32-E72D297353CC}">
              <c16:uniqueId val="{00000003-91AF-4F78-A477-A62857301D57}"/>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Data!$B$37:$B$40</c:f>
              <c:numCache>
                <c:formatCode>General</c:formatCode>
                <c:ptCount val="4"/>
                <c:pt idx="0">
                  <c:v>0</c:v>
                </c:pt>
                <c:pt idx="1">
                  <c:v>2</c:v>
                </c:pt>
                <c:pt idx="2">
                  <c:v>4</c:v>
                </c:pt>
                <c:pt idx="3">
                  <c:v>6</c:v>
                </c:pt>
              </c:numCache>
            </c:numRef>
          </c:xVal>
          <c:yVal>
            <c:numRef>
              <c:f>Data!$W$37:$W$40</c:f>
              <c:numCache>
                <c:formatCode>General</c:formatCode>
                <c:ptCount val="4"/>
                <c:pt idx="0">
                  <c:v>80533</c:v>
                </c:pt>
                <c:pt idx="1">
                  <c:v>81034</c:v>
                </c:pt>
                <c:pt idx="2">
                  <c:v>74061</c:v>
                </c:pt>
                <c:pt idx="3">
                  <c:v>75071</c:v>
                </c:pt>
              </c:numCache>
            </c:numRef>
          </c:yVal>
          <c:smooth val="1"/>
          <c:extLst>
            <c:ext xmlns:c16="http://schemas.microsoft.com/office/drawing/2014/chart" uri="{C3380CC4-5D6E-409C-BE32-E72D297353CC}">
              <c16:uniqueId val="{00000004-91AF-4F78-A477-A62857301D57}"/>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Data!$B$37:$B$40</c:f>
              <c:numCache>
                <c:formatCode>General</c:formatCode>
                <c:ptCount val="4"/>
                <c:pt idx="0">
                  <c:v>0</c:v>
                </c:pt>
                <c:pt idx="1">
                  <c:v>2</c:v>
                </c:pt>
                <c:pt idx="2">
                  <c:v>4</c:v>
                </c:pt>
                <c:pt idx="3">
                  <c:v>6</c:v>
                </c:pt>
              </c:numCache>
            </c:numRef>
          </c:xVal>
          <c:yVal>
            <c:numRef>
              <c:f>Data!$X$37:$X$40</c:f>
              <c:numCache>
                <c:formatCode>General</c:formatCode>
                <c:ptCount val="4"/>
                <c:pt idx="0">
                  <c:v>41764</c:v>
                </c:pt>
                <c:pt idx="1">
                  <c:v>46039</c:v>
                </c:pt>
                <c:pt idx="2">
                  <c:v>39180</c:v>
                </c:pt>
                <c:pt idx="3">
                  <c:v>28493</c:v>
                </c:pt>
              </c:numCache>
            </c:numRef>
          </c:yVal>
          <c:smooth val="1"/>
          <c:extLst>
            <c:ext xmlns:c16="http://schemas.microsoft.com/office/drawing/2014/chart" uri="{C3380CC4-5D6E-409C-BE32-E72D297353CC}">
              <c16:uniqueId val="{00000005-91AF-4F78-A477-A62857301D57}"/>
            </c:ext>
          </c:extLst>
        </c:ser>
        <c:dLbls>
          <c:showLegendKey val="0"/>
          <c:showVal val="0"/>
          <c:showCatName val="0"/>
          <c:showSerName val="0"/>
          <c:showPercent val="0"/>
          <c:showBubbleSize val="0"/>
        </c:dLbls>
        <c:axId val="507856472"/>
        <c:axId val="507856864"/>
      </c:scatterChart>
      <c:valAx>
        <c:axId val="507856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856864"/>
        <c:crosses val="autoZero"/>
        <c:crossBetween val="midCat"/>
      </c:valAx>
      <c:valAx>
        <c:axId val="507856864"/>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8564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Optibond-Bacteria vs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Data!$B$42:$B$45</c:f>
              <c:numCache>
                <c:formatCode>General</c:formatCode>
                <c:ptCount val="4"/>
                <c:pt idx="0">
                  <c:v>0</c:v>
                </c:pt>
                <c:pt idx="1">
                  <c:v>2</c:v>
                </c:pt>
                <c:pt idx="2">
                  <c:v>4</c:v>
                </c:pt>
                <c:pt idx="3">
                  <c:v>6</c:v>
                </c:pt>
              </c:numCache>
            </c:numRef>
          </c:xVal>
          <c:yVal>
            <c:numRef>
              <c:f>Data!$S$42:$S$45</c:f>
              <c:numCache>
                <c:formatCode>General</c:formatCode>
                <c:ptCount val="4"/>
                <c:pt idx="0">
                  <c:v>48274</c:v>
                </c:pt>
                <c:pt idx="1">
                  <c:v>43647</c:v>
                </c:pt>
                <c:pt idx="2">
                  <c:v>50473</c:v>
                </c:pt>
                <c:pt idx="3">
                  <c:v>39458</c:v>
                </c:pt>
              </c:numCache>
            </c:numRef>
          </c:yVal>
          <c:smooth val="1"/>
          <c:extLst>
            <c:ext xmlns:c16="http://schemas.microsoft.com/office/drawing/2014/chart" uri="{C3380CC4-5D6E-409C-BE32-E72D297353CC}">
              <c16:uniqueId val="{00000000-BB59-418D-A7F4-846C8BB601F3}"/>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Data!$B$42:$B$45</c:f>
              <c:numCache>
                <c:formatCode>General</c:formatCode>
                <c:ptCount val="4"/>
                <c:pt idx="0">
                  <c:v>0</c:v>
                </c:pt>
                <c:pt idx="1">
                  <c:v>2</c:v>
                </c:pt>
                <c:pt idx="2">
                  <c:v>4</c:v>
                </c:pt>
                <c:pt idx="3">
                  <c:v>6</c:v>
                </c:pt>
              </c:numCache>
            </c:numRef>
          </c:xVal>
          <c:yVal>
            <c:numRef>
              <c:f>Data!$T$42:$T$45</c:f>
              <c:numCache>
                <c:formatCode>General</c:formatCode>
                <c:ptCount val="4"/>
                <c:pt idx="0">
                  <c:v>150181</c:v>
                </c:pt>
                <c:pt idx="1">
                  <c:v>159664</c:v>
                </c:pt>
                <c:pt idx="2">
                  <c:v>143579</c:v>
                </c:pt>
                <c:pt idx="3">
                  <c:v>127325</c:v>
                </c:pt>
              </c:numCache>
            </c:numRef>
          </c:yVal>
          <c:smooth val="1"/>
          <c:extLst>
            <c:ext xmlns:c16="http://schemas.microsoft.com/office/drawing/2014/chart" uri="{C3380CC4-5D6E-409C-BE32-E72D297353CC}">
              <c16:uniqueId val="{00000001-BB59-418D-A7F4-846C8BB601F3}"/>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Data!$B$42:$B$45</c:f>
              <c:numCache>
                <c:formatCode>General</c:formatCode>
                <c:ptCount val="4"/>
                <c:pt idx="0">
                  <c:v>0</c:v>
                </c:pt>
                <c:pt idx="1">
                  <c:v>2</c:v>
                </c:pt>
                <c:pt idx="2">
                  <c:v>4</c:v>
                </c:pt>
                <c:pt idx="3">
                  <c:v>6</c:v>
                </c:pt>
              </c:numCache>
            </c:numRef>
          </c:xVal>
          <c:yVal>
            <c:numRef>
              <c:f>Data!$U$42:$U$45</c:f>
              <c:numCache>
                <c:formatCode>General</c:formatCode>
                <c:ptCount val="4"/>
                <c:pt idx="0">
                  <c:v>155750</c:v>
                </c:pt>
                <c:pt idx="1">
                  <c:v>138059</c:v>
                </c:pt>
                <c:pt idx="2">
                  <c:v>121876</c:v>
                </c:pt>
                <c:pt idx="3">
                  <c:v>122174</c:v>
                </c:pt>
              </c:numCache>
            </c:numRef>
          </c:yVal>
          <c:smooth val="1"/>
          <c:extLst>
            <c:ext xmlns:c16="http://schemas.microsoft.com/office/drawing/2014/chart" uri="{C3380CC4-5D6E-409C-BE32-E72D297353CC}">
              <c16:uniqueId val="{00000002-BB59-418D-A7F4-846C8BB601F3}"/>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Data!$B$42:$B$45</c:f>
              <c:numCache>
                <c:formatCode>General</c:formatCode>
                <c:ptCount val="4"/>
                <c:pt idx="0">
                  <c:v>0</c:v>
                </c:pt>
                <c:pt idx="1">
                  <c:v>2</c:v>
                </c:pt>
                <c:pt idx="2">
                  <c:v>4</c:v>
                </c:pt>
                <c:pt idx="3">
                  <c:v>6</c:v>
                </c:pt>
              </c:numCache>
            </c:numRef>
          </c:xVal>
          <c:yVal>
            <c:numRef>
              <c:f>Data!$V$42:$V$45</c:f>
              <c:numCache>
                <c:formatCode>General</c:formatCode>
                <c:ptCount val="4"/>
                <c:pt idx="0">
                  <c:v>155687</c:v>
                </c:pt>
                <c:pt idx="1">
                  <c:v>147157</c:v>
                </c:pt>
                <c:pt idx="2">
                  <c:v>133875</c:v>
                </c:pt>
                <c:pt idx="3">
                  <c:v>115745</c:v>
                </c:pt>
              </c:numCache>
            </c:numRef>
          </c:yVal>
          <c:smooth val="1"/>
          <c:extLst>
            <c:ext xmlns:c16="http://schemas.microsoft.com/office/drawing/2014/chart" uri="{C3380CC4-5D6E-409C-BE32-E72D297353CC}">
              <c16:uniqueId val="{00000003-BB59-418D-A7F4-846C8BB601F3}"/>
            </c:ext>
          </c:extLst>
        </c:ser>
        <c:ser>
          <c:idx val="4"/>
          <c:order val="4"/>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Data!$B$42:$B$45</c:f>
              <c:numCache>
                <c:formatCode>General</c:formatCode>
                <c:ptCount val="4"/>
                <c:pt idx="0">
                  <c:v>0</c:v>
                </c:pt>
                <c:pt idx="1">
                  <c:v>2</c:v>
                </c:pt>
                <c:pt idx="2">
                  <c:v>4</c:v>
                </c:pt>
                <c:pt idx="3">
                  <c:v>6</c:v>
                </c:pt>
              </c:numCache>
            </c:numRef>
          </c:xVal>
          <c:yVal>
            <c:numRef>
              <c:f>Data!$W$42:$W$45</c:f>
              <c:numCache>
                <c:formatCode>General</c:formatCode>
                <c:ptCount val="4"/>
                <c:pt idx="0">
                  <c:v>97132</c:v>
                </c:pt>
                <c:pt idx="1">
                  <c:v>82378</c:v>
                </c:pt>
                <c:pt idx="2">
                  <c:v>99290</c:v>
                </c:pt>
                <c:pt idx="3">
                  <c:v>97693</c:v>
                </c:pt>
              </c:numCache>
            </c:numRef>
          </c:yVal>
          <c:smooth val="1"/>
          <c:extLst>
            <c:ext xmlns:c16="http://schemas.microsoft.com/office/drawing/2014/chart" uri="{C3380CC4-5D6E-409C-BE32-E72D297353CC}">
              <c16:uniqueId val="{00000004-BB59-418D-A7F4-846C8BB601F3}"/>
            </c:ext>
          </c:extLst>
        </c:ser>
        <c:ser>
          <c:idx val="5"/>
          <c:order val="5"/>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Data!$B$42:$B$45</c:f>
              <c:numCache>
                <c:formatCode>General</c:formatCode>
                <c:ptCount val="4"/>
                <c:pt idx="0">
                  <c:v>0</c:v>
                </c:pt>
                <c:pt idx="1">
                  <c:v>2</c:v>
                </c:pt>
                <c:pt idx="2">
                  <c:v>4</c:v>
                </c:pt>
                <c:pt idx="3">
                  <c:v>6</c:v>
                </c:pt>
              </c:numCache>
            </c:numRef>
          </c:xVal>
          <c:yVal>
            <c:numRef>
              <c:f>Data!$X$42:$X$45</c:f>
              <c:numCache>
                <c:formatCode>General</c:formatCode>
                <c:ptCount val="4"/>
                <c:pt idx="0">
                  <c:v>113084</c:v>
                </c:pt>
                <c:pt idx="1">
                  <c:v>89740</c:v>
                </c:pt>
                <c:pt idx="2">
                  <c:v>93725</c:v>
                </c:pt>
                <c:pt idx="3">
                  <c:v>83318</c:v>
                </c:pt>
              </c:numCache>
            </c:numRef>
          </c:yVal>
          <c:smooth val="1"/>
          <c:extLst>
            <c:ext xmlns:c16="http://schemas.microsoft.com/office/drawing/2014/chart" uri="{C3380CC4-5D6E-409C-BE32-E72D297353CC}">
              <c16:uniqueId val="{00000005-BB59-418D-A7F4-846C8BB601F3}"/>
            </c:ext>
          </c:extLst>
        </c:ser>
        <c:dLbls>
          <c:showLegendKey val="0"/>
          <c:showVal val="0"/>
          <c:showCatName val="0"/>
          <c:showSerName val="0"/>
          <c:showPercent val="0"/>
          <c:showBubbleSize val="0"/>
        </c:dLbls>
        <c:axId val="507858040"/>
        <c:axId val="507858432"/>
      </c:scatterChart>
      <c:valAx>
        <c:axId val="507858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858432"/>
        <c:crosses val="autoZero"/>
        <c:crossBetween val="midCat"/>
      </c:valAx>
      <c:valAx>
        <c:axId val="507858432"/>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Bacteria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8580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rPr>
              <a:t>Contact Angle Measurement Method vs Experimental Contact Angle</a:t>
            </a:r>
            <a:endParaRPr lang="en-US" sz="11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10923543350090521"/>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13353178203898736"/>
          <c:y val="0.20680199378747383"/>
          <c:w val="0.51534422327643825"/>
          <c:h val="0.65974926612071738"/>
        </c:manualLayout>
      </c:layout>
      <c:scatterChart>
        <c:scatterStyle val="lineMarker"/>
        <c:varyColors val="0"/>
        <c:ser>
          <c:idx val="0"/>
          <c:order val="0"/>
          <c:tx>
            <c:v>Thin Wick, ZnO Diiodo</c:v>
          </c:tx>
          <c:spPr>
            <a:ln w="25400" cap="rnd">
              <a:solidFill>
                <a:sysClr val="windowText" lastClr="000000"/>
              </a:solidFill>
              <a:round/>
            </a:ln>
            <a:effectLst/>
          </c:spPr>
          <c:marker>
            <c:symbol val="square"/>
            <c:size val="7"/>
            <c:spPr>
              <a:solidFill>
                <a:schemeClr val="bg2">
                  <a:lumMod val="90000"/>
                </a:schemeClr>
              </a:solidFill>
              <a:ln w="9525">
                <a:solidFill>
                  <a:sysClr val="windowText" lastClr="000000"/>
                </a:solidFill>
              </a:ln>
              <a:effectLst/>
            </c:spPr>
          </c:marker>
          <c:xVal>
            <c:numRef>
              <c:f>Graphs!$AF$3</c:f>
              <c:numCache>
                <c:formatCode>General</c:formatCode>
                <c:ptCount val="1"/>
                <c:pt idx="0">
                  <c:v>22.5</c:v>
                </c:pt>
              </c:numCache>
            </c:numRef>
          </c:xVal>
          <c:yVal>
            <c:numRef>
              <c:f>Graphs!$AG$3</c:f>
              <c:numCache>
                <c:formatCode>0.00</c:formatCode>
                <c:ptCount val="1"/>
                <c:pt idx="0">
                  <c:v>32.596637138255545</c:v>
                </c:pt>
              </c:numCache>
            </c:numRef>
          </c:yVal>
          <c:smooth val="0"/>
          <c:extLst>
            <c:ext xmlns:c16="http://schemas.microsoft.com/office/drawing/2014/chart" uri="{C3380CC4-5D6E-409C-BE32-E72D297353CC}">
              <c16:uniqueId val="{00000000-C3BD-472A-B721-2FF1EE6BAFD0}"/>
            </c:ext>
          </c:extLst>
        </c:ser>
        <c:ser>
          <c:idx val="1"/>
          <c:order val="1"/>
          <c:tx>
            <c:v>thin wick, ZnO Fom</c:v>
          </c:tx>
          <c:spPr>
            <a:ln w="25400" cap="rnd">
              <a:solidFill>
                <a:sysClr val="windowText" lastClr="000000"/>
              </a:solidFill>
              <a:round/>
            </a:ln>
            <a:effectLst/>
          </c:spPr>
          <c:marker>
            <c:symbol val="square"/>
            <c:size val="7"/>
            <c:spPr>
              <a:solidFill>
                <a:srgbClr val="C00000"/>
              </a:solidFill>
              <a:ln w="9525">
                <a:solidFill>
                  <a:sysClr val="windowText" lastClr="000000"/>
                </a:solidFill>
              </a:ln>
              <a:effectLst/>
            </c:spPr>
          </c:marker>
          <c:xVal>
            <c:numRef>
              <c:f>Graphs!$AF$4</c:f>
              <c:numCache>
                <c:formatCode>General</c:formatCode>
                <c:ptCount val="1"/>
                <c:pt idx="0">
                  <c:v>23.5</c:v>
                </c:pt>
              </c:numCache>
            </c:numRef>
          </c:xVal>
          <c:yVal>
            <c:numRef>
              <c:f>Graphs!$AG$4</c:f>
              <c:numCache>
                <c:formatCode>0.00</c:formatCode>
                <c:ptCount val="1"/>
                <c:pt idx="0">
                  <c:v>16.819376791704599</c:v>
                </c:pt>
              </c:numCache>
            </c:numRef>
          </c:yVal>
          <c:smooth val="0"/>
          <c:extLst>
            <c:ext xmlns:c16="http://schemas.microsoft.com/office/drawing/2014/chart" uri="{C3380CC4-5D6E-409C-BE32-E72D297353CC}">
              <c16:uniqueId val="{00000001-C3BD-472A-B721-2FF1EE6BAFD0}"/>
            </c:ext>
          </c:extLst>
        </c:ser>
        <c:ser>
          <c:idx val="2"/>
          <c:order val="2"/>
          <c:tx>
            <c:v>SCA, ZnO diiodo</c:v>
          </c:tx>
          <c:spPr>
            <a:ln w="19050" cap="rnd">
              <a:solidFill>
                <a:sysClr val="windowText" lastClr="000000"/>
              </a:solidFill>
              <a:round/>
            </a:ln>
            <a:effectLst/>
          </c:spPr>
          <c:marker>
            <c:symbol val="diamond"/>
            <c:size val="7"/>
            <c:spPr>
              <a:solidFill>
                <a:schemeClr val="bg2">
                  <a:lumMod val="90000"/>
                </a:schemeClr>
              </a:solidFill>
              <a:ln w="9525">
                <a:solidFill>
                  <a:sysClr val="windowText" lastClr="000000"/>
                </a:solidFill>
              </a:ln>
              <a:effectLst/>
            </c:spPr>
          </c:marker>
          <c:xVal>
            <c:numRef>
              <c:f>Graphs!$AF$5</c:f>
              <c:numCache>
                <c:formatCode>General</c:formatCode>
                <c:ptCount val="1"/>
                <c:pt idx="0">
                  <c:v>8.5</c:v>
                </c:pt>
              </c:numCache>
            </c:numRef>
          </c:xVal>
          <c:yVal>
            <c:numRef>
              <c:f>Graphs!$AG$5</c:f>
              <c:numCache>
                <c:formatCode>0.00</c:formatCode>
                <c:ptCount val="1"/>
                <c:pt idx="0">
                  <c:v>32.596637138255545</c:v>
                </c:pt>
              </c:numCache>
            </c:numRef>
          </c:yVal>
          <c:smooth val="0"/>
          <c:extLst>
            <c:ext xmlns:c16="http://schemas.microsoft.com/office/drawing/2014/chart" uri="{C3380CC4-5D6E-409C-BE32-E72D297353CC}">
              <c16:uniqueId val="{00000002-C3BD-472A-B721-2FF1EE6BAFD0}"/>
            </c:ext>
          </c:extLst>
        </c:ser>
        <c:ser>
          <c:idx val="3"/>
          <c:order val="3"/>
          <c:tx>
            <c:v>SCA, ZnO Water</c:v>
          </c:tx>
          <c:spPr>
            <a:ln w="19050" cap="rnd">
              <a:solidFill>
                <a:sysClr val="windowText" lastClr="000000"/>
              </a:solidFill>
              <a:round/>
            </a:ln>
            <a:effectLst/>
          </c:spPr>
          <c:marker>
            <c:symbol val="diamond"/>
            <c:size val="7"/>
            <c:spPr>
              <a:solidFill>
                <a:srgbClr val="00B0F0"/>
              </a:solidFill>
              <a:ln w="9525">
                <a:solidFill>
                  <a:sysClr val="windowText" lastClr="000000"/>
                </a:solidFill>
              </a:ln>
              <a:effectLst/>
            </c:spPr>
          </c:marker>
          <c:xVal>
            <c:numRef>
              <c:f>Graphs!$AF$6</c:f>
              <c:numCache>
                <c:formatCode>General</c:formatCode>
                <c:ptCount val="1"/>
                <c:pt idx="0">
                  <c:v>88.6</c:v>
                </c:pt>
              </c:numCache>
            </c:numRef>
          </c:xVal>
          <c:yVal>
            <c:numRef>
              <c:f>Graphs!$AG$6</c:f>
              <c:numCache>
                <c:formatCode>0.00</c:formatCode>
                <c:ptCount val="1"/>
                <c:pt idx="0">
                  <c:v>65.142025667935812</c:v>
                </c:pt>
              </c:numCache>
            </c:numRef>
          </c:yVal>
          <c:smooth val="0"/>
          <c:extLst>
            <c:ext xmlns:c16="http://schemas.microsoft.com/office/drawing/2014/chart" uri="{C3380CC4-5D6E-409C-BE32-E72D297353CC}">
              <c16:uniqueId val="{00000003-C3BD-472A-B721-2FF1EE6BAFD0}"/>
            </c:ext>
          </c:extLst>
        </c:ser>
        <c:ser>
          <c:idx val="4"/>
          <c:order val="4"/>
          <c:tx>
            <c:v>SCA, ZnO Wate</c:v>
          </c:tx>
          <c:spPr>
            <a:ln w="19050" cap="rnd">
              <a:solidFill>
                <a:sysClr val="windowText" lastClr="000000"/>
              </a:solidFill>
              <a:round/>
            </a:ln>
            <a:effectLst/>
          </c:spPr>
          <c:marker>
            <c:symbol val="diamond"/>
            <c:size val="7"/>
            <c:spPr>
              <a:solidFill>
                <a:srgbClr val="00B0F0"/>
              </a:solidFill>
              <a:ln w="9525">
                <a:solidFill>
                  <a:sysClr val="windowText" lastClr="000000"/>
                </a:solidFill>
              </a:ln>
              <a:effectLst/>
            </c:spPr>
          </c:marker>
          <c:xVal>
            <c:numRef>
              <c:f>Graphs!$AF$7</c:f>
              <c:numCache>
                <c:formatCode>General</c:formatCode>
                <c:ptCount val="1"/>
                <c:pt idx="0">
                  <c:v>81</c:v>
                </c:pt>
              </c:numCache>
            </c:numRef>
          </c:xVal>
          <c:yVal>
            <c:numRef>
              <c:f>Graphs!$AG$7</c:f>
              <c:numCache>
                <c:formatCode>0.00</c:formatCode>
                <c:ptCount val="1"/>
                <c:pt idx="0">
                  <c:v>65.142025667935812</c:v>
                </c:pt>
              </c:numCache>
            </c:numRef>
          </c:yVal>
          <c:smooth val="0"/>
          <c:extLst>
            <c:ext xmlns:c16="http://schemas.microsoft.com/office/drawing/2014/chart" uri="{C3380CC4-5D6E-409C-BE32-E72D297353CC}">
              <c16:uniqueId val="{00000004-C3BD-472A-B721-2FF1EE6BAFD0}"/>
            </c:ext>
          </c:extLst>
        </c:ser>
        <c:ser>
          <c:idx val="5"/>
          <c:order val="5"/>
          <c:tx>
            <c:v>SCA, T21 diiodo</c:v>
          </c:tx>
          <c:spPr>
            <a:ln w="19050" cap="rnd">
              <a:solidFill>
                <a:sysClr val="windowText" lastClr="000000"/>
              </a:solidFill>
              <a:round/>
            </a:ln>
            <a:effectLst/>
          </c:spPr>
          <c:marker>
            <c:symbol val="diamond"/>
            <c:size val="7"/>
            <c:spPr>
              <a:solidFill>
                <a:schemeClr val="bg2">
                  <a:lumMod val="90000"/>
                </a:schemeClr>
              </a:solidFill>
              <a:ln w="9525">
                <a:solidFill>
                  <a:sysClr val="windowText" lastClr="000000"/>
                </a:solidFill>
              </a:ln>
              <a:effectLst/>
            </c:spPr>
          </c:marker>
          <c:xVal>
            <c:numRef>
              <c:f>Graphs!$AF$8</c:f>
              <c:numCache>
                <c:formatCode>General</c:formatCode>
                <c:ptCount val="1"/>
                <c:pt idx="0">
                  <c:v>16.3</c:v>
                </c:pt>
              </c:numCache>
            </c:numRef>
          </c:xVal>
          <c:yVal>
            <c:numRef>
              <c:f>Graphs!$AG$8</c:f>
              <c:numCache>
                <c:formatCode>0.00</c:formatCode>
                <c:ptCount val="1"/>
                <c:pt idx="0">
                  <c:v>63.146418521605085</c:v>
                </c:pt>
              </c:numCache>
            </c:numRef>
          </c:yVal>
          <c:smooth val="0"/>
          <c:extLst>
            <c:ext xmlns:c16="http://schemas.microsoft.com/office/drawing/2014/chart" uri="{C3380CC4-5D6E-409C-BE32-E72D297353CC}">
              <c16:uniqueId val="{00000005-C3BD-472A-B721-2FF1EE6BAFD0}"/>
            </c:ext>
          </c:extLst>
        </c:ser>
        <c:ser>
          <c:idx val="6"/>
          <c:order val="6"/>
          <c:tx>
            <c:v>SCA, T21 Water</c:v>
          </c:tx>
          <c:spPr>
            <a:ln w="19050" cap="rnd">
              <a:solidFill>
                <a:sysClr val="windowText" lastClr="000000"/>
              </a:solidFill>
              <a:round/>
            </a:ln>
            <a:effectLst/>
          </c:spPr>
          <c:marker>
            <c:symbol val="diamond"/>
            <c:size val="7"/>
            <c:spPr>
              <a:solidFill>
                <a:srgbClr val="00B0F0"/>
              </a:solidFill>
              <a:ln w="9525">
                <a:solidFill>
                  <a:sysClr val="windowText" lastClr="000000"/>
                </a:solidFill>
              </a:ln>
              <a:effectLst/>
            </c:spPr>
          </c:marker>
          <c:xVal>
            <c:numRef>
              <c:f>Graphs!$AF$9</c:f>
              <c:numCache>
                <c:formatCode>General</c:formatCode>
                <c:ptCount val="1"/>
                <c:pt idx="0">
                  <c:v>74</c:v>
                </c:pt>
              </c:numCache>
            </c:numRef>
          </c:xVal>
          <c:yVal>
            <c:numRef>
              <c:f>Graphs!$AG$9</c:f>
              <c:numCache>
                <c:formatCode>0.00</c:formatCode>
                <c:ptCount val="1"/>
                <c:pt idx="0">
                  <c:v>77.936964147955877</c:v>
                </c:pt>
              </c:numCache>
            </c:numRef>
          </c:yVal>
          <c:smooth val="0"/>
          <c:extLst>
            <c:ext xmlns:c16="http://schemas.microsoft.com/office/drawing/2014/chart" uri="{C3380CC4-5D6E-409C-BE32-E72D297353CC}">
              <c16:uniqueId val="{00000006-C3BD-472A-B721-2FF1EE6BAFD0}"/>
            </c:ext>
          </c:extLst>
        </c:ser>
        <c:ser>
          <c:idx val="7"/>
          <c:order val="7"/>
          <c:tx>
            <c:v>SCA, T100 Diido</c:v>
          </c:tx>
          <c:spPr>
            <a:ln w="19050" cap="rnd">
              <a:solidFill>
                <a:sysClr val="windowText" lastClr="000000"/>
              </a:solidFill>
              <a:round/>
            </a:ln>
            <a:effectLst/>
          </c:spPr>
          <c:marker>
            <c:symbol val="diamond"/>
            <c:size val="7"/>
            <c:spPr>
              <a:solidFill>
                <a:schemeClr val="bg2">
                  <a:lumMod val="90000"/>
                </a:schemeClr>
              </a:solidFill>
              <a:ln w="9525">
                <a:solidFill>
                  <a:sysClr val="windowText" lastClr="000000"/>
                </a:solidFill>
              </a:ln>
              <a:effectLst/>
            </c:spPr>
          </c:marker>
          <c:xVal>
            <c:numRef>
              <c:f>Graphs!$AF$10</c:f>
              <c:numCache>
                <c:formatCode>General</c:formatCode>
                <c:ptCount val="1"/>
                <c:pt idx="0">
                  <c:v>16.3</c:v>
                </c:pt>
              </c:numCache>
            </c:numRef>
          </c:xVal>
          <c:yVal>
            <c:numRef>
              <c:f>Graphs!$AG$10</c:f>
              <c:numCache>
                <c:formatCode>0.00</c:formatCode>
                <c:ptCount val="1"/>
                <c:pt idx="0">
                  <c:v>51.555900169581363</c:v>
                </c:pt>
              </c:numCache>
            </c:numRef>
          </c:yVal>
          <c:smooth val="0"/>
          <c:extLst>
            <c:ext xmlns:c16="http://schemas.microsoft.com/office/drawing/2014/chart" uri="{C3380CC4-5D6E-409C-BE32-E72D297353CC}">
              <c16:uniqueId val="{00000007-C3BD-472A-B721-2FF1EE6BAFD0}"/>
            </c:ext>
          </c:extLst>
        </c:ser>
        <c:ser>
          <c:idx val="8"/>
          <c:order val="8"/>
          <c:tx>
            <c:v>SCA, T100 Eth Gly</c:v>
          </c:tx>
          <c:spPr>
            <a:ln w="19050" cap="rnd">
              <a:solidFill>
                <a:sysClr val="windowText" lastClr="000000"/>
              </a:solidFill>
              <a:round/>
            </a:ln>
            <a:effectLst/>
          </c:spPr>
          <c:marker>
            <c:symbol val="diamond"/>
            <c:size val="7"/>
            <c:spPr>
              <a:solidFill>
                <a:srgbClr val="00B050"/>
              </a:solidFill>
              <a:ln w="9525">
                <a:solidFill>
                  <a:sysClr val="windowText" lastClr="000000"/>
                </a:solidFill>
              </a:ln>
              <a:effectLst/>
            </c:spPr>
          </c:marker>
          <c:xVal>
            <c:numRef>
              <c:f>Graphs!$AF$12</c:f>
              <c:numCache>
                <c:formatCode>General</c:formatCode>
                <c:ptCount val="1"/>
                <c:pt idx="0">
                  <c:v>44</c:v>
                </c:pt>
              </c:numCache>
            </c:numRef>
          </c:xVal>
          <c:yVal>
            <c:numRef>
              <c:f>Graphs!$AG$12</c:f>
              <c:numCache>
                <c:formatCode>0.00</c:formatCode>
                <c:ptCount val="1"/>
                <c:pt idx="0">
                  <c:v>46.664017427765636</c:v>
                </c:pt>
              </c:numCache>
            </c:numRef>
          </c:yVal>
          <c:smooth val="0"/>
          <c:extLst>
            <c:ext xmlns:c16="http://schemas.microsoft.com/office/drawing/2014/chart" uri="{C3380CC4-5D6E-409C-BE32-E72D297353CC}">
              <c16:uniqueId val="{00000008-C3BD-472A-B721-2FF1EE6BAFD0}"/>
            </c:ext>
          </c:extLst>
        </c:ser>
        <c:ser>
          <c:idx val="9"/>
          <c:order val="9"/>
          <c:tx>
            <c:v>Wilhelmy, ZnO Water</c:v>
          </c:tx>
          <c:spPr>
            <a:ln w="19050" cap="rnd">
              <a:solidFill>
                <a:sysClr val="windowText" lastClr="000000"/>
              </a:solidFill>
              <a:round/>
            </a:ln>
            <a:effectLst/>
          </c:spPr>
          <c:marker>
            <c:symbol val="triangle"/>
            <c:size val="7"/>
            <c:spPr>
              <a:solidFill>
                <a:srgbClr val="00B0F0"/>
              </a:solidFill>
              <a:ln w="9525">
                <a:solidFill>
                  <a:sysClr val="windowText" lastClr="000000"/>
                </a:solidFill>
              </a:ln>
              <a:effectLst/>
            </c:spPr>
          </c:marker>
          <c:xVal>
            <c:numRef>
              <c:f>Graphs!$AF$13</c:f>
              <c:numCache>
                <c:formatCode>General</c:formatCode>
                <c:ptCount val="1"/>
                <c:pt idx="0">
                  <c:v>107.8</c:v>
                </c:pt>
              </c:numCache>
            </c:numRef>
          </c:xVal>
          <c:yVal>
            <c:numRef>
              <c:f>Graphs!$AG$13</c:f>
              <c:numCache>
                <c:formatCode>0.00</c:formatCode>
                <c:ptCount val="1"/>
                <c:pt idx="0">
                  <c:v>65.142025667935812</c:v>
                </c:pt>
              </c:numCache>
            </c:numRef>
          </c:yVal>
          <c:smooth val="0"/>
          <c:extLst>
            <c:ext xmlns:c16="http://schemas.microsoft.com/office/drawing/2014/chart" uri="{C3380CC4-5D6E-409C-BE32-E72D297353CC}">
              <c16:uniqueId val="{00000009-C3BD-472A-B721-2FF1EE6BAFD0}"/>
            </c:ext>
          </c:extLst>
        </c:ser>
        <c:ser>
          <c:idx val="10"/>
          <c:order val="10"/>
          <c:tx>
            <c:v>Wash, T21 Form</c:v>
          </c:tx>
          <c:spPr>
            <a:ln w="19050" cap="rnd">
              <a:solidFill>
                <a:sysClr val="windowText" lastClr="000000"/>
              </a:solidFill>
              <a:round/>
            </a:ln>
            <a:effectLst/>
          </c:spPr>
          <c:marker>
            <c:symbol val="circle"/>
            <c:size val="7"/>
            <c:spPr>
              <a:solidFill>
                <a:srgbClr val="C00000"/>
              </a:solidFill>
              <a:ln w="9525">
                <a:solidFill>
                  <a:sysClr val="windowText" lastClr="000000"/>
                </a:solidFill>
              </a:ln>
              <a:effectLst/>
            </c:spPr>
          </c:marker>
          <c:xVal>
            <c:numRef>
              <c:f>Graphs!$AF$14</c:f>
              <c:numCache>
                <c:formatCode>General</c:formatCode>
                <c:ptCount val="1"/>
                <c:pt idx="0">
                  <c:v>57.5</c:v>
                </c:pt>
              </c:numCache>
            </c:numRef>
          </c:xVal>
          <c:yVal>
            <c:numRef>
              <c:f>Graphs!$AG$14</c:f>
              <c:numCache>
                <c:formatCode>0.00</c:formatCode>
                <c:ptCount val="1"/>
                <c:pt idx="0">
                  <c:v>63.60663939486561</c:v>
                </c:pt>
              </c:numCache>
            </c:numRef>
          </c:yVal>
          <c:smooth val="0"/>
          <c:extLst>
            <c:ext xmlns:c16="http://schemas.microsoft.com/office/drawing/2014/chart" uri="{C3380CC4-5D6E-409C-BE32-E72D297353CC}">
              <c16:uniqueId val="{0000000A-C3BD-472A-B721-2FF1EE6BAFD0}"/>
            </c:ext>
          </c:extLst>
        </c:ser>
        <c:ser>
          <c:idx val="11"/>
          <c:order val="11"/>
          <c:tx>
            <c:v>Wash, T21 Bromo</c:v>
          </c:tx>
          <c:spPr>
            <a:ln w="19050" cap="rnd">
              <a:solidFill>
                <a:sysClr val="windowText" lastClr="000000"/>
              </a:solidFill>
              <a:round/>
            </a:ln>
            <a:effectLst/>
          </c:spPr>
          <c:marker>
            <c:symbol val="circle"/>
            <c:size val="7"/>
            <c:spPr>
              <a:solidFill>
                <a:srgbClr val="F4CC24"/>
              </a:solidFill>
              <a:ln w="9525">
                <a:solidFill>
                  <a:sysClr val="windowText" lastClr="000000"/>
                </a:solidFill>
              </a:ln>
              <a:effectLst/>
            </c:spPr>
          </c:marker>
          <c:xVal>
            <c:numRef>
              <c:f>Graphs!$AF$15</c:f>
              <c:numCache>
                <c:formatCode>General</c:formatCode>
                <c:ptCount val="1"/>
                <c:pt idx="0">
                  <c:v>44</c:v>
                </c:pt>
              </c:numCache>
            </c:numRef>
          </c:xVal>
          <c:yVal>
            <c:numRef>
              <c:f>Graphs!$AG$15</c:f>
              <c:numCache>
                <c:formatCode>0.00</c:formatCode>
                <c:ptCount val="1"/>
                <c:pt idx="0">
                  <c:v>62.383602101672388</c:v>
                </c:pt>
              </c:numCache>
            </c:numRef>
          </c:yVal>
          <c:smooth val="0"/>
          <c:extLst>
            <c:ext xmlns:c16="http://schemas.microsoft.com/office/drawing/2014/chart" uri="{C3380CC4-5D6E-409C-BE32-E72D297353CC}">
              <c16:uniqueId val="{0000000B-C3BD-472A-B721-2FF1EE6BAFD0}"/>
            </c:ext>
          </c:extLst>
        </c:ser>
        <c:ser>
          <c:idx val="12"/>
          <c:order val="12"/>
          <c:tx>
            <c:v>Wash, T21 Water</c:v>
          </c:tx>
          <c:spPr>
            <a:ln w="19050" cap="rnd">
              <a:solidFill>
                <a:sysClr val="windowText" lastClr="000000"/>
              </a:solidFill>
              <a:round/>
            </a:ln>
            <a:effectLst/>
          </c:spPr>
          <c:marker>
            <c:symbol val="circle"/>
            <c:size val="7"/>
            <c:spPr>
              <a:solidFill>
                <a:srgbClr val="00B0F0"/>
              </a:solidFill>
              <a:ln w="9525">
                <a:solidFill>
                  <a:sysClr val="windowText" lastClr="000000"/>
                </a:solidFill>
              </a:ln>
              <a:effectLst/>
            </c:spPr>
          </c:marker>
          <c:xVal>
            <c:numRef>
              <c:f>Graphs!$AF$16</c:f>
              <c:numCache>
                <c:formatCode>General</c:formatCode>
                <c:ptCount val="1"/>
                <c:pt idx="0">
                  <c:v>75.5</c:v>
                </c:pt>
              </c:numCache>
            </c:numRef>
          </c:xVal>
          <c:yVal>
            <c:numRef>
              <c:f>Graphs!$AG$16</c:f>
              <c:numCache>
                <c:formatCode>0.00</c:formatCode>
                <c:ptCount val="1"/>
                <c:pt idx="0">
                  <c:v>77.936964147955877</c:v>
                </c:pt>
              </c:numCache>
            </c:numRef>
          </c:yVal>
          <c:smooth val="0"/>
          <c:extLst>
            <c:ext xmlns:c16="http://schemas.microsoft.com/office/drawing/2014/chart" uri="{C3380CC4-5D6E-409C-BE32-E72D297353CC}">
              <c16:uniqueId val="{0000000C-C3BD-472A-B721-2FF1EE6BAFD0}"/>
            </c:ext>
          </c:extLst>
        </c:ser>
        <c:ser>
          <c:idx val="13"/>
          <c:order val="13"/>
          <c:tx>
            <c:v>Wash, T100 Form</c:v>
          </c:tx>
          <c:spPr>
            <a:ln w="19050" cap="rnd">
              <a:solidFill>
                <a:sysClr val="windowText" lastClr="000000"/>
              </a:solidFill>
              <a:round/>
            </a:ln>
            <a:effectLst/>
          </c:spPr>
          <c:marker>
            <c:symbol val="circle"/>
            <c:size val="7"/>
            <c:spPr>
              <a:solidFill>
                <a:srgbClr val="C00000"/>
              </a:solidFill>
              <a:ln w="9525">
                <a:solidFill>
                  <a:sysClr val="windowText" lastClr="000000"/>
                </a:solidFill>
              </a:ln>
              <a:effectLst/>
            </c:spPr>
          </c:marker>
          <c:xVal>
            <c:numRef>
              <c:f>Graphs!$AF$17</c:f>
              <c:numCache>
                <c:formatCode>General</c:formatCode>
                <c:ptCount val="1"/>
                <c:pt idx="0">
                  <c:v>57.5</c:v>
                </c:pt>
              </c:numCache>
            </c:numRef>
          </c:xVal>
          <c:yVal>
            <c:numRef>
              <c:f>Graphs!$AG$17</c:f>
              <c:numCache>
                <c:formatCode>0.00</c:formatCode>
                <c:ptCount val="1"/>
                <c:pt idx="0">
                  <c:v>59.65760033469946</c:v>
                </c:pt>
              </c:numCache>
            </c:numRef>
          </c:yVal>
          <c:smooth val="0"/>
          <c:extLst>
            <c:ext xmlns:c16="http://schemas.microsoft.com/office/drawing/2014/chart" uri="{C3380CC4-5D6E-409C-BE32-E72D297353CC}">
              <c16:uniqueId val="{0000000D-C3BD-472A-B721-2FF1EE6BAFD0}"/>
            </c:ext>
          </c:extLst>
        </c:ser>
        <c:ser>
          <c:idx val="14"/>
          <c:order val="14"/>
          <c:tx>
            <c:v>Wash, T100 Water</c:v>
          </c:tx>
          <c:spPr>
            <a:ln w="19050" cap="rnd">
              <a:solidFill>
                <a:sysClr val="windowText" lastClr="000000"/>
              </a:solidFill>
              <a:round/>
            </a:ln>
            <a:effectLst/>
          </c:spPr>
          <c:marker>
            <c:symbol val="circle"/>
            <c:size val="7"/>
            <c:spPr>
              <a:solidFill>
                <a:srgbClr val="00B0F0"/>
              </a:solidFill>
              <a:ln w="9525">
                <a:solidFill>
                  <a:sysClr val="windowText" lastClr="000000"/>
                </a:solidFill>
              </a:ln>
              <a:effectLst/>
            </c:spPr>
          </c:marker>
          <c:xVal>
            <c:numRef>
              <c:f>Graphs!$AF$18</c:f>
              <c:numCache>
                <c:formatCode>General</c:formatCode>
                <c:ptCount val="1"/>
                <c:pt idx="0">
                  <c:v>75.5</c:v>
                </c:pt>
              </c:numCache>
            </c:numRef>
          </c:xVal>
          <c:yVal>
            <c:numRef>
              <c:f>Graphs!$AG$18</c:f>
              <c:numCache>
                <c:formatCode>0.00</c:formatCode>
                <c:ptCount val="1"/>
                <c:pt idx="0">
                  <c:v>66.94131322039955</c:v>
                </c:pt>
              </c:numCache>
            </c:numRef>
          </c:yVal>
          <c:smooth val="0"/>
          <c:extLst>
            <c:ext xmlns:c16="http://schemas.microsoft.com/office/drawing/2014/chart" uri="{C3380CC4-5D6E-409C-BE32-E72D297353CC}">
              <c16:uniqueId val="{0000000E-C3BD-472A-B721-2FF1EE6BAFD0}"/>
            </c:ext>
          </c:extLst>
        </c:ser>
        <c:ser>
          <c:idx val="15"/>
          <c:order val="15"/>
          <c:tx>
            <c:v>SCA, T100 Water</c:v>
          </c:tx>
          <c:spPr>
            <a:ln w="19050" cap="rnd">
              <a:solidFill>
                <a:sysClr val="windowText" lastClr="000000"/>
              </a:solidFill>
              <a:round/>
            </a:ln>
            <a:effectLst/>
          </c:spPr>
          <c:marker>
            <c:symbol val="diamond"/>
            <c:size val="7"/>
            <c:spPr>
              <a:solidFill>
                <a:srgbClr val="00B0F0"/>
              </a:solidFill>
              <a:ln w="9525">
                <a:solidFill>
                  <a:sysClr val="windowText" lastClr="000000"/>
                </a:solidFill>
              </a:ln>
              <a:effectLst/>
            </c:spPr>
          </c:marker>
          <c:xVal>
            <c:numRef>
              <c:f>Graphs!$AF$11</c:f>
              <c:numCache>
                <c:formatCode>General</c:formatCode>
                <c:ptCount val="1"/>
                <c:pt idx="0">
                  <c:v>74</c:v>
                </c:pt>
              </c:numCache>
            </c:numRef>
          </c:xVal>
          <c:yVal>
            <c:numRef>
              <c:f>Graphs!$AG$11</c:f>
              <c:numCache>
                <c:formatCode>0.00</c:formatCode>
                <c:ptCount val="1"/>
                <c:pt idx="0">
                  <c:v>66.94131322039955</c:v>
                </c:pt>
              </c:numCache>
            </c:numRef>
          </c:yVal>
          <c:smooth val="0"/>
          <c:extLst>
            <c:ext xmlns:c16="http://schemas.microsoft.com/office/drawing/2014/chart" uri="{C3380CC4-5D6E-409C-BE32-E72D297353CC}">
              <c16:uniqueId val="{0000000F-C3BD-472A-B721-2FF1EE6BAFD0}"/>
            </c:ext>
          </c:extLst>
        </c:ser>
        <c:dLbls>
          <c:showLegendKey val="0"/>
          <c:showVal val="0"/>
          <c:showCatName val="0"/>
          <c:showSerName val="0"/>
          <c:showPercent val="0"/>
          <c:showBubbleSize val="0"/>
        </c:dLbls>
        <c:axId val="520500936"/>
        <c:axId val="520501328"/>
      </c:scatterChart>
      <c:valAx>
        <c:axId val="520500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Literature CA (degree)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501328"/>
        <c:crosses val="autoZero"/>
        <c:crossBetween val="midCat"/>
      </c:valAx>
      <c:valAx>
        <c:axId val="520501328"/>
        <c:scaling>
          <c:orientation val="minMax"/>
          <c:max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Measured</a:t>
                </a:r>
                <a:r>
                  <a:rPr lang="en-US" baseline="0"/>
                  <a:t> CA (degree)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5009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Contact Angle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Sheet1!$D$9</c:f>
              <c:strCache>
                <c:ptCount val="1"/>
                <c:pt idx="0">
                  <c:v>Control</c:v>
                </c:pt>
              </c:strCache>
            </c:strRef>
          </c:tx>
          <c:spPr>
            <a:ln w="19050" cap="rnd">
              <a:solidFill>
                <a:schemeClr val="accent1"/>
              </a:solidFill>
              <a:round/>
            </a:ln>
            <a:effectLst/>
          </c:spPr>
          <c:marker>
            <c:symbol val="none"/>
          </c:marker>
          <c:xVal>
            <c:numRef>
              <c:f>Sheet1!$C$10:$C$760</c:f>
              <c:numCache>
                <c:formatCode>General</c:formatCode>
                <c:ptCount val="751"/>
                <c:pt idx="0">
                  <c:v>0</c:v>
                </c:pt>
                <c:pt idx="1">
                  <c:v>0.08</c:v>
                </c:pt>
                <c:pt idx="2">
                  <c:v>0.16</c:v>
                </c:pt>
                <c:pt idx="3">
                  <c:v>0.24</c:v>
                </c:pt>
                <c:pt idx="4">
                  <c:v>0.32</c:v>
                </c:pt>
                <c:pt idx="5">
                  <c:v>0.4</c:v>
                </c:pt>
                <c:pt idx="6">
                  <c:v>0.48</c:v>
                </c:pt>
                <c:pt idx="7">
                  <c:v>0.56000000000000005</c:v>
                </c:pt>
                <c:pt idx="8">
                  <c:v>0.64</c:v>
                </c:pt>
                <c:pt idx="9">
                  <c:v>0.72</c:v>
                </c:pt>
                <c:pt idx="10">
                  <c:v>0.8</c:v>
                </c:pt>
                <c:pt idx="11">
                  <c:v>0.88</c:v>
                </c:pt>
                <c:pt idx="12">
                  <c:v>0.96</c:v>
                </c:pt>
                <c:pt idx="13">
                  <c:v>1.04</c:v>
                </c:pt>
                <c:pt idx="14">
                  <c:v>1.1200000000000001</c:v>
                </c:pt>
                <c:pt idx="15">
                  <c:v>1.2</c:v>
                </c:pt>
                <c:pt idx="16">
                  <c:v>1.28</c:v>
                </c:pt>
                <c:pt idx="17">
                  <c:v>1.36</c:v>
                </c:pt>
                <c:pt idx="18">
                  <c:v>1.44</c:v>
                </c:pt>
                <c:pt idx="19">
                  <c:v>1.52</c:v>
                </c:pt>
                <c:pt idx="20">
                  <c:v>1.6</c:v>
                </c:pt>
                <c:pt idx="21">
                  <c:v>1.68</c:v>
                </c:pt>
                <c:pt idx="22">
                  <c:v>1.76</c:v>
                </c:pt>
                <c:pt idx="23">
                  <c:v>1.84</c:v>
                </c:pt>
                <c:pt idx="24">
                  <c:v>1.92</c:v>
                </c:pt>
                <c:pt idx="25">
                  <c:v>2</c:v>
                </c:pt>
                <c:pt idx="26">
                  <c:v>2.08</c:v>
                </c:pt>
                <c:pt idx="27">
                  <c:v>2.16</c:v>
                </c:pt>
                <c:pt idx="28">
                  <c:v>2.2400000000000002</c:v>
                </c:pt>
                <c:pt idx="29">
                  <c:v>2.3199999999999998</c:v>
                </c:pt>
                <c:pt idx="30">
                  <c:v>2.4</c:v>
                </c:pt>
                <c:pt idx="31">
                  <c:v>2.48</c:v>
                </c:pt>
                <c:pt idx="32">
                  <c:v>2.56</c:v>
                </c:pt>
                <c:pt idx="33">
                  <c:v>2.64</c:v>
                </c:pt>
                <c:pt idx="34">
                  <c:v>2.72</c:v>
                </c:pt>
                <c:pt idx="35">
                  <c:v>2.8</c:v>
                </c:pt>
                <c:pt idx="36">
                  <c:v>2.88</c:v>
                </c:pt>
                <c:pt idx="37">
                  <c:v>2.96</c:v>
                </c:pt>
                <c:pt idx="38">
                  <c:v>3.04</c:v>
                </c:pt>
                <c:pt idx="39">
                  <c:v>3.12</c:v>
                </c:pt>
                <c:pt idx="40">
                  <c:v>3.2</c:v>
                </c:pt>
                <c:pt idx="41">
                  <c:v>3.28</c:v>
                </c:pt>
                <c:pt idx="42">
                  <c:v>3.36</c:v>
                </c:pt>
                <c:pt idx="43">
                  <c:v>3.44</c:v>
                </c:pt>
                <c:pt idx="44">
                  <c:v>3.52</c:v>
                </c:pt>
                <c:pt idx="45">
                  <c:v>3.6</c:v>
                </c:pt>
                <c:pt idx="46">
                  <c:v>3.68</c:v>
                </c:pt>
                <c:pt idx="47">
                  <c:v>3.76</c:v>
                </c:pt>
                <c:pt idx="48">
                  <c:v>3.84</c:v>
                </c:pt>
                <c:pt idx="49">
                  <c:v>3.92</c:v>
                </c:pt>
                <c:pt idx="50">
                  <c:v>4</c:v>
                </c:pt>
                <c:pt idx="51">
                  <c:v>4.08</c:v>
                </c:pt>
                <c:pt idx="52">
                  <c:v>4.16</c:v>
                </c:pt>
                <c:pt idx="53">
                  <c:v>4.24</c:v>
                </c:pt>
                <c:pt idx="54">
                  <c:v>4.32</c:v>
                </c:pt>
                <c:pt idx="55">
                  <c:v>4.4000000000000004</c:v>
                </c:pt>
                <c:pt idx="56">
                  <c:v>4.4800000000000004</c:v>
                </c:pt>
                <c:pt idx="57">
                  <c:v>4.5599999999999996</c:v>
                </c:pt>
                <c:pt idx="58">
                  <c:v>4.6399999999999997</c:v>
                </c:pt>
                <c:pt idx="59">
                  <c:v>4.72</c:v>
                </c:pt>
                <c:pt idx="60">
                  <c:v>4.8</c:v>
                </c:pt>
                <c:pt idx="61">
                  <c:v>4.88</c:v>
                </c:pt>
                <c:pt idx="62">
                  <c:v>4.96</c:v>
                </c:pt>
                <c:pt idx="63">
                  <c:v>5.04</c:v>
                </c:pt>
                <c:pt idx="64">
                  <c:v>5.12</c:v>
                </c:pt>
                <c:pt idx="65">
                  <c:v>5.2</c:v>
                </c:pt>
                <c:pt idx="66">
                  <c:v>5.28</c:v>
                </c:pt>
                <c:pt idx="67">
                  <c:v>5.36</c:v>
                </c:pt>
                <c:pt idx="68">
                  <c:v>5.44</c:v>
                </c:pt>
                <c:pt idx="69">
                  <c:v>5.52</c:v>
                </c:pt>
                <c:pt idx="70">
                  <c:v>5.6</c:v>
                </c:pt>
                <c:pt idx="71">
                  <c:v>5.68</c:v>
                </c:pt>
                <c:pt idx="72">
                  <c:v>5.76</c:v>
                </c:pt>
                <c:pt idx="73">
                  <c:v>5.84</c:v>
                </c:pt>
                <c:pt idx="74">
                  <c:v>5.92</c:v>
                </c:pt>
                <c:pt idx="75">
                  <c:v>6</c:v>
                </c:pt>
                <c:pt idx="76">
                  <c:v>6.08</c:v>
                </c:pt>
                <c:pt idx="77">
                  <c:v>6.16</c:v>
                </c:pt>
                <c:pt idx="78">
                  <c:v>6.24</c:v>
                </c:pt>
                <c:pt idx="79">
                  <c:v>6.32</c:v>
                </c:pt>
                <c:pt idx="80">
                  <c:v>6.4</c:v>
                </c:pt>
                <c:pt idx="81">
                  <c:v>6.48</c:v>
                </c:pt>
                <c:pt idx="82">
                  <c:v>6.56</c:v>
                </c:pt>
                <c:pt idx="83">
                  <c:v>6.64</c:v>
                </c:pt>
                <c:pt idx="84">
                  <c:v>6.72</c:v>
                </c:pt>
                <c:pt idx="85">
                  <c:v>6.8</c:v>
                </c:pt>
                <c:pt idx="86">
                  <c:v>6.88</c:v>
                </c:pt>
                <c:pt idx="87">
                  <c:v>6.96</c:v>
                </c:pt>
                <c:pt idx="88">
                  <c:v>7.04</c:v>
                </c:pt>
                <c:pt idx="89">
                  <c:v>7.12</c:v>
                </c:pt>
                <c:pt idx="90">
                  <c:v>7.2</c:v>
                </c:pt>
                <c:pt idx="91">
                  <c:v>7.28</c:v>
                </c:pt>
                <c:pt idx="92">
                  <c:v>7.36</c:v>
                </c:pt>
                <c:pt idx="93">
                  <c:v>7.44</c:v>
                </c:pt>
                <c:pt idx="94">
                  <c:v>7.52</c:v>
                </c:pt>
                <c:pt idx="95">
                  <c:v>7.6</c:v>
                </c:pt>
                <c:pt idx="96">
                  <c:v>7.68</c:v>
                </c:pt>
                <c:pt idx="97">
                  <c:v>7.76</c:v>
                </c:pt>
                <c:pt idx="98">
                  <c:v>7.84</c:v>
                </c:pt>
                <c:pt idx="99">
                  <c:v>7.92</c:v>
                </c:pt>
                <c:pt idx="100">
                  <c:v>8</c:v>
                </c:pt>
                <c:pt idx="101">
                  <c:v>8.08</c:v>
                </c:pt>
                <c:pt idx="102">
                  <c:v>8.16</c:v>
                </c:pt>
                <c:pt idx="103">
                  <c:v>8.24</c:v>
                </c:pt>
                <c:pt idx="104">
                  <c:v>8.32</c:v>
                </c:pt>
                <c:pt idx="105">
                  <c:v>8.4</c:v>
                </c:pt>
                <c:pt idx="106">
                  <c:v>8.48</c:v>
                </c:pt>
                <c:pt idx="107">
                  <c:v>8.56</c:v>
                </c:pt>
                <c:pt idx="108">
                  <c:v>8.64</c:v>
                </c:pt>
                <c:pt idx="109">
                  <c:v>8.7200000000000006</c:v>
                </c:pt>
                <c:pt idx="110">
                  <c:v>8.8000000000000007</c:v>
                </c:pt>
                <c:pt idx="111">
                  <c:v>8.8800000000000008</c:v>
                </c:pt>
                <c:pt idx="112">
                  <c:v>8.9600000000000009</c:v>
                </c:pt>
                <c:pt idx="113">
                  <c:v>9.0399999999999991</c:v>
                </c:pt>
                <c:pt idx="114">
                  <c:v>9.1199999999999992</c:v>
                </c:pt>
                <c:pt idx="115">
                  <c:v>9.1999999999999993</c:v>
                </c:pt>
                <c:pt idx="116">
                  <c:v>9.2799999999999994</c:v>
                </c:pt>
                <c:pt idx="117">
                  <c:v>9.36</c:v>
                </c:pt>
                <c:pt idx="118">
                  <c:v>9.44</c:v>
                </c:pt>
                <c:pt idx="119">
                  <c:v>9.52</c:v>
                </c:pt>
                <c:pt idx="120">
                  <c:v>9.6</c:v>
                </c:pt>
                <c:pt idx="121">
                  <c:v>9.68</c:v>
                </c:pt>
                <c:pt idx="122">
                  <c:v>9.76</c:v>
                </c:pt>
                <c:pt idx="123">
                  <c:v>9.84</c:v>
                </c:pt>
                <c:pt idx="124">
                  <c:v>9.92</c:v>
                </c:pt>
                <c:pt idx="125">
                  <c:v>10</c:v>
                </c:pt>
                <c:pt idx="126">
                  <c:v>10.08</c:v>
                </c:pt>
                <c:pt idx="127">
                  <c:v>10.16</c:v>
                </c:pt>
                <c:pt idx="128">
                  <c:v>10.24</c:v>
                </c:pt>
                <c:pt idx="129">
                  <c:v>10.32</c:v>
                </c:pt>
                <c:pt idx="130">
                  <c:v>10.4</c:v>
                </c:pt>
                <c:pt idx="131">
                  <c:v>10.48</c:v>
                </c:pt>
                <c:pt idx="132">
                  <c:v>10.56</c:v>
                </c:pt>
                <c:pt idx="133">
                  <c:v>10.64</c:v>
                </c:pt>
                <c:pt idx="134">
                  <c:v>10.72</c:v>
                </c:pt>
                <c:pt idx="135">
                  <c:v>10.8</c:v>
                </c:pt>
                <c:pt idx="136">
                  <c:v>10.88</c:v>
                </c:pt>
                <c:pt idx="137">
                  <c:v>10.96</c:v>
                </c:pt>
                <c:pt idx="138">
                  <c:v>11.04</c:v>
                </c:pt>
                <c:pt idx="139">
                  <c:v>11.12</c:v>
                </c:pt>
                <c:pt idx="140">
                  <c:v>11.2</c:v>
                </c:pt>
                <c:pt idx="141">
                  <c:v>11.28</c:v>
                </c:pt>
                <c:pt idx="142">
                  <c:v>11.36</c:v>
                </c:pt>
                <c:pt idx="143">
                  <c:v>11.44</c:v>
                </c:pt>
                <c:pt idx="144">
                  <c:v>11.52</c:v>
                </c:pt>
                <c:pt idx="145">
                  <c:v>11.6</c:v>
                </c:pt>
                <c:pt idx="146">
                  <c:v>11.68</c:v>
                </c:pt>
                <c:pt idx="147">
                  <c:v>11.76</c:v>
                </c:pt>
                <c:pt idx="148">
                  <c:v>11.84</c:v>
                </c:pt>
                <c:pt idx="149">
                  <c:v>11.92</c:v>
                </c:pt>
                <c:pt idx="150">
                  <c:v>12</c:v>
                </c:pt>
                <c:pt idx="151">
                  <c:v>12.08</c:v>
                </c:pt>
                <c:pt idx="152">
                  <c:v>12.16</c:v>
                </c:pt>
                <c:pt idx="153">
                  <c:v>12.24</c:v>
                </c:pt>
                <c:pt idx="154">
                  <c:v>12.32</c:v>
                </c:pt>
                <c:pt idx="155">
                  <c:v>12.4</c:v>
                </c:pt>
                <c:pt idx="156">
                  <c:v>12.48</c:v>
                </c:pt>
                <c:pt idx="157">
                  <c:v>12.56</c:v>
                </c:pt>
                <c:pt idx="158">
                  <c:v>12.64</c:v>
                </c:pt>
                <c:pt idx="159">
                  <c:v>12.72</c:v>
                </c:pt>
                <c:pt idx="160">
                  <c:v>12.8</c:v>
                </c:pt>
                <c:pt idx="161">
                  <c:v>12.88</c:v>
                </c:pt>
                <c:pt idx="162">
                  <c:v>12.96</c:v>
                </c:pt>
                <c:pt idx="163">
                  <c:v>13.04</c:v>
                </c:pt>
                <c:pt idx="164">
                  <c:v>13.12</c:v>
                </c:pt>
                <c:pt idx="165">
                  <c:v>13.2</c:v>
                </c:pt>
                <c:pt idx="166">
                  <c:v>13.28</c:v>
                </c:pt>
                <c:pt idx="167">
                  <c:v>13.36</c:v>
                </c:pt>
                <c:pt idx="168">
                  <c:v>13.44</c:v>
                </c:pt>
                <c:pt idx="169">
                  <c:v>13.52</c:v>
                </c:pt>
                <c:pt idx="170">
                  <c:v>13.6</c:v>
                </c:pt>
                <c:pt idx="171">
                  <c:v>13.68</c:v>
                </c:pt>
                <c:pt idx="172">
                  <c:v>13.76</c:v>
                </c:pt>
                <c:pt idx="173">
                  <c:v>13.84</c:v>
                </c:pt>
                <c:pt idx="174">
                  <c:v>13.92</c:v>
                </c:pt>
                <c:pt idx="175">
                  <c:v>14</c:v>
                </c:pt>
                <c:pt idx="176">
                  <c:v>14.08</c:v>
                </c:pt>
                <c:pt idx="177">
                  <c:v>14.16</c:v>
                </c:pt>
                <c:pt idx="178">
                  <c:v>14.24</c:v>
                </c:pt>
                <c:pt idx="179">
                  <c:v>14.32</c:v>
                </c:pt>
                <c:pt idx="180">
                  <c:v>14.4</c:v>
                </c:pt>
                <c:pt idx="181">
                  <c:v>14.48</c:v>
                </c:pt>
                <c:pt idx="182">
                  <c:v>14.56</c:v>
                </c:pt>
                <c:pt idx="183">
                  <c:v>14.64</c:v>
                </c:pt>
                <c:pt idx="184">
                  <c:v>14.72</c:v>
                </c:pt>
                <c:pt idx="185">
                  <c:v>14.8</c:v>
                </c:pt>
                <c:pt idx="186">
                  <c:v>14.88</c:v>
                </c:pt>
                <c:pt idx="187">
                  <c:v>14.96</c:v>
                </c:pt>
                <c:pt idx="188">
                  <c:v>15.04</c:v>
                </c:pt>
                <c:pt idx="189">
                  <c:v>15.12</c:v>
                </c:pt>
                <c:pt idx="190">
                  <c:v>15.2</c:v>
                </c:pt>
                <c:pt idx="191">
                  <c:v>15.28</c:v>
                </c:pt>
                <c:pt idx="192">
                  <c:v>15.36</c:v>
                </c:pt>
                <c:pt idx="193">
                  <c:v>15.44</c:v>
                </c:pt>
                <c:pt idx="194">
                  <c:v>15.52</c:v>
                </c:pt>
                <c:pt idx="195">
                  <c:v>15.6</c:v>
                </c:pt>
                <c:pt idx="196">
                  <c:v>15.68</c:v>
                </c:pt>
                <c:pt idx="197">
                  <c:v>15.76</c:v>
                </c:pt>
                <c:pt idx="198">
                  <c:v>15.84</c:v>
                </c:pt>
                <c:pt idx="199">
                  <c:v>15.92</c:v>
                </c:pt>
                <c:pt idx="200">
                  <c:v>16</c:v>
                </c:pt>
                <c:pt idx="201">
                  <c:v>16.079999999999998</c:v>
                </c:pt>
                <c:pt idx="202">
                  <c:v>16.16</c:v>
                </c:pt>
                <c:pt idx="203">
                  <c:v>16.239999999999998</c:v>
                </c:pt>
                <c:pt idx="204">
                  <c:v>16.32</c:v>
                </c:pt>
                <c:pt idx="205">
                  <c:v>16.399999999999999</c:v>
                </c:pt>
                <c:pt idx="206">
                  <c:v>16.48</c:v>
                </c:pt>
                <c:pt idx="207">
                  <c:v>16.559999999999999</c:v>
                </c:pt>
                <c:pt idx="208">
                  <c:v>16.64</c:v>
                </c:pt>
                <c:pt idx="209">
                  <c:v>16.72</c:v>
                </c:pt>
                <c:pt idx="210">
                  <c:v>16.8</c:v>
                </c:pt>
                <c:pt idx="211">
                  <c:v>16.88</c:v>
                </c:pt>
                <c:pt idx="212">
                  <c:v>16.96</c:v>
                </c:pt>
                <c:pt idx="213">
                  <c:v>17.04</c:v>
                </c:pt>
                <c:pt idx="214">
                  <c:v>17.12</c:v>
                </c:pt>
                <c:pt idx="215">
                  <c:v>17.2</c:v>
                </c:pt>
                <c:pt idx="216">
                  <c:v>17.28</c:v>
                </c:pt>
                <c:pt idx="217">
                  <c:v>17.36</c:v>
                </c:pt>
                <c:pt idx="218">
                  <c:v>17.440000000000001</c:v>
                </c:pt>
                <c:pt idx="219">
                  <c:v>17.52</c:v>
                </c:pt>
                <c:pt idx="220">
                  <c:v>17.600000000000001</c:v>
                </c:pt>
                <c:pt idx="221">
                  <c:v>17.68</c:v>
                </c:pt>
                <c:pt idx="222">
                  <c:v>17.760000000000002</c:v>
                </c:pt>
                <c:pt idx="223">
                  <c:v>17.84</c:v>
                </c:pt>
                <c:pt idx="224">
                  <c:v>17.920000000000002</c:v>
                </c:pt>
                <c:pt idx="225">
                  <c:v>18</c:v>
                </c:pt>
                <c:pt idx="226">
                  <c:v>18.079999999999998</c:v>
                </c:pt>
                <c:pt idx="227">
                  <c:v>18.16</c:v>
                </c:pt>
                <c:pt idx="228">
                  <c:v>18.239999999999998</c:v>
                </c:pt>
                <c:pt idx="229">
                  <c:v>18.32</c:v>
                </c:pt>
                <c:pt idx="230">
                  <c:v>18.399999999999999</c:v>
                </c:pt>
                <c:pt idx="231">
                  <c:v>18.48</c:v>
                </c:pt>
                <c:pt idx="232">
                  <c:v>18.559999999999999</c:v>
                </c:pt>
                <c:pt idx="233">
                  <c:v>18.64</c:v>
                </c:pt>
                <c:pt idx="234">
                  <c:v>18.72</c:v>
                </c:pt>
                <c:pt idx="235">
                  <c:v>18.8</c:v>
                </c:pt>
                <c:pt idx="236">
                  <c:v>18.88</c:v>
                </c:pt>
                <c:pt idx="237">
                  <c:v>18.96</c:v>
                </c:pt>
                <c:pt idx="238">
                  <c:v>19.04</c:v>
                </c:pt>
                <c:pt idx="239">
                  <c:v>19.12</c:v>
                </c:pt>
                <c:pt idx="240">
                  <c:v>19.2</c:v>
                </c:pt>
                <c:pt idx="241">
                  <c:v>19.28</c:v>
                </c:pt>
                <c:pt idx="242">
                  <c:v>19.36</c:v>
                </c:pt>
                <c:pt idx="243">
                  <c:v>19.440000000000001</c:v>
                </c:pt>
                <c:pt idx="244">
                  <c:v>19.52</c:v>
                </c:pt>
                <c:pt idx="245">
                  <c:v>19.600000000000001</c:v>
                </c:pt>
                <c:pt idx="246">
                  <c:v>19.68</c:v>
                </c:pt>
                <c:pt idx="247">
                  <c:v>19.760000000000002</c:v>
                </c:pt>
                <c:pt idx="248">
                  <c:v>19.84</c:v>
                </c:pt>
                <c:pt idx="249">
                  <c:v>19.920000000000002</c:v>
                </c:pt>
                <c:pt idx="250">
                  <c:v>20</c:v>
                </c:pt>
                <c:pt idx="251">
                  <c:v>20.079999999999998</c:v>
                </c:pt>
                <c:pt idx="252">
                  <c:v>20.16</c:v>
                </c:pt>
                <c:pt idx="253">
                  <c:v>20.239999999999998</c:v>
                </c:pt>
                <c:pt idx="254">
                  <c:v>20.32</c:v>
                </c:pt>
                <c:pt idx="255">
                  <c:v>20.399999999999999</c:v>
                </c:pt>
                <c:pt idx="256">
                  <c:v>20.48</c:v>
                </c:pt>
                <c:pt idx="257">
                  <c:v>20.56</c:v>
                </c:pt>
                <c:pt idx="258">
                  <c:v>20.64</c:v>
                </c:pt>
                <c:pt idx="259">
                  <c:v>20.72</c:v>
                </c:pt>
                <c:pt idx="260">
                  <c:v>20.8</c:v>
                </c:pt>
                <c:pt idx="261">
                  <c:v>20.88</c:v>
                </c:pt>
                <c:pt idx="262">
                  <c:v>20.96</c:v>
                </c:pt>
                <c:pt idx="263">
                  <c:v>21.04</c:v>
                </c:pt>
                <c:pt idx="264">
                  <c:v>21.12</c:v>
                </c:pt>
                <c:pt idx="265">
                  <c:v>21.2</c:v>
                </c:pt>
                <c:pt idx="266">
                  <c:v>21.28</c:v>
                </c:pt>
                <c:pt idx="267">
                  <c:v>21.36</c:v>
                </c:pt>
                <c:pt idx="268">
                  <c:v>21.44</c:v>
                </c:pt>
                <c:pt idx="269">
                  <c:v>21.52</c:v>
                </c:pt>
                <c:pt idx="270">
                  <c:v>21.6</c:v>
                </c:pt>
                <c:pt idx="271">
                  <c:v>21.68</c:v>
                </c:pt>
                <c:pt idx="272">
                  <c:v>21.76</c:v>
                </c:pt>
                <c:pt idx="273">
                  <c:v>21.84</c:v>
                </c:pt>
                <c:pt idx="274">
                  <c:v>21.92</c:v>
                </c:pt>
                <c:pt idx="275">
                  <c:v>22</c:v>
                </c:pt>
                <c:pt idx="276">
                  <c:v>22.08</c:v>
                </c:pt>
                <c:pt idx="277">
                  <c:v>22.16</c:v>
                </c:pt>
                <c:pt idx="278">
                  <c:v>22.24</c:v>
                </c:pt>
                <c:pt idx="279">
                  <c:v>22.32</c:v>
                </c:pt>
                <c:pt idx="280">
                  <c:v>22.4</c:v>
                </c:pt>
                <c:pt idx="281">
                  <c:v>22.48</c:v>
                </c:pt>
                <c:pt idx="282">
                  <c:v>22.56</c:v>
                </c:pt>
                <c:pt idx="283">
                  <c:v>22.64</c:v>
                </c:pt>
                <c:pt idx="284">
                  <c:v>22.72</c:v>
                </c:pt>
                <c:pt idx="285">
                  <c:v>22.8</c:v>
                </c:pt>
                <c:pt idx="286">
                  <c:v>22.88</c:v>
                </c:pt>
                <c:pt idx="287">
                  <c:v>22.96</c:v>
                </c:pt>
                <c:pt idx="288">
                  <c:v>23.04</c:v>
                </c:pt>
                <c:pt idx="289">
                  <c:v>23.12</c:v>
                </c:pt>
                <c:pt idx="290">
                  <c:v>23.2</c:v>
                </c:pt>
                <c:pt idx="291">
                  <c:v>23.28</c:v>
                </c:pt>
                <c:pt idx="292">
                  <c:v>23.36</c:v>
                </c:pt>
                <c:pt idx="293">
                  <c:v>23.44</c:v>
                </c:pt>
                <c:pt idx="294">
                  <c:v>23.52</c:v>
                </c:pt>
                <c:pt idx="295">
                  <c:v>23.6</c:v>
                </c:pt>
                <c:pt idx="296">
                  <c:v>23.68</c:v>
                </c:pt>
                <c:pt idx="297">
                  <c:v>23.76</c:v>
                </c:pt>
                <c:pt idx="298">
                  <c:v>23.84</c:v>
                </c:pt>
                <c:pt idx="299">
                  <c:v>23.92</c:v>
                </c:pt>
                <c:pt idx="300">
                  <c:v>24</c:v>
                </c:pt>
                <c:pt idx="301">
                  <c:v>24.08</c:v>
                </c:pt>
                <c:pt idx="302">
                  <c:v>24.16</c:v>
                </c:pt>
                <c:pt idx="303">
                  <c:v>24.24</c:v>
                </c:pt>
                <c:pt idx="304">
                  <c:v>24.32</c:v>
                </c:pt>
                <c:pt idx="305">
                  <c:v>24.4</c:v>
                </c:pt>
                <c:pt idx="306">
                  <c:v>24.48</c:v>
                </c:pt>
                <c:pt idx="307">
                  <c:v>24.56</c:v>
                </c:pt>
                <c:pt idx="308">
                  <c:v>24.64</c:v>
                </c:pt>
                <c:pt idx="309">
                  <c:v>24.72</c:v>
                </c:pt>
                <c:pt idx="310">
                  <c:v>24.8</c:v>
                </c:pt>
                <c:pt idx="311">
                  <c:v>24.88</c:v>
                </c:pt>
                <c:pt idx="312">
                  <c:v>24.96</c:v>
                </c:pt>
                <c:pt idx="313">
                  <c:v>25.04</c:v>
                </c:pt>
                <c:pt idx="314">
                  <c:v>25.12</c:v>
                </c:pt>
                <c:pt idx="315">
                  <c:v>25.2</c:v>
                </c:pt>
                <c:pt idx="316">
                  <c:v>25.28</c:v>
                </c:pt>
                <c:pt idx="317">
                  <c:v>25.36</c:v>
                </c:pt>
                <c:pt idx="318">
                  <c:v>25.44</c:v>
                </c:pt>
                <c:pt idx="319">
                  <c:v>25.52</c:v>
                </c:pt>
                <c:pt idx="320">
                  <c:v>25.6</c:v>
                </c:pt>
                <c:pt idx="321">
                  <c:v>25.68</c:v>
                </c:pt>
                <c:pt idx="322">
                  <c:v>25.76</c:v>
                </c:pt>
                <c:pt idx="323">
                  <c:v>25.84</c:v>
                </c:pt>
                <c:pt idx="324">
                  <c:v>25.92</c:v>
                </c:pt>
                <c:pt idx="325">
                  <c:v>26</c:v>
                </c:pt>
                <c:pt idx="326">
                  <c:v>26.08</c:v>
                </c:pt>
                <c:pt idx="327">
                  <c:v>26.16</c:v>
                </c:pt>
                <c:pt idx="328">
                  <c:v>26.24</c:v>
                </c:pt>
                <c:pt idx="329">
                  <c:v>26.32</c:v>
                </c:pt>
                <c:pt idx="330">
                  <c:v>26.4</c:v>
                </c:pt>
                <c:pt idx="331">
                  <c:v>26.48</c:v>
                </c:pt>
                <c:pt idx="332">
                  <c:v>26.56</c:v>
                </c:pt>
                <c:pt idx="333">
                  <c:v>26.64</c:v>
                </c:pt>
                <c:pt idx="334">
                  <c:v>26.72</c:v>
                </c:pt>
                <c:pt idx="335">
                  <c:v>26.8</c:v>
                </c:pt>
                <c:pt idx="336">
                  <c:v>26.88</c:v>
                </c:pt>
                <c:pt idx="337">
                  <c:v>26.96</c:v>
                </c:pt>
                <c:pt idx="338">
                  <c:v>27.04</c:v>
                </c:pt>
                <c:pt idx="339">
                  <c:v>27.12</c:v>
                </c:pt>
                <c:pt idx="340">
                  <c:v>27.2</c:v>
                </c:pt>
                <c:pt idx="341">
                  <c:v>27.28</c:v>
                </c:pt>
                <c:pt idx="342">
                  <c:v>27.36</c:v>
                </c:pt>
                <c:pt idx="343">
                  <c:v>27.44</c:v>
                </c:pt>
                <c:pt idx="344">
                  <c:v>27.52</c:v>
                </c:pt>
                <c:pt idx="345">
                  <c:v>27.6</c:v>
                </c:pt>
                <c:pt idx="346">
                  <c:v>27.68</c:v>
                </c:pt>
                <c:pt idx="347">
                  <c:v>27.76</c:v>
                </c:pt>
                <c:pt idx="348">
                  <c:v>27.84</c:v>
                </c:pt>
                <c:pt idx="349">
                  <c:v>27.92</c:v>
                </c:pt>
                <c:pt idx="350">
                  <c:v>28</c:v>
                </c:pt>
                <c:pt idx="351">
                  <c:v>28.08</c:v>
                </c:pt>
                <c:pt idx="352">
                  <c:v>28.16</c:v>
                </c:pt>
                <c:pt idx="353">
                  <c:v>28.24</c:v>
                </c:pt>
                <c:pt idx="354">
                  <c:v>28.32</c:v>
                </c:pt>
                <c:pt idx="355">
                  <c:v>28.4</c:v>
                </c:pt>
                <c:pt idx="356">
                  <c:v>28.48</c:v>
                </c:pt>
                <c:pt idx="357">
                  <c:v>28.56</c:v>
                </c:pt>
                <c:pt idx="358">
                  <c:v>28.64</c:v>
                </c:pt>
                <c:pt idx="359">
                  <c:v>28.72</c:v>
                </c:pt>
                <c:pt idx="360">
                  <c:v>28.8</c:v>
                </c:pt>
                <c:pt idx="361">
                  <c:v>28.88</c:v>
                </c:pt>
                <c:pt idx="362">
                  <c:v>28.96</c:v>
                </c:pt>
                <c:pt idx="363">
                  <c:v>29.04</c:v>
                </c:pt>
                <c:pt idx="364">
                  <c:v>29.12</c:v>
                </c:pt>
                <c:pt idx="365">
                  <c:v>29.2</c:v>
                </c:pt>
                <c:pt idx="366">
                  <c:v>29.28</c:v>
                </c:pt>
                <c:pt idx="367">
                  <c:v>29.36</c:v>
                </c:pt>
                <c:pt idx="368">
                  <c:v>29.44</c:v>
                </c:pt>
                <c:pt idx="369">
                  <c:v>29.52</c:v>
                </c:pt>
                <c:pt idx="370">
                  <c:v>29.6</c:v>
                </c:pt>
                <c:pt idx="371">
                  <c:v>29.68</c:v>
                </c:pt>
                <c:pt idx="372">
                  <c:v>29.76</c:v>
                </c:pt>
                <c:pt idx="373">
                  <c:v>29.84</c:v>
                </c:pt>
                <c:pt idx="374">
                  <c:v>29.92</c:v>
                </c:pt>
                <c:pt idx="375">
                  <c:v>30</c:v>
                </c:pt>
                <c:pt idx="376">
                  <c:v>30.08</c:v>
                </c:pt>
                <c:pt idx="377">
                  <c:v>30.16</c:v>
                </c:pt>
                <c:pt idx="378">
                  <c:v>30.24</c:v>
                </c:pt>
                <c:pt idx="379">
                  <c:v>30.32</c:v>
                </c:pt>
                <c:pt idx="380">
                  <c:v>30.4</c:v>
                </c:pt>
                <c:pt idx="381">
                  <c:v>30.48</c:v>
                </c:pt>
                <c:pt idx="382">
                  <c:v>30.56</c:v>
                </c:pt>
                <c:pt idx="383">
                  <c:v>30.64</c:v>
                </c:pt>
                <c:pt idx="384">
                  <c:v>30.72</c:v>
                </c:pt>
                <c:pt idx="385">
                  <c:v>30.8</c:v>
                </c:pt>
                <c:pt idx="386">
                  <c:v>30.88</c:v>
                </c:pt>
                <c:pt idx="387">
                  <c:v>30.96</c:v>
                </c:pt>
                <c:pt idx="388">
                  <c:v>31.04</c:v>
                </c:pt>
                <c:pt idx="389">
                  <c:v>31.12</c:v>
                </c:pt>
                <c:pt idx="390">
                  <c:v>31.2</c:v>
                </c:pt>
                <c:pt idx="391">
                  <c:v>31.28</c:v>
                </c:pt>
                <c:pt idx="392">
                  <c:v>31.36</c:v>
                </c:pt>
                <c:pt idx="393">
                  <c:v>31.44</c:v>
                </c:pt>
                <c:pt idx="394">
                  <c:v>31.52</c:v>
                </c:pt>
                <c:pt idx="395">
                  <c:v>31.6</c:v>
                </c:pt>
                <c:pt idx="396">
                  <c:v>31.68</c:v>
                </c:pt>
                <c:pt idx="397">
                  <c:v>31.76</c:v>
                </c:pt>
                <c:pt idx="398">
                  <c:v>31.84</c:v>
                </c:pt>
                <c:pt idx="399">
                  <c:v>31.92</c:v>
                </c:pt>
                <c:pt idx="400">
                  <c:v>32</c:v>
                </c:pt>
                <c:pt idx="401">
                  <c:v>32.08</c:v>
                </c:pt>
                <c:pt idx="402">
                  <c:v>32.159999999999997</c:v>
                </c:pt>
                <c:pt idx="403">
                  <c:v>32.24</c:v>
                </c:pt>
                <c:pt idx="404">
                  <c:v>32.32</c:v>
                </c:pt>
                <c:pt idx="405">
                  <c:v>32.4</c:v>
                </c:pt>
                <c:pt idx="406">
                  <c:v>32.479999999999997</c:v>
                </c:pt>
                <c:pt idx="407">
                  <c:v>32.56</c:v>
                </c:pt>
                <c:pt idx="408">
                  <c:v>32.64</c:v>
                </c:pt>
                <c:pt idx="409">
                  <c:v>32.72</c:v>
                </c:pt>
                <c:pt idx="410">
                  <c:v>32.799999999999997</c:v>
                </c:pt>
                <c:pt idx="411">
                  <c:v>32.880000000000003</c:v>
                </c:pt>
                <c:pt idx="412">
                  <c:v>32.96</c:v>
                </c:pt>
                <c:pt idx="413">
                  <c:v>33.04</c:v>
                </c:pt>
                <c:pt idx="414">
                  <c:v>33.119999999999997</c:v>
                </c:pt>
                <c:pt idx="415">
                  <c:v>33.200000000000003</c:v>
                </c:pt>
                <c:pt idx="416">
                  <c:v>33.28</c:v>
                </c:pt>
                <c:pt idx="417">
                  <c:v>33.36</c:v>
                </c:pt>
                <c:pt idx="418">
                  <c:v>33.44</c:v>
                </c:pt>
                <c:pt idx="419">
                  <c:v>33.520000000000003</c:v>
                </c:pt>
                <c:pt idx="420">
                  <c:v>33.6</c:v>
                </c:pt>
                <c:pt idx="421">
                  <c:v>33.68</c:v>
                </c:pt>
                <c:pt idx="422">
                  <c:v>33.76</c:v>
                </c:pt>
                <c:pt idx="423">
                  <c:v>33.840000000000003</c:v>
                </c:pt>
                <c:pt idx="424">
                  <c:v>33.92</c:v>
                </c:pt>
                <c:pt idx="425">
                  <c:v>34</c:v>
                </c:pt>
                <c:pt idx="426">
                  <c:v>34.08</c:v>
                </c:pt>
                <c:pt idx="427">
                  <c:v>34.159999999999997</c:v>
                </c:pt>
                <c:pt idx="428">
                  <c:v>34.24</c:v>
                </c:pt>
                <c:pt idx="429">
                  <c:v>34.32</c:v>
                </c:pt>
                <c:pt idx="430">
                  <c:v>34.4</c:v>
                </c:pt>
                <c:pt idx="431">
                  <c:v>34.479999999999997</c:v>
                </c:pt>
                <c:pt idx="432">
                  <c:v>34.56</c:v>
                </c:pt>
                <c:pt idx="433">
                  <c:v>34.64</c:v>
                </c:pt>
                <c:pt idx="434">
                  <c:v>34.72</c:v>
                </c:pt>
                <c:pt idx="435">
                  <c:v>34.799999999999997</c:v>
                </c:pt>
                <c:pt idx="436">
                  <c:v>34.880000000000003</c:v>
                </c:pt>
                <c:pt idx="437">
                  <c:v>34.96</c:v>
                </c:pt>
                <c:pt idx="438">
                  <c:v>35.04</c:v>
                </c:pt>
                <c:pt idx="439">
                  <c:v>35.119999999999997</c:v>
                </c:pt>
                <c:pt idx="440">
                  <c:v>35.200000000000003</c:v>
                </c:pt>
                <c:pt idx="441">
                  <c:v>35.28</c:v>
                </c:pt>
                <c:pt idx="442">
                  <c:v>35.36</c:v>
                </c:pt>
                <c:pt idx="443">
                  <c:v>35.44</c:v>
                </c:pt>
                <c:pt idx="444">
                  <c:v>35.520000000000003</c:v>
                </c:pt>
                <c:pt idx="445">
                  <c:v>35.6</c:v>
                </c:pt>
                <c:pt idx="446">
                  <c:v>35.68</c:v>
                </c:pt>
                <c:pt idx="447">
                  <c:v>35.76</c:v>
                </c:pt>
                <c:pt idx="448">
                  <c:v>35.840000000000003</c:v>
                </c:pt>
                <c:pt idx="449">
                  <c:v>35.92</c:v>
                </c:pt>
                <c:pt idx="450">
                  <c:v>36</c:v>
                </c:pt>
                <c:pt idx="451">
                  <c:v>36.08</c:v>
                </c:pt>
                <c:pt idx="452">
                  <c:v>36.159999999999997</c:v>
                </c:pt>
                <c:pt idx="453">
                  <c:v>36.24</c:v>
                </c:pt>
                <c:pt idx="454">
                  <c:v>36.32</c:v>
                </c:pt>
                <c:pt idx="455">
                  <c:v>36.4</c:v>
                </c:pt>
                <c:pt idx="456">
                  <c:v>36.479999999999997</c:v>
                </c:pt>
                <c:pt idx="457">
                  <c:v>36.56</c:v>
                </c:pt>
                <c:pt idx="458">
                  <c:v>36.64</c:v>
                </c:pt>
                <c:pt idx="459">
                  <c:v>36.72</c:v>
                </c:pt>
                <c:pt idx="460">
                  <c:v>36.799999999999997</c:v>
                </c:pt>
                <c:pt idx="461">
                  <c:v>36.880000000000003</c:v>
                </c:pt>
                <c:pt idx="462">
                  <c:v>36.96</c:v>
                </c:pt>
                <c:pt idx="463">
                  <c:v>37.04</c:v>
                </c:pt>
                <c:pt idx="464">
                  <c:v>37.119999999999997</c:v>
                </c:pt>
                <c:pt idx="465">
                  <c:v>37.200000000000003</c:v>
                </c:pt>
                <c:pt idx="466">
                  <c:v>37.28</c:v>
                </c:pt>
                <c:pt idx="467">
                  <c:v>37.36</c:v>
                </c:pt>
                <c:pt idx="468">
                  <c:v>37.44</c:v>
                </c:pt>
                <c:pt idx="469">
                  <c:v>37.520000000000003</c:v>
                </c:pt>
                <c:pt idx="470">
                  <c:v>37.6</c:v>
                </c:pt>
                <c:pt idx="471">
                  <c:v>37.68</c:v>
                </c:pt>
                <c:pt idx="472">
                  <c:v>37.76</c:v>
                </c:pt>
                <c:pt idx="473">
                  <c:v>37.840000000000003</c:v>
                </c:pt>
                <c:pt idx="474">
                  <c:v>37.92</c:v>
                </c:pt>
                <c:pt idx="475">
                  <c:v>38</c:v>
                </c:pt>
                <c:pt idx="476">
                  <c:v>38.08</c:v>
                </c:pt>
                <c:pt idx="477">
                  <c:v>38.159999999999997</c:v>
                </c:pt>
                <c:pt idx="478">
                  <c:v>38.24</c:v>
                </c:pt>
                <c:pt idx="479">
                  <c:v>38.32</c:v>
                </c:pt>
                <c:pt idx="480">
                  <c:v>38.4</c:v>
                </c:pt>
                <c:pt idx="481">
                  <c:v>38.479999999999997</c:v>
                </c:pt>
                <c:pt idx="482">
                  <c:v>38.56</c:v>
                </c:pt>
                <c:pt idx="483">
                  <c:v>38.64</c:v>
                </c:pt>
                <c:pt idx="484">
                  <c:v>38.72</c:v>
                </c:pt>
                <c:pt idx="485">
                  <c:v>38.799999999999997</c:v>
                </c:pt>
                <c:pt idx="486">
                  <c:v>38.880000000000003</c:v>
                </c:pt>
                <c:pt idx="487">
                  <c:v>38.96</c:v>
                </c:pt>
                <c:pt idx="488">
                  <c:v>39.04</c:v>
                </c:pt>
                <c:pt idx="489">
                  <c:v>39.119999999999997</c:v>
                </c:pt>
                <c:pt idx="490">
                  <c:v>39.200000000000003</c:v>
                </c:pt>
                <c:pt idx="491">
                  <c:v>39.28</c:v>
                </c:pt>
                <c:pt idx="492">
                  <c:v>39.36</c:v>
                </c:pt>
                <c:pt idx="493">
                  <c:v>39.44</c:v>
                </c:pt>
                <c:pt idx="494">
                  <c:v>39.520000000000003</c:v>
                </c:pt>
                <c:pt idx="495">
                  <c:v>39.6</c:v>
                </c:pt>
                <c:pt idx="496">
                  <c:v>39.68</c:v>
                </c:pt>
                <c:pt idx="497">
                  <c:v>39.76</c:v>
                </c:pt>
                <c:pt idx="498">
                  <c:v>39.840000000000003</c:v>
                </c:pt>
                <c:pt idx="499">
                  <c:v>39.92</c:v>
                </c:pt>
                <c:pt idx="500">
                  <c:v>40</c:v>
                </c:pt>
                <c:pt idx="501">
                  <c:v>40.08</c:v>
                </c:pt>
                <c:pt idx="502">
                  <c:v>40.159999999999997</c:v>
                </c:pt>
                <c:pt idx="503">
                  <c:v>40.24</c:v>
                </c:pt>
                <c:pt idx="504">
                  <c:v>40.32</c:v>
                </c:pt>
                <c:pt idx="505">
                  <c:v>40.4</c:v>
                </c:pt>
                <c:pt idx="506">
                  <c:v>40.479999999999997</c:v>
                </c:pt>
                <c:pt idx="507">
                  <c:v>40.56</c:v>
                </c:pt>
                <c:pt idx="508">
                  <c:v>40.64</c:v>
                </c:pt>
                <c:pt idx="509">
                  <c:v>40.72</c:v>
                </c:pt>
                <c:pt idx="510">
                  <c:v>40.799999999999997</c:v>
                </c:pt>
                <c:pt idx="511">
                  <c:v>40.880000000000003</c:v>
                </c:pt>
                <c:pt idx="512">
                  <c:v>40.96</c:v>
                </c:pt>
                <c:pt idx="513">
                  <c:v>41.04</c:v>
                </c:pt>
                <c:pt idx="514">
                  <c:v>41.12</c:v>
                </c:pt>
                <c:pt idx="515">
                  <c:v>41.2</c:v>
                </c:pt>
                <c:pt idx="516">
                  <c:v>41.28</c:v>
                </c:pt>
                <c:pt idx="517">
                  <c:v>41.36</c:v>
                </c:pt>
                <c:pt idx="518">
                  <c:v>41.44</c:v>
                </c:pt>
                <c:pt idx="519">
                  <c:v>41.52</c:v>
                </c:pt>
                <c:pt idx="520">
                  <c:v>41.6</c:v>
                </c:pt>
                <c:pt idx="521">
                  <c:v>41.68</c:v>
                </c:pt>
                <c:pt idx="522">
                  <c:v>41.76</c:v>
                </c:pt>
                <c:pt idx="523">
                  <c:v>41.84</c:v>
                </c:pt>
                <c:pt idx="524">
                  <c:v>41.92</c:v>
                </c:pt>
                <c:pt idx="525">
                  <c:v>42</c:v>
                </c:pt>
                <c:pt idx="526">
                  <c:v>42.08</c:v>
                </c:pt>
                <c:pt idx="527">
                  <c:v>42.16</c:v>
                </c:pt>
                <c:pt idx="528">
                  <c:v>42.24</c:v>
                </c:pt>
                <c:pt idx="529">
                  <c:v>42.32</c:v>
                </c:pt>
                <c:pt idx="530">
                  <c:v>42.4</c:v>
                </c:pt>
                <c:pt idx="531">
                  <c:v>42.48</c:v>
                </c:pt>
                <c:pt idx="532">
                  <c:v>42.56</c:v>
                </c:pt>
                <c:pt idx="533">
                  <c:v>42.64</c:v>
                </c:pt>
                <c:pt idx="534">
                  <c:v>42.72</c:v>
                </c:pt>
                <c:pt idx="535">
                  <c:v>42.8</c:v>
                </c:pt>
                <c:pt idx="536">
                  <c:v>42.88</c:v>
                </c:pt>
                <c:pt idx="537">
                  <c:v>42.96</c:v>
                </c:pt>
                <c:pt idx="538">
                  <c:v>43.04</c:v>
                </c:pt>
                <c:pt idx="539">
                  <c:v>43.12</c:v>
                </c:pt>
                <c:pt idx="540">
                  <c:v>43.2</c:v>
                </c:pt>
                <c:pt idx="541">
                  <c:v>43.28</c:v>
                </c:pt>
                <c:pt idx="542">
                  <c:v>43.36</c:v>
                </c:pt>
                <c:pt idx="543">
                  <c:v>43.44</c:v>
                </c:pt>
                <c:pt idx="544">
                  <c:v>43.52</c:v>
                </c:pt>
                <c:pt idx="545">
                  <c:v>43.6</c:v>
                </c:pt>
                <c:pt idx="546">
                  <c:v>43.68</c:v>
                </c:pt>
                <c:pt idx="547">
                  <c:v>43.76</c:v>
                </c:pt>
                <c:pt idx="548">
                  <c:v>43.84</c:v>
                </c:pt>
                <c:pt idx="549">
                  <c:v>43.92</c:v>
                </c:pt>
                <c:pt idx="550">
                  <c:v>44</c:v>
                </c:pt>
                <c:pt idx="551">
                  <c:v>44.08</c:v>
                </c:pt>
                <c:pt idx="552">
                  <c:v>44.16</c:v>
                </c:pt>
                <c:pt idx="553">
                  <c:v>44.24</c:v>
                </c:pt>
                <c:pt idx="554">
                  <c:v>44.32</c:v>
                </c:pt>
                <c:pt idx="555">
                  <c:v>44.4</c:v>
                </c:pt>
                <c:pt idx="556">
                  <c:v>44.48</c:v>
                </c:pt>
                <c:pt idx="557">
                  <c:v>44.56</c:v>
                </c:pt>
                <c:pt idx="558">
                  <c:v>44.64</c:v>
                </c:pt>
                <c:pt idx="559">
                  <c:v>44.72</c:v>
                </c:pt>
                <c:pt idx="560">
                  <c:v>44.8</c:v>
                </c:pt>
                <c:pt idx="561">
                  <c:v>44.88</c:v>
                </c:pt>
                <c:pt idx="562">
                  <c:v>44.96</c:v>
                </c:pt>
                <c:pt idx="563">
                  <c:v>45.04</c:v>
                </c:pt>
                <c:pt idx="564">
                  <c:v>45.12</c:v>
                </c:pt>
                <c:pt idx="565">
                  <c:v>45.2</c:v>
                </c:pt>
                <c:pt idx="566">
                  <c:v>45.28</c:v>
                </c:pt>
                <c:pt idx="567">
                  <c:v>45.36</c:v>
                </c:pt>
                <c:pt idx="568">
                  <c:v>45.44</c:v>
                </c:pt>
                <c:pt idx="569">
                  <c:v>45.52</c:v>
                </c:pt>
                <c:pt idx="570">
                  <c:v>45.6</c:v>
                </c:pt>
                <c:pt idx="571">
                  <c:v>45.68</c:v>
                </c:pt>
                <c:pt idx="572">
                  <c:v>45.76</c:v>
                </c:pt>
                <c:pt idx="573">
                  <c:v>45.84</c:v>
                </c:pt>
                <c:pt idx="574">
                  <c:v>45.92</c:v>
                </c:pt>
                <c:pt idx="575">
                  <c:v>46</c:v>
                </c:pt>
                <c:pt idx="576">
                  <c:v>46.08</c:v>
                </c:pt>
                <c:pt idx="577">
                  <c:v>46.16</c:v>
                </c:pt>
                <c:pt idx="578">
                  <c:v>46.24</c:v>
                </c:pt>
                <c:pt idx="579">
                  <c:v>46.32</c:v>
                </c:pt>
                <c:pt idx="580">
                  <c:v>46.4</c:v>
                </c:pt>
                <c:pt idx="581">
                  <c:v>46.48</c:v>
                </c:pt>
                <c:pt idx="582">
                  <c:v>46.56</c:v>
                </c:pt>
                <c:pt idx="583">
                  <c:v>46.64</c:v>
                </c:pt>
                <c:pt idx="584">
                  <c:v>46.72</c:v>
                </c:pt>
                <c:pt idx="585">
                  <c:v>46.8</c:v>
                </c:pt>
                <c:pt idx="586">
                  <c:v>46.88</c:v>
                </c:pt>
                <c:pt idx="587">
                  <c:v>46.96</c:v>
                </c:pt>
                <c:pt idx="588">
                  <c:v>47.04</c:v>
                </c:pt>
                <c:pt idx="589">
                  <c:v>47.12</c:v>
                </c:pt>
                <c:pt idx="590">
                  <c:v>47.2</c:v>
                </c:pt>
                <c:pt idx="591">
                  <c:v>47.28</c:v>
                </c:pt>
                <c:pt idx="592">
                  <c:v>47.36</c:v>
                </c:pt>
                <c:pt idx="593">
                  <c:v>47.44</c:v>
                </c:pt>
                <c:pt idx="594">
                  <c:v>47.52</c:v>
                </c:pt>
                <c:pt idx="595">
                  <c:v>47.6</c:v>
                </c:pt>
                <c:pt idx="596">
                  <c:v>47.68</c:v>
                </c:pt>
                <c:pt idx="597">
                  <c:v>47.76</c:v>
                </c:pt>
                <c:pt idx="598">
                  <c:v>47.84</c:v>
                </c:pt>
                <c:pt idx="599">
                  <c:v>47.92</c:v>
                </c:pt>
                <c:pt idx="600">
                  <c:v>48</c:v>
                </c:pt>
                <c:pt idx="601">
                  <c:v>48.08</c:v>
                </c:pt>
                <c:pt idx="602">
                  <c:v>48.16</c:v>
                </c:pt>
                <c:pt idx="603">
                  <c:v>48.24</c:v>
                </c:pt>
                <c:pt idx="604">
                  <c:v>48.32</c:v>
                </c:pt>
                <c:pt idx="605">
                  <c:v>48.4</c:v>
                </c:pt>
                <c:pt idx="606">
                  <c:v>48.48</c:v>
                </c:pt>
                <c:pt idx="607">
                  <c:v>48.56</c:v>
                </c:pt>
                <c:pt idx="608">
                  <c:v>48.64</c:v>
                </c:pt>
                <c:pt idx="609">
                  <c:v>48.72</c:v>
                </c:pt>
                <c:pt idx="610">
                  <c:v>48.8</c:v>
                </c:pt>
                <c:pt idx="611">
                  <c:v>48.88</c:v>
                </c:pt>
                <c:pt idx="612">
                  <c:v>48.96</c:v>
                </c:pt>
                <c:pt idx="613">
                  <c:v>49.04</c:v>
                </c:pt>
                <c:pt idx="614">
                  <c:v>49.12</c:v>
                </c:pt>
                <c:pt idx="615">
                  <c:v>49.2</c:v>
                </c:pt>
                <c:pt idx="616">
                  <c:v>49.28</c:v>
                </c:pt>
                <c:pt idx="617">
                  <c:v>49.36</c:v>
                </c:pt>
                <c:pt idx="618">
                  <c:v>49.44</c:v>
                </c:pt>
                <c:pt idx="619">
                  <c:v>49.52</c:v>
                </c:pt>
                <c:pt idx="620">
                  <c:v>49.6</c:v>
                </c:pt>
                <c:pt idx="621">
                  <c:v>49.68</c:v>
                </c:pt>
                <c:pt idx="622">
                  <c:v>49.76</c:v>
                </c:pt>
                <c:pt idx="623">
                  <c:v>49.84</c:v>
                </c:pt>
                <c:pt idx="624">
                  <c:v>49.92</c:v>
                </c:pt>
                <c:pt idx="625">
                  <c:v>50</c:v>
                </c:pt>
                <c:pt idx="626">
                  <c:v>50.08</c:v>
                </c:pt>
                <c:pt idx="627">
                  <c:v>50.16</c:v>
                </c:pt>
                <c:pt idx="628">
                  <c:v>50.24</c:v>
                </c:pt>
                <c:pt idx="629">
                  <c:v>50.32</c:v>
                </c:pt>
                <c:pt idx="630">
                  <c:v>50.4</c:v>
                </c:pt>
                <c:pt idx="631">
                  <c:v>50.48</c:v>
                </c:pt>
                <c:pt idx="632">
                  <c:v>50.56</c:v>
                </c:pt>
                <c:pt idx="633">
                  <c:v>50.64</c:v>
                </c:pt>
                <c:pt idx="634">
                  <c:v>50.72</c:v>
                </c:pt>
                <c:pt idx="635">
                  <c:v>50.8</c:v>
                </c:pt>
                <c:pt idx="636">
                  <c:v>50.88</c:v>
                </c:pt>
                <c:pt idx="637">
                  <c:v>50.96</c:v>
                </c:pt>
                <c:pt idx="638">
                  <c:v>51.04</c:v>
                </c:pt>
                <c:pt idx="639">
                  <c:v>51.12</c:v>
                </c:pt>
                <c:pt idx="640">
                  <c:v>51.2</c:v>
                </c:pt>
                <c:pt idx="641">
                  <c:v>51.28</c:v>
                </c:pt>
                <c:pt idx="642">
                  <c:v>51.36</c:v>
                </c:pt>
                <c:pt idx="643">
                  <c:v>51.44</c:v>
                </c:pt>
                <c:pt idx="644">
                  <c:v>51.52</c:v>
                </c:pt>
                <c:pt idx="645">
                  <c:v>51.6</c:v>
                </c:pt>
                <c:pt idx="646">
                  <c:v>51.68</c:v>
                </c:pt>
                <c:pt idx="647">
                  <c:v>51.76</c:v>
                </c:pt>
                <c:pt idx="648">
                  <c:v>51.84</c:v>
                </c:pt>
                <c:pt idx="649">
                  <c:v>51.92</c:v>
                </c:pt>
                <c:pt idx="650">
                  <c:v>52</c:v>
                </c:pt>
                <c:pt idx="651">
                  <c:v>52.08</c:v>
                </c:pt>
                <c:pt idx="652">
                  <c:v>52.16</c:v>
                </c:pt>
                <c:pt idx="653">
                  <c:v>52.24</c:v>
                </c:pt>
                <c:pt idx="654">
                  <c:v>52.32</c:v>
                </c:pt>
                <c:pt idx="655">
                  <c:v>52.4</c:v>
                </c:pt>
                <c:pt idx="656">
                  <c:v>52.48</c:v>
                </c:pt>
                <c:pt idx="657">
                  <c:v>52.56</c:v>
                </c:pt>
                <c:pt idx="658">
                  <c:v>52.64</c:v>
                </c:pt>
                <c:pt idx="659">
                  <c:v>52.72</c:v>
                </c:pt>
                <c:pt idx="660">
                  <c:v>52.8</c:v>
                </c:pt>
                <c:pt idx="661">
                  <c:v>52.88</c:v>
                </c:pt>
                <c:pt idx="662">
                  <c:v>52.96</c:v>
                </c:pt>
                <c:pt idx="663">
                  <c:v>53.04</c:v>
                </c:pt>
                <c:pt idx="664">
                  <c:v>53.12</c:v>
                </c:pt>
                <c:pt idx="665">
                  <c:v>53.2</c:v>
                </c:pt>
                <c:pt idx="666">
                  <c:v>53.28</c:v>
                </c:pt>
                <c:pt idx="667">
                  <c:v>53.36</c:v>
                </c:pt>
                <c:pt idx="668">
                  <c:v>53.44</c:v>
                </c:pt>
                <c:pt idx="669">
                  <c:v>53.52</c:v>
                </c:pt>
                <c:pt idx="670">
                  <c:v>53.6</c:v>
                </c:pt>
                <c:pt idx="671">
                  <c:v>53.68</c:v>
                </c:pt>
                <c:pt idx="672">
                  <c:v>53.76</c:v>
                </c:pt>
                <c:pt idx="673">
                  <c:v>53.84</c:v>
                </c:pt>
                <c:pt idx="674">
                  <c:v>53.92</c:v>
                </c:pt>
                <c:pt idx="675">
                  <c:v>54</c:v>
                </c:pt>
                <c:pt idx="676">
                  <c:v>54.08</c:v>
                </c:pt>
                <c:pt idx="677">
                  <c:v>54.16</c:v>
                </c:pt>
                <c:pt idx="678">
                  <c:v>54.24</c:v>
                </c:pt>
                <c:pt idx="679">
                  <c:v>54.32</c:v>
                </c:pt>
                <c:pt idx="680">
                  <c:v>54.4</c:v>
                </c:pt>
                <c:pt idx="681">
                  <c:v>54.48</c:v>
                </c:pt>
                <c:pt idx="682">
                  <c:v>54.56</c:v>
                </c:pt>
                <c:pt idx="683">
                  <c:v>54.64</c:v>
                </c:pt>
                <c:pt idx="684">
                  <c:v>54.72</c:v>
                </c:pt>
                <c:pt idx="685">
                  <c:v>54.8</c:v>
                </c:pt>
                <c:pt idx="686">
                  <c:v>54.88</c:v>
                </c:pt>
                <c:pt idx="687">
                  <c:v>54.96</c:v>
                </c:pt>
                <c:pt idx="688">
                  <c:v>55.04</c:v>
                </c:pt>
                <c:pt idx="689">
                  <c:v>55.12</c:v>
                </c:pt>
                <c:pt idx="690">
                  <c:v>55.2</c:v>
                </c:pt>
                <c:pt idx="691">
                  <c:v>55.28</c:v>
                </c:pt>
                <c:pt idx="692">
                  <c:v>55.36</c:v>
                </c:pt>
                <c:pt idx="693">
                  <c:v>55.44</c:v>
                </c:pt>
                <c:pt idx="694">
                  <c:v>55.52</c:v>
                </c:pt>
                <c:pt idx="695">
                  <c:v>55.6</c:v>
                </c:pt>
                <c:pt idx="696">
                  <c:v>55.68</c:v>
                </c:pt>
                <c:pt idx="697">
                  <c:v>55.76</c:v>
                </c:pt>
                <c:pt idx="698">
                  <c:v>55.84</c:v>
                </c:pt>
                <c:pt idx="699">
                  <c:v>55.92</c:v>
                </c:pt>
                <c:pt idx="700">
                  <c:v>56</c:v>
                </c:pt>
                <c:pt idx="701">
                  <c:v>56.08</c:v>
                </c:pt>
                <c:pt idx="702">
                  <c:v>56.16</c:v>
                </c:pt>
                <c:pt idx="703">
                  <c:v>56.24</c:v>
                </c:pt>
                <c:pt idx="704">
                  <c:v>56.32</c:v>
                </c:pt>
                <c:pt idx="705">
                  <c:v>56.4</c:v>
                </c:pt>
                <c:pt idx="706">
                  <c:v>56.48</c:v>
                </c:pt>
                <c:pt idx="707">
                  <c:v>56.56</c:v>
                </c:pt>
                <c:pt idx="708">
                  <c:v>56.64</c:v>
                </c:pt>
                <c:pt idx="709">
                  <c:v>56.72</c:v>
                </c:pt>
                <c:pt idx="710">
                  <c:v>56.8</c:v>
                </c:pt>
                <c:pt idx="711">
                  <c:v>56.88</c:v>
                </c:pt>
                <c:pt idx="712">
                  <c:v>56.96</c:v>
                </c:pt>
                <c:pt idx="713">
                  <c:v>57.04</c:v>
                </c:pt>
                <c:pt idx="714">
                  <c:v>57.12</c:v>
                </c:pt>
                <c:pt idx="715">
                  <c:v>57.2</c:v>
                </c:pt>
                <c:pt idx="716">
                  <c:v>57.28</c:v>
                </c:pt>
                <c:pt idx="717">
                  <c:v>57.36</c:v>
                </c:pt>
                <c:pt idx="718">
                  <c:v>57.44</c:v>
                </c:pt>
                <c:pt idx="719">
                  <c:v>57.52</c:v>
                </c:pt>
                <c:pt idx="720">
                  <c:v>57.6</c:v>
                </c:pt>
                <c:pt idx="721">
                  <c:v>57.68</c:v>
                </c:pt>
                <c:pt idx="722">
                  <c:v>57.76</c:v>
                </c:pt>
                <c:pt idx="723">
                  <c:v>57.84</c:v>
                </c:pt>
                <c:pt idx="724">
                  <c:v>57.92</c:v>
                </c:pt>
                <c:pt idx="725">
                  <c:v>58</c:v>
                </c:pt>
                <c:pt idx="726">
                  <c:v>58.08</c:v>
                </c:pt>
                <c:pt idx="727">
                  <c:v>58.16</c:v>
                </c:pt>
                <c:pt idx="728">
                  <c:v>58.24</c:v>
                </c:pt>
                <c:pt idx="729">
                  <c:v>58.32</c:v>
                </c:pt>
                <c:pt idx="730">
                  <c:v>58.4</c:v>
                </c:pt>
                <c:pt idx="731">
                  <c:v>58.48</c:v>
                </c:pt>
                <c:pt idx="732">
                  <c:v>58.56</c:v>
                </c:pt>
                <c:pt idx="733">
                  <c:v>58.64</c:v>
                </c:pt>
                <c:pt idx="734">
                  <c:v>58.72</c:v>
                </c:pt>
                <c:pt idx="735">
                  <c:v>58.8</c:v>
                </c:pt>
                <c:pt idx="736">
                  <c:v>58.88</c:v>
                </c:pt>
                <c:pt idx="737">
                  <c:v>58.96</c:v>
                </c:pt>
                <c:pt idx="738">
                  <c:v>59.04</c:v>
                </c:pt>
                <c:pt idx="739">
                  <c:v>59.12</c:v>
                </c:pt>
                <c:pt idx="740">
                  <c:v>59.2</c:v>
                </c:pt>
                <c:pt idx="741">
                  <c:v>59.28</c:v>
                </c:pt>
                <c:pt idx="742">
                  <c:v>59.36</c:v>
                </c:pt>
                <c:pt idx="743">
                  <c:v>59.44</c:v>
                </c:pt>
                <c:pt idx="744">
                  <c:v>59.52</c:v>
                </c:pt>
                <c:pt idx="745">
                  <c:v>59.6</c:v>
                </c:pt>
                <c:pt idx="746">
                  <c:v>59.68</c:v>
                </c:pt>
                <c:pt idx="747">
                  <c:v>59.76</c:v>
                </c:pt>
                <c:pt idx="748">
                  <c:v>59.84</c:v>
                </c:pt>
                <c:pt idx="749">
                  <c:v>59.92</c:v>
                </c:pt>
                <c:pt idx="750">
                  <c:v>60</c:v>
                </c:pt>
              </c:numCache>
            </c:numRef>
          </c:xVal>
          <c:yVal>
            <c:numRef>
              <c:f>Sheet1!$D$10:$D$760</c:f>
              <c:numCache>
                <c:formatCode>0.00</c:formatCode>
                <c:ptCount val="751"/>
                <c:pt idx="0">
                  <c:v>74.7</c:v>
                </c:pt>
                <c:pt idx="1">
                  <c:v>74.69239904995969</c:v>
                </c:pt>
                <c:pt idx="2">
                  <c:v>74.684800774662037</c:v>
                </c:pt>
                <c:pt idx="3">
                  <c:v>74.677205173165817</c:v>
                </c:pt>
                <c:pt idx="4">
                  <c:v>74.669612244530128</c:v>
                </c:pt>
                <c:pt idx="5">
                  <c:v>74.662021987814398</c:v>
                </c:pt>
                <c:pt idx="6">
                  <c:v>74.654434402078408</c:v>
                </c:pt>
                <c:pt idx="7">
                  <c:v>74.646849486382223</c:v>
                </c:pt>
                <c:pt idx="8">
                  <c:v>74.639267239786292</c:v>
                </c:pt>
                <c:pt idx="9">
                  <c:v>74.63168766135135</c:v>
                </c:pt>
                <c:pt idx="10">
                  <c:v>74.624110750138499</c:v>
                </c:pt>
                <c:pt idx="11">
                  <c:v>74.616536505209154</c:v>
                </c:pt>
                <c:pt idx="12">
                  <c:v>74.608964925625045</c:v>
                </c:pt>
                <c:pt idx="13">
                  <c:v>74.601396010448255</c:v>
                </c:pt>
                <c:pt idx="14">
                  <c:v>74.593829758741208</c:v>
                </c:pt>
                <c:pt idx="15">
                  <c:v>74.586266169566613</c:v>
                </c:pt>
                <c:pt idx="16">
                  <c:v>74.578705241987535</c:v>
                </c:pt>
                <c:pt idx="17">
                  <c:v>74.571146975067407</c:v>
                </c:pt>
                <c:pt idx="18">
                  <c:v>74.563591367869918</c:v>
                </c:pt>
                <c:pt idx="19">
                  <c:v>74.556038419459128</c:v>
                </c:pt>
                <c:pt idx="20">
                  <c:v>74.548488128899436</c:v>
                </c:pt>
                <c:pt idx="21">
                  <c:v>74.540940495255541</c:v>
                </c:pt>
                <c:pt idx="22">
                  <c:v>74.533395517592496</c:v>
                </c:pt>
                <c:pt idx="23">
                  <c:v>74.525853194975667</c:v>
                </c:pt>
                <c:pt idx="24">
                  <c:v>74.518313526470763</c:v>
                </c:pt>
                <c:pt idx="25">
                  <c:v>74.510776511143789</c:v>
                </c:pt>
                <c:pt idx="26">
                  <c:v>74.503242148061119</c:v>
                </c:pt>
                <c:pt idx="27">
                  <c:v>74.495710436289443</c:v>
                </c:pt>
                <c:pt idx="28">
                  <c:v>74.488181374895774</c:v>
                </c:pt>
                <c:pt idx="29">
                  <c:v>74.480654962947455</c:v>
                </c:pt>
                <c:pt idx="30">
                  <c:v>74.473131199512153</c:v>
                </c:pt>
                <c:pt idx="31">
                  <c:v>74.465610083657864</c:v>
                </c:pt>
                <c:pt idx="32">
                  <c:v>74.458091614452925</c:v>
                </c:pt>
                <c:pt idx="33">
                  <c:v>74.450575790965985</c:v>
                </c:pt>
                <c:pt idx="34">
                  <c:v>74.443062612266019</c:v>
                </c:pt>
                <c:pt idx="35">
                  <c:v>74.435552077422358</c:v>
                </c:pt>
                <c:pt idx="36">
                  <c:v>74.428044185504632</c:v>
                </c:pt>
                <c:pt idx="37">
                  <c:v>74.420538935582783</c:v>
                </c:pt>
                <c:pt idx="38">
                  <c:v>74.413036326727138</c:v>
                </c:pt>
                <c:pt idx="39">
                  <c:v>74.405536358008305</c:v>
                </c:pt>
                <c:pt idx="40">
                  <c:v>74.398039028497223</c:v>
                </c:pt>
                <c:pt idx="41">
                  <c:v>74.390544337265169</c:v>
                </c:pt>
                <c:pt idx="42">
                  <c:v>74.383052283383762</c:v>
                </c:pt>
                <c:pt idx="43">
                  <c:v>74.375562865924891</c:v>
                </c:pt>
                <c:pt idx="44">
                  <c:v>74.368076083960844</c:v>
                </c:pt>
                <c:pt idx="45">
                  <c:v>74.360591936564191</c:v>
                </c:pt>
                <c:pt idx="46">
                  <c:v>74.353110422807831</c:v>
                </c:pt>
                <c:pt idx="47">
                  <c:v>74.345631541765002</c:v>
                </c:pt>
                <c:pt idx="48">
                  <c:v>74.338155292509271</c:v>
                </c:pt>
                <c:pt idx="49">
                  <c:v>74.330681674114501</c:v>
                </c:pt>
                <c:pt idx="50">
                  <c:v>74.323210685654928</c:v>
                </c:pt>
                <c:pt idx="51">
                  <c:v>74.315742326205083</c:v>
                </c:pt>
                <c:pt idx="52">
                  <c:v>74.308276594839811</c:v>
                </c:pt>
                <c:pt idx="53">
                  <c:v>74.300813490634326</c:v>
                </c:pt>
                <c:pt idx="54">
                  <c:v>74.293353012664127</c:v>
                </c:pt>
                <c:pt idx="55">
                  <c:v>74.285895160005055</c:v>
                </c:pt>
                <c:pt idx="56">
                  <c:v>74.278439931733274</c:v>
                </c:pt>
                <c:pt idx="57">
                  <c:v>74.270987326925265</c:v>
                </c:pt>
                <c:pt idx="58">
                  <c:v>74.263537344657848</c:v>
                </c:pt>
                <c:pt idx="59">
                  <c:v>74.25608998400817</c:v>
                </c:pt>
                <c:pt idx="60">
                  <c:v>74.248645244053691</c:v>
                </c:pt>
                <c:pt idx="61">
                  <c:v>74.241203123872182</c:v>
                </c:pt>
                <c:pt idx="62">
                  <c:v>74.233763622541787</c:v>
                </c:pt>
                <c:pt idx="63">
                  <c:v>74.226326739140916</c:v>
                </c:pt>
                <c:pt idx="64">
                  <c:v>74.218892472748337</c:v>
                </c:pt>
                <c:pt idx="65">
                  <c:v>74.211460822443144</c:v>
                </c:pt>
                <c:pt idx="66">
                  <c:v>74.204031787304743</c:v>
                </c:pt>
                <c:pt idx="67">
                  <c:v>74.196605366412868</c:v>
                </c:pt>
                <c:pt idx="68">
                  <c:v>74.189181558847579</c:v>
                </c:pt>
                <c:pt idx="69">
                  <c:v>74.18176036368925</c:v>
                </c:pt>
                <c:pt idx="70">
                  <c:v>74.17434178001858</c:v>
                </c:pt>
                <c:pt idx="71">
                  <c:v>74.166925806916623</c:v>
                </c:pt>
                <c:pt idx="72">
                  <c:v>74.159512443464706</c:v>
                </c:pt>
                <c:pt idx="73">
                  <c:v>74.152101688744509</c:v>
                </c:pt>
                <c:pt idx="74">
                  <c:v>74.144693541838038</c:v>
                </c:pt>
                <c:pt idx="75">
                  <c:v>74.137288001827613</c:v>
                </c:pt>
                <c:pt idx="76">
                  <c:v>74.129885067795868</c:v>
                </c:pt>
                <c:pt idx="77">
                  <c:v>74.12248473882579</c:v>
                </c:pt>
                <c:pt idx="78">
                  <c:v>74.115087014000636</c:v>
                </c:pt>
                <c:pt idx="79">
                  <c:v>74.107691892404048</c:v>
                </c:pt>
                <c:pt idx="80">
                  <c:v>74.100299373119952</c:v>
                </c:pt>
                <c:pt idx="81">
                  <c:v>74.092909455232601</c:v>
                </c:pt>
                <c:pt idx="82">
                  <c:v>74.085522137826587</c:v>
                </c:pt>
                <c:pt idx="83">
                  <c:v>74.078137419986788</c:v>
                </c:pt>
                <c:pt idx="84">
                  <c:v>74.070755300798453</c:v>
                </c:pt>
                <c:pt idx="85">
                  <c:v>74.063375779347098</c:v>
                </c:pt>
                <c:pt idx="86">
                  <c:v>74.055998854718624</c:v>
                </c:pt>
                <c:pt idx="87">
                  <c:v>74.048624525999202</c:v>
                </c:pt>
                <c:pt idx="88">
                  <c:v>74.04125279227533</c:v>
                </c:pt>
                <c:pt idx="89">
                  <c:v>74.033883652633861</c:v>
                </c:pt>
                <c:pt idx="90">
                  <c:v>74.026517106161947</c:v>
                </c:pt>
                <c:pt idx="91">
                  <c:v>74.019153151947052</c:v>
                </c:pt>
                <c:pt idx="92">
                  <c:v>74.01179178907698</c:v>
                </c:pt>
                <c:pt idx="93">
                  <c:v>74.004433016639837</c:v>
                </c:pt>
                <c:pt idx="94">
                  <c:v>73.997076833724066</c:v>
                </c:pt>
                <c:pt idx="95">
                  <c:v>73.989723239418424</c:v>
                </c:pt>
                <c:pt idx="96">
                  <c:v>73.982372232811997</c:v>
                </c:pt>
                <c:pt idx="97">
                  <c:v>73.975023812994181</c:v>
                </c:pt>
                <c:pt idx="98">
                  <c:v>73.967677979054699</c:v>
                </c:pt>
                <c:pt idx="99">
                  <c:v>73.960334730083574</c:v>
                </c:pt>
                <c:pt idx="100">
                  <c:v>73.952994065171183</c:v>
                </c:pt>
                <c:pt idx="101">
                  <c:v>73.945655983408201</c:v>
                </c:pt>
                <c:pt idx="102">
                  <c:v>73.938320483885633</c:v>
                </c:pt>
                <c:pt idx="103">
                  <c:v>73.930987565694807</c:v>
                </c:pt>
                <c:pt idx="104">
                  <c:v>73.923657227927336</c:v>
                </c:pt>
                <c:pt idx="105">
                  <c:v>73.91632946967519</c:v>
                </c:pt>
                <c:pt idx="106">
                  <c:v>73.90900429003068</c:v>
                </c:pt>
                <c:pt idx="107">
                  <c:v>73.901681688086356</c:v>
                </c:pt>
                <c:pt idx="108">
                  <c:v>73.894361662935168</c:v>
                </c:pt>
                <c:pt idx="109">
                  <c:v>73.88704421367035</c:v>
                </c:pt>
                <c:pt idx="110">
                  <c:v>73.879729339385449</c:v>
                </c:pt>
                <c:pt idx="111">
                  <c:v>73.872417039174337</c:v>
                </c:pt>
                <c:pt idx="112">
                  <c:v>73.865107312131215</c:v>
                </c:pt>
                <c:pt idx="113">
                  <c:v>73.857800157350596</c:v>
                </c:pt>
                <c:pt idx="114">
                  <c:v>73.850495573927319</c:v>
                </c:pt>
                <c:pt idx="115">
                  <c:v>73.843193560956522</c:v>
                </c:pt>
                <c:pt idx="116">
                  <c:v>73.835894117533684</c:v>
                </c:pt>
                <c:pt idx="117">
                  <c:v>73.828597242754569</c:v>
                </c:pt>
                <c:pt idx="118">
                  <c:v>73.821302935715309</c:v>
                </c:pt>
                <c:pt idx="119">
                  <c:v>73.814011195512322</c:v>
                </c:pt>
                <c:pt idx="120">
                  <c:v>73.806722021242336</c:v>
                </c:pt>
                <c:pt idx="121">
                  <c:v>73.799435412002424</c:v>
                </c:pt>
                <c:pt idx="122">
                  <c:v>73.792151366889954</c:v>
                </c:pt>
                <c:pt idx="123">
                  <c:v>73.784869885002621</c:v>
                </c:pt>
                <c:pt idx="124">
                  <c:v>73.777590965438435</c:v>
                </c:pt>
                <c:pt idx="125">
                  <c:v>73.770314607295745</c:v>
                </c:pt>
                <c:pt idx="126">
                  <c:v>73.763040809673157</c:v>
                </c:pt>
                <c:pt idx="127">
                  <c:v>73.755769571669674</c:v>
                </c:pt>
                <c:pt idx="128">
                  <c:v>73.748500892384556</c:v>
                </c:pt>
                <c:pt idx="129">
                  <c:v>73.741234770917416</c:v>
                </c:pt>
                <c:pt idx="130">
                  <c:v>73.733971206368139</c:v>
                </c:pt>
                <c:pt idx="131">
                  <c:v>73.726710197836994</c:v>
                </c:pt>
                <c:pt idx="132">
                  <c:v>73.719451744424504</c:v>
                </c:pt>
                <c:pt idx="133">
                  <c:v>73.712195845231534</c:v>
                </c:pt>
                <c:pt idx="134">
                  <c:v>73.704942499359277</c:v>
                </c:pt>
                <c:pt idx="135">
                  <c:v>73.697691705909222</c:v>
                </c:pt>
                <c:pt idx="136">
                  <c:v>73.690443463983186</c:v>
                </c:pt>
                <c:pt idx="137">
                  <c:v>73.683197772683286</c:v>
                </c:pt>
                <c:pt idx="138">
                  <c:v>73.675954631111992</c:v>
                </c:pt>
                <c:pt idx="139">
                  <c:v>73.668714038372045</c:v>
                </c:pt>
                <c:pt idx="140">
                  <c:v>73.661475993566526</c:v>
                </c:pt>
                <c:pt idx="141">
                  <c:v>73.654240495798831</c:v>
                </c:pt>
                <c:pt idx="142">
                  <c:v>73.647007544172652</c:v>
                </c:pt>
                <c:pt idx="143">
                  <c:v>73.639777137792052</c:v>
                </c:pt>
                <c:pt idx="144">
                  <c:v>73.632549275761335</c:v>
                </c:pt>
                <c:pt idx="145">
                  <c:v>73.625323957185145</c:v>
                </c:pt>
                <c:pt idx="146">
                  <c:v>73.618101181168498</c:v>
                </c:pt>
                <c:pt idx="147">
                  <c:v>73.610880946816636</c:v>
                </c:pt>
                <c:pt idx="148">
                  <c:v>73.603663253235169</c:v>
                </c:pt>
                <c:pt idx="149">
                  <c:v>73.596448099530022</c:v>
                </c:pt>
                <c:pt idx="150">
                  <c:v>73.589235484807404</c:v>
                </c:pt>
                <c:pt idx="151">
                  <c:v>73.582025408173877</c:v>
                </c:pt>
                <c:pt idx="152">
                  <c:v>73.574817868736275</c:v>
                </c:pt>
                <c:pt idx="153">
                  <c:v>73.567612865601802</c:v>
                </c:pt>
                <c:pt idx="154">
                  <c:v>73.560410397877916</c:v>
                </c:pt>
                <c:pt idx="155">
                  <c:v>73.553210464672418</c:v>
                </c:pt>
                <c:pt idx="156">
                  <c:v>73.546013065093433</c:v>
                </c:pt>
                <c:pt idx="157">
                  <c:v>73.538818198249388</c:v>
                </c:pt>
                <c:pt idx="158">
                  <c:v>73.531625863249019</c:v>
                </c:pt>
                <c:pt idx="159">
                  <c:v>73.524436059201378</c:v>
                </c:pt>
                <c:pt idx="160">
                  <c:v>73.517248785215855</c:v>
                </c:pt>
                <c:pt idx="161">
                  <c:v>73.510064040402085</c:v>
                </c:pt>
                <c:pt idx="162">
                  <c:v>73.502881823870112</c:v>
                </c:pt>
                <c:pt idx="163">
                  <c:v>73.495702134730223</c:v>
                </c:pt>
                <c:pt idx="164">
                  <c:v>73.488524972093032</c:v>
                </c:pt>
                <c:pt idx="165">
                  <c:v>73.481350335069493</c:v>
                </c:pt>
                <c:pt idx="166">
                  <c:v>73.474178222770831</c:v>
                </c:pt>
                <c:pt idx="167">
                  <c:v>73.467008634308627</c:v>
                </c:pt>
                <c:pt idx="168">
                  <c:v>73.459841568794729</c:v>
                </c:pt>
                <c:pt idx="169">
                  <c:v>73.452677025341345</c:v>
                </c:pt>
                <c:pt idx="170">
                  <c:v>73.445515003060962</c:v>
                </c:pt>
                <c:pt idx="171">
                  <c:v>73.438355501066383</c:v>
                </c:pt>
                <c:pt idx="172">
                  <c:v>73.431198518470751</c:v>
                </c:pt>
                <c:pt idx="173">
                  <c:v>73.42404405438748</c:v>
                </c:pt>
                <c:pt idx="174">
                  <c:v>73.416892107930323</c:v>
                </c:pt>
                <c:pt idx="175">
                  <c:v>73.409742678213334</c:v>
                </c:pt>
                <c:pt idx="176">
                  <c:v>73.402595764350892</c:v>
                </c:pt>
                <c:pt idx="177">
                  <c:v>73.395451365457674</c:v>
                </c:pt>
                <c:pt idx="178">
                  <c:v>73.388309480648672</c:v>
                </c:pt>
                <c:pt idx="179">
                  <c:v>73.381170109039189</c:v>
                </c:pt>
                <c:pt idx="180">
                  <c:v>73.374033249744841</c:v>
                </c:pt>
                <c:pt idx="181">
                  <c:v>73.366898901881555</c:v>
                </c:pt>
                <c:pt idx="182">
                  <c:v>73.35976706456556</c:v>
                </c:pt>
                <c:pt idx="183">
                  <c:v>73.352637736913422</c:v>
                </c:pt>
                <c:pt idx="184">
                  <c:v>73.345510918041995</c:v>
                </c:pt>
                <c:pt idx="185">
                  <c:v>73.338386607068443</c:v>
                </c:pt>
                <c:pt idx="186">
                  <c:v>73.331264803110258</c:v>
                </c:pt>
                <c:pt idx="187">
                  <c:v>73.324145505285216</c:v>
                </c:pt>
                <c:pt idx="188">
                  <c:v>73.317028712711434</c:v>
                </c:pt>
                <c:pt idx="189">
                  <c:v>73.309914424507312</c:v>
                </c:pt>
                <c:pt idx="190">
                  <c:v>73.302802639791594</c:v>
                </c:pt>
                <c:pt idx="191">
                  <c:v>73.295693357683277</c:v>
                </c:pt>
                <c:pt idx="192">
                  <c:v>73.288586577301743</c:v>
                </c:pt>
                <c:pt idx="193">
                  <c:v>73.281482297766615</c:v>
                </c:pt>
                <c:pt idx="194">
                  <c:v>73.274380518197873</c:v>
                </c:pt>
                <c:pt idx="195">
                  <c:v>73.267281237715792</c:v>
                </c:pt>
                <c:pt idx="196">
                  <c:v>73.260184455440935</c:v>
                </c:pt>
                <c:pt idx="197">
                  <c:v>73.253090170494204</c:v>
                </c:pt>
                <c:pt idx="198">
                  <c:v>73.245998381996799</c:v>
                </c:pt>
                <c:pt idx="199">
                  <c:v>73.238909089070233</c:v>
                </c:pt>
                <c:pt idx="200">
                  <c:v>73.23182229083632</c:v>
                </c:pt>
                <c:pt idx="201">
                  <c:v>73.224737986417196</c:v>
                </c:pt>
                <c:pt idx="202">
                  <c:v>73.217656174935286</c:v>
                </c:pt>
                <c:pt idx="203">
                  <c:v>73.210576855513352</c:v>
                </c:pt>
                <c:pt idx="204">
                  <c:v>73.20350002727443</c:v>
                </c:pt>
                <c:pt idx="205">
                  <c:v>73.196425689341893</c:v>
                </c:pt>
                <c:pt idx="206">
                  <c:v>73.189353840839416</c:v>
                </c:pt>
                <c:pt idx="207">
                  <c:v>73.182284480890957</c:v>
                </c:pt>
                <c:pt idx="208">
                  <c:v>73.175217608620841</c:v>
                </c:pt>
                <c:pt idx="209">
                  <c:v>73.168153223153638</c:v>
                </c:pt>
                <c:pt idx="210">
                  <c:v>73.161091323614258</c:v>
                </c:pt>
                <c:pt idx="211">
                  <c:v>73.154031909127923</c:v>
                </c:pt>
                <c:pt idx="212">
                  <c:v>73.14697497882014</c:v>
                </c:pt>
                <c:pt idx="213">
                  <c:v>73.139920531816728</c:v>
                </c:pt>
                <c:pt idx="214">
                  <c:v>73.132868567243861</c:v>
                </c:pt>
                <c:pt idx="215">
                  <c:v>73.125819084227942</c:v>
                </c:pt>
                <c:pt idx="216">
                  <c:v>73.118772081895727</c:v>
                </c:pt>
                <c:pt idx="217">
                  <c:v>73.111727559374302</c:v>
                </c:pt>
                <c:pt idx="218">
                  <c:v>73.104685515791004</c:v>
                </c:pt>
                <c:pt idx="219">
                  <c:v>73.097645950273517</c:v>
                </c:pt>
                <c:pt idx="220">
                  <c:v>73.090608861949818</c:v>
                </c:pt>
                <c:pt idx="221">
                  <c:v>73.083574249948185</c:v>
                </c:pt>
                <c:pt idx="222">
                  <c:v>73.076542113397224</c:v>
                </c:pt>
                <c:pt idx="223">
                  <c:v>73.069512451425823</c:v>
                </c:pt>
                <c:pt idx="224">
                  <c:v>73.062485263163197</c:v>
                </c:pt>
                <c:pt idx="225">
                  <c:v>73.055460547738846</c:v>
                </c:pt>
                <c:pt idx="226">
                  <c:v>73.048438304282612</c:v>
                </c:pt>
                <c:pt idx="227">
                  <c:v>73.041418531924592</c:v>
                </c:pt>
                <c:pt idx="228">
                  <c:v>73.034401229795236</c:v>
                </c:pt>
                <c:pt idx="229">
                  <c:v>73.027386397025268</c:v>
                </c:pt>
                <c:pt idx="230">
                  <c:v>73.020374032745735</c:v>
                </c:pt>
                <c:pt idx="231">
                  <c:v>73.013364136088001</c:v>
                </c:pt>
                <c:pt idx="232">
                  <c:v>73.006356706183681</c:v>
                </c:pt>
                <c:pt idx="233">
                  <c:v>72.999351742164777</c:v>
                </c:pt>
                <c:pt idx="234">
                  <c:v>72.992349243163545</c:v>
                </c:pt>
                <c:pt idx="235">
                  <c:v>72.985349208312527</c:v>
                </c:pt>
                <c:pt idx="236">
                  <c:v>72.978351636744634</c:v>
                </c:pt>
                <c:pt idx="237">
                  <c:v>72.971356527593031</c:v>
                </c:pt>
                <c:pt idx="238">
                  <c:v>72.964363879991197</c:v>
                </c:pt>
                <c:pt idx="239">
                  <c:v>72.957373693072924</c:v>
                </c:pt>
                <c:pt idx="240">
                  <c:v>72.95038596597233</c:v>
                </c:pt>
                <c:pt idx="241">
                  <c:v>72.943400697823805</c:v>
                </c:pt>
                <c:pt idx="242">
                  <c:v>72.936417887762033</c:v>
                </c:pt>
                <c:pt idx="243">
                  <c:v>72.929437534922045</c:v>
                </c:pt>
                <c:pt idx="244">
                  <c:v>72.922459638439165</c:v>
                </c:pt>
                <c:pt idx="245">
                  <c:v>72.915484197448976</c:v>
                </c:pt>
                <c:pt idx="246">
                  <c:v>72.908511211087429</c:v>
                </c:pt>
                <c:pt idx="247">
                  <c:v>72.901540678490733</c:v>
                </c:pt>
                <c:pt idx="248">
                  <c:v>72.894572598795435</c:v>
                </c:pt>
                <c:pt idx="249">
                  <c:v>72.887606971138354</c:v>
                </c:pt>
                <c:pt idx="250">
                  <c:v>72.880643794656649</c:v>
                </c:pt>
                <c:pt idx="251">
                  <c:v>72.873683068487736</c:v>
                </c:pt>
                <c:pt idx="252">
                  <c:v>72.866724791769371</c:v>
                </c:pt>
                <c:pt idx="253">
                  <c:v>72.85976896363961</c:v>
                </c:pt>
                <c:pt idx="254">
                  <c:v>72.852815583236804</c:v>
                </c:pt>
                <c:pt idx="255">
                  <c:v>72.845864649699593</c:v>
                </c:pt>
                <c:pt idx="256">
                  <c:v>72.838916162166939</c:v>
                </c:pt>
                <c:pt idx="257">
                  <c:v>72.83197011977812</c:v>
                </c:pt>
                <c:pt idx="258">
                  <c:v>72.825026521672683</c:v>
                </c:pt>
                <c:pt idx="259">
                  <c:v>72.818085366990502</c:v>
                </c:pt>
                <c:pt idx="260">
                  <c:v>72.811146654871749</c:v>
                </c:pt>
                <c:pt idx="261">
                  <c:v>72.80421038445688</c:v>
                </c:pt>
                <c:pt idx="262">
                  <c:v>72.797276554886693</c:v>
                </c:pt>
                <c:pt idx="263">
                  <c:v>72.790345165302242</c:v>
                </c:pt>
                <c:pt idx="264">
                  <c:v>72.783416214844934</c:v>
                </c:pt>
                <c:pt idx="265">
                  <c:v>72.77648970265642</c:v>
                </c:pt>
                <c:pt idx="266">
                  <c:v>72.769565627878706</c:v>
                </c:pt>
                <c:pt idx="267">
                  <c:v>72.762643989654066</c:v>
                </c:pt>
                <c:pt idx="268">
                  <c:v>72.755724787125089</c:v>
                </c:pt>
                <c:pt idx="269">
                  <c:v>72.748808019434676</c:v>
                </c:pt>
                <c:pt idx="270">
                  <c:v>72.741893685725984</c:v>
                </c:pt>
                <c:pt idx="271">
                  <c:v>72.734981785142537</c:v>
                </c:pt>
                <c:pt idx="272">
                  <c:v>72.728072316828133</c:v>
                </c:pt>
                <c:pt idx="273">
                  <c:v>72.721165279926836</c:v>
                </c:pt>
                <c:pt idx="274">
                  <c:v>72.71426067358307</c:v>
                </c:pt>
                <c:pt idx="275">
                  <c:v>72.707358496941509</c:v>
                </c:pt>
                <c:pt idx="276">
                  <c:v>72.700458749147174</c:v>
                </c:pt>
                <c:pt idx="277">
                  <c:v>72.693561429345337</c:v>
                </c:pt>
                <c:pt idx="278">
                  <c:v>72.686666536681628</c:v>
                </c:pt>
                <c:pt idx="279">
                  <c:v>72.679774070301917</c:v>
                </c:pt>
                <c:pt idx="280">
                  <c:v>72.672884029352417</c:v>
                </c:pt>
                <c:pt idx="281">
                  <c:v>72.665996412979638</c:v>
                </c:pt>
                <c:pt idx="282">
                  <c:v>72.659111220330388</c:v>
                </c:pt>
                <c:pt idx="283">
                  <c:v>72.652228450551746</c:v>
                </c:pt>
                <c:pt idx="284">
                  <c:v>72.645348102791118</c:v>
                </c:pt>
                <c:pt idx="285">
                  <c:v>72.638470176196222</c:v>
                </c:pt>
                <c:pt idx="286">
                  <c:v>72.631594669915046</c:v>
                </c:pt>
                <c:pt idx="287">
                  <c:v>72.624721583095891</c:v>
                </c:pt>
                <c:pt idx="288">
                  <c:v>72.617850914887356</c:v>
                </c:pt>
                <c:pt idx="289">
                  <c:v>72.610982664438353</c:v>
                </c:pt>
                <c:pt idx="290">
                  <c:v>72.604116830898079</c:v>
                </c:pt>
                <c:pt idx="291">
                  <c:v>72.597253413416041</c:v>
                </c:pt>
                <c:pt idx="292">
                  <c:v>72.590392411142034</c:v>
                </c:pt>
                <c:pt idx="293">
                  <c:v>72.583533823226134</c:v>
                </c:pt>
                <c:pt idx="294">
                  <c:v>72.576677648818773</c:v>
                </c:pt>
                <c:pt idx="295">
                  <c:v>72.569823887070626</c:v>
                </c:pt>
                <c:pt idx="296">
                  <c:v>72.562972537132694</c:v>
                </c:pt>
                <c:pt idx="297">
                  <c:v>72.556123598156262</c:v>
                </c:pt>
                <c:pt idx="298">
                  <c:v>72.549277069292941</c:v>
                </c:pt>
                <c:pt idx="299">
                  <c:v>72.542432949694614</c:v>
                </c:pt>
                <c:pt idx="300">
                  <c:v>72.535591238513462</c:v>
                </c:pt>
                <c:pt idx="301">
                  <c:v>72.528751934901976</c:v>
                </c:pt>
                <c:pt idx="302">
                  <c:v>72.521915038012963</c:v>
                </c:pt>
                <c:pt idx="303">
                  <c:v>72.515080546999485</c:v>
                </c:pt>
                <c:pt idx="304">
                  <c:v>72.508248461014929</c:v>
                </c:pt>
                <c:pt idx="305">
                  <c:v>72.501418779212969</c:v>
                </c:pt>
                <c:pt idx="306">
                  <c:v>72.494591500747603</c:v>
                </c:pt>
                <c:pt idx="307">
                  <c:v>72.487766624773087</c:v>
                </c:pt>
                <c:pt idx="308">
                  <c:v>72.480944150444003</c:v>
                </c:pt>
                <c:pt idx="309">
                  <c:v>72.474124076915217</c:v>
                </c:pt>
                <c:pt idx="310">
                  <c:v>72.467306403341908</c:v>
                </c:pt>
                <c:pt idx="311">
                  <c:v>72.460491128879539</c:v>
                </c:pt>
                <c:pt idx="312">
                  <c:v>72.453678252683858</c:v>
                </c:pt>
                <c:pt idx="313">
                  <c:v>72.446867773910952</c:v>
                </c:pt>
                <c:pt idx="314">
                  <c:v>72.440059691717153</c:v>
                </c:pt>
                <c:pt idx="315">
                  <c:v>72.433254005259116</c:v>
                </c:pt>
                <c:pt idx="316">
                  <c:v>72.426450713693811</c:v>
                </c:pt>
                <c:pt idx="317">
                  <c:v>72.419649816178463</c:v>
                </c:pt>
                <c:pt idx="318">
                  <c:v>72.412851311870639</c:v>
                </c:pt>
                <c:pt idx="319">
                  <c:v>72.406055199928147</c:v>
                </c:pt>
                <c:pt idx="320">
                  <c:v>72.399261479509164</c:v>
                </c:pt>
                <c:pt idx="321">
                  <c:v>72.392470149772095</c:v>
                </c:pt>
                <c:pt idx="322">
                  <c:v>72.385681209875671</c:v>
                </c:pt>
                <c:pt idx="323">
                  <c:v>72.378894658978922</c:v>
                </c:pt>
                <c:pt idx="324">
                  <c:v>72.372110496241177</c:v>
                </c:pt>
                <c:pt idx="325">
                  <c:v>72.365328720822035</c:v>
                </c:pt>
                <c:pt idx="326">
                  <c:v>72.35854933188142</c:v>
                </c:pt>
                <c:pt idx="327">
                  <c:v>72.351772328579543</c:v>
                </c:pt>
                <c:pt idx="328">
                  <c:v>72.34499771007691</c:v>
                </c:pt>
                <c:pt idx="329">
                  <c:v>72.338225475534301</c:v>
                </c:pt>
                <c:pt idx="330">
                  <c:v>72.331455624112834</c:v>
                </c:pt>
                <c:pt idx="331">
                  <c:v>72.32468815497387</c:v>
                </c:pt>
                <c:pt idx="332">
                  <c:v>72.317923067279125</c:v>
                </c:pt>
                <c:pt idx="333">
                  <c:v>72.311160360190556</c:v>
                </c:pt>
                <c:pt idx="334">
                  <c:v>72.304400032870447</c:v>
                </c:pt>
                <c:pt idx="335">
                  <c:v>72.297642084481367</c:v>
                </c:pt>
                <c:pt idx="336">
                  <c:v>72.290886514186184</c:v>
                </c:pt>
                <c:pt idx="337">
                  <c:v>72.284133321148062</c:v>
                </c:pt>
                <c:pt idx="338">
                  <c:v>72.277382504530422</c:v>
                </c:pt>
                <c:pt idx="339">
                  <c:v>72.270634063497056</c:v>
                </c:pt>
                <c:pt idx="340">
                  <c:v>72.263887997211967</c:v>
                </c:pt>
                <c:pt idx="341">
                  <c:v>72.257144304839514</c:v>
                </c:pt>
                <c:pt idx="342">
                  <c:v>72.250402985544312</c:v>
                </c:pt>
                <c:pt idx="343">
                  <c:v>72.243664038491303</c:v>
                </c:pt>
                <c:pt idx="344">
                  <c:v>72.236927462845699</c:v>
                </c:pt>
                <c:pt idx="345">
                  <c:v>72.230193257772996</c:v>
                </c:pt>
                <c:pt idx="346">
                  <c:v>72.223461422439016</c:v>
                </c:pt>
                <c:pt idx="347">
                  <c:v>72.216731956009866</c:v>
                </c:pt>
                <c:pt idx="348">
                  <c:v>72.21000485765191</c:v>
                </c:pt>
                <c:pt idx="349">
                  <c:v>72.203280126531865</c:v>
                </c:pt>
                <c:pt idx="350">
                  <c:v>72.196557761816678</c:v>
                </c:pt>
                <c:pt idx="351">
                  <c:v>72.189837762673648</c:v>
                </c:pt>
                <c:pt idx="352">
                  <c:v>72.183120128270318</c:v>
                </c:pt>
                <c:pt idx="353">
                  <c:v>72.176404857774571</c:v>
                </c:pt>
                <c:pt idx="354">
                  <c:v>72.169691950354519</c:v>
                </c:pt>
                <c:pt idx="355">
                  <c:v>72.162981405178655</c:v>
                </c:pt>
                <c:pt idx="356">
                  <c:v>72.156273221415688</c:v>
                </c:pt>
                <c:pt idx="357">
                  <c:v>72.149567398234637</c:v>
                </c:pt>
                <c:pt idx="358">
                  <c:v>72.142863934804836</c:v>
                </c:pt>
                <c:pt idx="359">
                  <c:v>72.136162830295902</c:v>
                </c:pt>
                <c:pt idx="360">
                  <c:v>72.129464083877735</c:v>
                </c:pt>
                <c:pt idx="361">
                  <c:v>72.122767694720537</c:v>
                </c:pt>
                <c:pt idx="362">
                  <c:v>72.11607366199479</c:v>
                </c:pt>
                <c:pt idx="363">
                  <c:v>72.109381984871291</c:v>
                </c:pt>
                <c:pt idx="364">
                  <c:v>72.102692662521093</c:v>
                </c:pt>
                <c:pt idx="365">
                  <c:v>72.096005694115576</c:v>
                </c:pt>
                <c:pt idx="366">
                  <c:v>72.089321078826373</c:v>
                </c:pt>
                <c:pt idx="367">
                  <c:v>72.082638815825462</c:v>
                </c:pt>
                <c:pt idx="368">
                  <c:v>72.075958904285073</c:v>
                </c:pt>
                <c:pt idx="369">
                  <c:v>72.069281343377739</c:v>
                </c:pt>
                <c:pt idx="370">
                  <c:v>72.062606132276272</c:v>
                </c:pt>
                <c:pt idx="371">
                  <c:v>72.055933270153787</c:v>
                </c:pt>
                <c:pt idx="372">
                  <c:v>72.049262756183694</c:v>
                </c:pt>
                <c:pt idx="373">
                  <c:v>72.042594589539689</c:v>
                </c:pt>
                <c:pt idx="374">
                  <c:v>72.035928769395753</c:v>
                </c:pt>
                <c:pt idx="375">
                  <c:v>72.029265294926162</c:v>
                </c:pt>
                <c:pt idx="376">
                  <c:v>72.022604165305481</c:v>
                </c:pt>
                <c:pt idx="377">
                  <c:v>72.015945379708583</c:v>
                </c:pt>
                <c:pt idx="378">
                  <c:v>72.0092889373106</c:v>
                </c:pt>
                <c:pt idx="379">
                  <c:v>72.002634837286962</c:v>
                </c:pt>
                <c:pt idx="380">
                  <c:v>71.995983078813424</c:v>
                </c:pt>
                <c:pt idx="381">
                  <c:v>71.989333661065984</c:v>
                </c:pt>
                <c:pt idx="382">
                  <c:v>71.982686583220953</c:v>
                </c:pt>
                <c:pt idx="383">
                  <c:v>71.97604184445494</c:v>
                </c:pt>
                <c:pt idx="384">
                  <c:v>71.969399443944809</c:v>
                </c:pt>
                <c:pt idx="385">
                  <c:v>71.962759380867766</c:v>
                </c:pt>
                <c:pt idx="386">
                  <c:v>71.956121654401272</c:v>
                </c:pt>
                <c:pt idx="387">
                  <c:v>71.94948626372306</c:v>
                </c:pt>
                <c:pt idx="388">
                  <c:v>71.942853208011201</c:v>
                </c:pt>
                <c:pt idx="389">
                  <c:v>71.936222486444024</c:v>
                </c:pt>
                <c:pt idx="390">
                  <c:v>71.929594098200141</c:v>
                </c:pt>
                <c:pt idx="391">
                  <c:v>71.922968042458493</c:v>
                </c:pt>
                <c:pt idx="392">
                  <c:v>71.916344318398245</c:v>
                </c:pt>
                <c:pt idx="393">
                  <c:v>71.909722925198921</c:v>
                </c:pt>
                <c:pt idx="394">
                  <c:v>71.903103862040282</c:v>
                </c:pt>
                <c:pt idx="395">
                  <c:v>71.896487128102393</c:v>
                </c:pt>
                <c:pt idx="396">
                  <c:v>71.889872722565627</c:v>
                </c:pt>
                <c:pt idx="397">
                  <c:v>71.88326064461063</c:v>
                </c:pt>
                <c:pt idx="398">
                  <c:v>71.876650893418315</c:v>
                </c:pt>
                <c:pt idx="399">
                  <c:v>71.870043468169925</c:v>
                </c:pt>
                <c:pt idx="400">
                  <c:v>71.863438368046957</c:v>
                </c:pt>
                <c:pt idx="401">
                  <c:v>71.856835592231221</c:v>
                </c:pt>
                <c:pt idx="402">
                  <c:v>71.850235139904782</c:v>
                </c:pt>
                <c:pt idx="403">
                  <c:v>71.843637010250035</c:v>
                </c:pt>
                <c:pt idx="404">
                  <c:v>71.837041202449626</c:v>
                </c:pt>
                <c:pt idx="405">
                  <c:v>71.830447715686518</c:v>
                </c:pt>
                <c:pt idx="406">
                  <c:v>71.82385654914394</c:v>
                </c:pt>
                <c:pt idx="407">
                  <c:v>71.817267702005424</c:v>
                </c:pt>
                <c:pt idx="408">
                  <c:v>71.810681173454768</c:v>
                </c:pt>
                <c:pt idx="409">
                  <c:v>71.804096962676084</c:v>
                </c:pt>
                <c:pt idx="410">
                  <c:v>71.797515068853741</c:v>
                </c:pt>
                <c:pt idx="411">
                  <c:v>71.790935491172419</c:v>
                </c:pt>
                <c:pt idx="412">
                  <c:v>71.784358228817098</c:v>
                </c:pt>
                <c:pt idx="413">
                  <c:v>71.777783280972983</c:v>
                </c:pt>
                <c:pt idx="414">
                  <c:v>71.771210646825651</c:v>
                </c:pt>
                <c:pt idx="415">
                  <c:v>71.76464032556089</c:v>
                </c:pt>
                <c:pt idx="416">
                  <c:v>71.758072316364832</c:v>
                </c:pt>
                <c:pt idx="417">
                  <c:v>71.751506618423846</c:v>
                </c:pt>
                <c:pt idx="418">
                  <c:v>71.744943230924619</c:v>
                </c:pt>
                <c:pt idx="419">
                  <c:v>71.738382153054118</c:v>
                </c:pt>
                <c:pt idx="420">
                  <c:v>71.731823383999597</c:v>
                </c:pt>
                <c:pt idx="421">
                  <c:v>71.725266922948592</c:v>
                </c:pt>
                <c:pt idx="422">
                  <c:v>71.718712769088924</c:v>
                </c:pt>
                <c:pt idx="423">
                  <c:v>71.712160921608699</c:v>
                </c:pt>
                <c:pt idx="424">
                  <c:v>71.705611379696322</c:v>
                </c:pt>
                <c:pt idx="425">
                  <c:v>71.699064142540465</c:v>
                </c:pt>
                <c:pt idx="426">
                  <c:v>71.692519209330086</c:v>
                </c:pt>
                <c:pt idx="427">
                  <c:v>71.685976579254444</c:v>
                </c:pt>
                <c:pt idx="428">
                  <c:v>71.679436251503091</c:v>
                </c:pt>
                <c:pt idx="429">
                  <c:v>71.672898225265826</c:v>
                </c:pt>
                <c:pt idx="430">
                  <c:v>71.66636249973277</c:v>
                </c:pt>
                <c:pt idx="431">
                  <c:v>71.659829074094304</c:v>
                </c:pt>
                <c:pt idx="432">
                  <c:v>71.653297947541105</c:v>
                </c:pt>
                <c:pt idx="433">
                  <c:v>71.64676911926415</c:v>
                </c:pt>
                <c:pt idx="434">
                  <c:v>71.640242588454669</c:v>
                </c:pt>
                <c:pt idx="435">
                  <c:v>71.633718354304193</c:v>
                </c:pt>
                <c:pt idx="436">
                  <c:v>71.627196416004551</c:v>
                </c:pt>
                <c:pt idx="437">
                  <c:v>71.620676772747828</c:v>
                </c:pt>
                <c:pt idx="438">
                  <c:v>71.61415942372642</c:v>
                </c:pt>
                <c:pt idx="439">
                  <c:v>71.607644368132981</c:v>
                </c:pt>
                <c:pt idx="440">
                  <c:v>71.601131605160475</c:v>
                </c:pt>
                <c:pt idx="441">
                  <c:v>71.594621134002139</c:v>
                </c:pt>
                <c:pt idx="442">
                  <c:v>71.588112953851493</c:v>
                </c:pt>
                <c:pt idx="443">
                  <c:v>71.581607063902325</c:v>
                </c:pt>
                <c:pt idx="444">
                  <c:v>71.575103463348739</c:v>
                </c:pt>
                <c:pt idx="445">
                  <c:v>71.568602151385107</c:v>
                </c:pt>
                <c:pt idx="446">
                  <c:v>71.562103127206058</c:v>
                </c:pt>
                <c:pt idx="447">
                  <c:v>71.555606390006574</c:v>
                </c:pt>
                <c:pt idx="448">
                  <c:v>71.549111938981838</c:v>
                </c:pt>
                <c:pt idx="449">
                  <c:v>71.542619773327374</c:v>
                </c:pt>
                <c:pt idx="450">
                  <c:v>71.536129892238975</c:v>
                </c:pt>
                <c:pt idx="451">
                  <c:v>71.529642294912691</c:v>
                </c:pt>
                <c:pt idx="452">
                  <c:v>71.523156980544897</c:v>
                </c:pt>
                <c:pt idx="453">
                  <c:v>71.516673948332198</c:v>
                </c:pt>
                <c:pt idx="454">
                  <c:v>71.510193197471551</c:v>
                </c:pt>
                <c:pt idx="455">
                  <c:v>71.503714727160144</c:v>
                </c:pt>
                <c:pt idx="456">
                  <c:v>71.497238536595447</c:v>
                </c:pt>
                <c:pt idx="457">
                  <c:v>71.490764624975242</c:v>
                </c:pt>
                <c:pt idx="458">
                  <c:v>71.484292991497583</c:v>
                </c:pt>
                <c:pt idx="459">
                  <c:v>71.477823635360778</c:v>
                </c:pt>
                <c:pt idx="460">
                  <c:v>71.471356555763464</c:v>
                </c:pt>
                <c:pt idx="461">
                  <c:v>71.464891751904517</c:v>
                </c:pt>
                <c:pt idx="462">
                  <c:v>71.458429222983128</c:v>
                </c:pt>
                <c:pt idx="463">
                  <c:v>71.451968968198742</c:v>
                </c:pt>
                <c:pt idx="464">
                  <c:v>71.445510986751117</c:v>
                </c:pt>
                <c:pt idx="465">
                  <c:v>71.439055277840268</c:v>
                </c:pt>
                <c:pt idx="466">
                  <c:v>71.432601840666507</c:v>
                </c:pt>
                <c:pt idx="467">
                  <c:v>71.426150674430403</c:v>
                </c:pt>
                <c:pt idx="468">
                  <c:v>71.419701778332822</c:v>
                </c:pt>
                <c:pt idx="469">
                  <c:v>71.41325515157493</c:v>
                </c:pt>
                <c:pt idx="470">
                  <c:v>71.406810793358133</c:v>
                </c:pt>
                <c:pt idx="471">
                  <c:v>71.400368702884165</c:v>
                </c:pt>
                <c:pt idx="472">
                  <c:v>71.393928879355002</c:v>
                </c:pt>
                <c:pt idx="473">
                  <c:v>71.387491321972902</c:v>
                </c:pt>
                <c:pt idx="474">
                  <c:v>71.381056029940453</c:v>
                </c:pt>
                <c:pt idx="475">
                  <c:v>71.374623002460467</c:v>
                </c:pt>
                <c:pt idx="476">
                  <c:v>71.368192238736057</c:v>
                </c:pt>
                <c:pt idx="477">
                  <c:v>71.36176373797062</c:v>
                </c:pt>
                <c:pt idx="478">
                  <c:v>71.35533749936782</c:v>
                </c:pt>
                <c:pt idx="479">
                  <c:v>71.348913522131625</c:v>
                </c:pt>
                <c:pt idx="480">
                  <c:v>71.342491805466267</c:v>
                </c:pt>
                <c:pt idx="481">
                  <c:v>71.336072348576266</c:v>
                </c:pt>
                <c:pt idx="482">
                  <c:v>71.329655150666397</c:v>
                </c:pt>
                <c:pt idx="483">
                  <c:v>71.323240210941748</c:v>
                </c:pt>
                <c:pt idx="484">
                  <c:v>71.316827528607661</c:v>
                </c:pt>
                <c:pt idx="485">
                  <c:v>71.310417102869792</c:v>
                </c:pt>
                <c:pt idx="486">
                  <c:v>71.304008932934039</c:v>
                </c:pt>
                <c:pt idx="487">
                  <c:v>71.297603018006612</c:v>
                </c:pt>
                <c:pt idx="488">
                  <c:v>71.291199357293948</c:v>
                </c:pt>
                <c:pt idx="489">
                  <c:v>71.284797950002826</c:v>
                </c:pt>
                <c:pt idx="490">
                  <c:v>71.27839879534028</c:v>
                </c:pt>
                <c:pt idx="491">
                  <c:v>71.2720018925136</c:v>
                </c:pt>
                <c:pt idx="492">
                  <c:v>71.265607240730375</c:v>
                </c:pt>
                <c:pt idx="493">
                  <c:v>71.259214839198492</c:v>
                </c:pt>
                <c:pt idx="494">
                  <c:v>71.252824687126079</c:v>
                </c:pt>
                <c:pt idx="495">
                  <c:v>71.246436783721563</c:v>
                </c:pt>
                <c:pt idx="496">
                  <c:v>71.240051128193656</c:v>
                </c:pt>
                <c:pt idx="497">
                  <c:v>71.233667719751338</c:v>
                </c:pt>
                <c:pt idx="498">
                  <c:v>71.227286557603861</c:v>
                </c:pt>
                <c:pt idx="499">
                  <c:v>71.220907640960775</c:v>
                </c:pt>
                <c:pt idx="500">
                  <c:v>71.21453096903187</c:v>
                </c:pt>
                <c:pt idx="501">
                  <c:v>71.208156541027279</c:v>
                </c:pt>
                <c:pt idx="502">
                  <c:v>71.201784356157333</c:v>
                </c:pt>
                <c:pt idx="503">
                  <c:v>71.195414413632733</c:v>
                </c:pt>
                <c:pt idx="504">
                  <c:v>71.18904671266435</c:v>
                </c:pt>
                <c:pt idx="505">
                  <c:v>71.182681252463425</c:v>
                </c:pt>
                <c:pt idx="506">
                  <c:v>71.176318032241454</c:v>
                </c:pt>
                <c:pt idx="507">
                  <c:v>71.169957051210162</c:v>
                </c:pt>
                <c:pt idx="508">
                  <c:v>71.163598308581598</c:v>
                </c:pt>
                <c:pt idx="509">
                  <c:v>71.157241803568084</c:v>
                </c:pt>
                <c:pt idx="510">
                  <c:v>71.150887535382211</c:v>
                </c:pt>
                <c:pt idx="511">
                  <c:v>71.144535503236852</c:v>
                </c:pt>
                <c:pt idx="512">
                  <c:v>71.138185706345141</c:v>
                </c:pt>
                <c:pt idx="513">
                  <c:v>71.131838143920533</c:v>
                </c:pt>
                <c:pt idx="514">
                  <c:v>71.125492815176685</c:v>
                </c:pt>
                <c:pt idx="515">
                  <c:v>71.119149719327595</c:v>
                </c:pt>
                <c:pt idx="516">
                  <c:v>71.112808855587531</c:v>
                </c:pt>
                <c:pt idx="517">
                  <c:v>71.106470223170987</c:v>
                </c:pt>
                <c:pt idx="518">
                  <c:v>71.100133821292815</c:v>
                </c:pt>
                <c:pt idx="519">
                  <c:v>71.093799649168062</c:v>
                </c:pt>
                <c:pt idx="520">
                  <c:v>71.087467706012092</c:v>
                </c:pt>
                <c:pt idx="521">
                  <c:v>71.081137991040563</c:v>
                </c:pt>
                <c:pt idx="522">
                  <c:v>71.074810503469365</c:v>
                </c:pt>
                <c:pt idx="523">
                  <c:v>71.068485242514683</c:v>
                </c:pt>
                <c:pt idx="524">
                  <c:v>71.062162207393001</c:v>
                </c:pt>
                <c:pt idx="525">
                  <c:v>71.055841397321032</c:v>
                </c:pt>
                <c:pt idx="526">
                  <c:v>71.0495228115158</c:v>
                </c:pt>
                <c:pt idx="527">
                  <c:v>71.043206449194614</c:v>
                </c:pt>
                <c:pt idx="528">
                  <c:v>71.036892309575009</c:v>
                </c:pt>
                <c:pt idx="529">
                  <c:v>71.03058039187485</c:v>
                </c:pt>
                <c:pt idx="530">
                  <c:v>71.024270695312225</c:v>
                </c:pt>
                <c:pt idx="531">
                  <c:v>71.017963219105553</c:v>
                </c:pt>
                <c:pt idx="532">
                  <c:v>71.011657962473492</c:v>
                </c:pt>
                <c:pt idx="533">
                  <c:v>71.005354924634972</c:v>
                </c:pt>
                <c:pt idx="534">
                  <c:v>70.999054104809218</c:v>
                </c:pt>
                <c:pt idx="535">
                  <c:v>70.992755502215715</c:v>
                </c:pt>
                <c:pt idx="536">
                  <c:v>70.986459116074244</c:v>
                </c:pt>
                <c:pt idx="537">
                  <c:v>70.980164945604827</c:v>
                </c:pt>
                <c:pt idx="538">
                  <c:v>70.973872990027786</c:v>
                </c:pt>
                <c:pt idx="539">
                  <c:v>70.967583248563699</c:v>
                </c:pt>
                <c:pt idx="540">
                  <c:v>70.961295720433441</c:v>
                </c:pt>
                <c:pt idx="541">
                  <c:v>70.955010404858157</c:v>
                </c:pt>
                <c:pt idx="542">
                  <c:v>70.948727301059236</c:v>
                </c:pt>
                <c:pt idx="543">
                  <c:v>70.942446408258377</c:v>
                </c:pt>
                <c:pt idx="544">
                  <c:v>70.936167725677535</c:v>
                </c:pt>
                <c:pt idx="545">
                  <c:v>70.929891252538937</c:v>
                </c:pt>
                <c:pt idx="546">
                  <c:v>70.923616988065106</c:v>
                </c:pt>
                <c:pt idx="547">
                  <c:v>70.917344931478823</c:v>
                </c:pt>
                <c:pt idx="548">
                  <c:v>70.911075082003109</c:v>
                </c:pt>
                <c:pt idx="549">
                  <c:v>70.904807438861326</c:v>
                </c:pt>
                <c:pt idx="550">
                  <c:v>70.89854200127705</c:v>
                </c:pt>
                <c:pt idx="551">
                  <c:v>70.892278768474171</c:v>
                </c:pt>
                <c:pt idx="552">
                  <c:v>70.886017739676845</c:v>
                </c:pt>
                <c:pt idx="553">
                  <c:v>70.879758914109459</c:v>
                </c:pt>
                <c:pt idx="554">
                  <c:v>70.873502290996726</c:v>
                </c:pt>
                <c:pt idx="555">
                  <c:v>70.867247869563613</c:v>
                </c:pt>
                <c:pt idx="556">
                  <c:v>70.860995649035345</c:v>
                </c:pt>
                <c:pt idx="557">
                  <c:v>70.854745628637446</c:v>
                </c:pt>
                <c:pt idx="558">
                  <c:v>70.848497807595706</c:v>
                </c:pt>
                <c:pt idx="559">
                  <c:v>70.842252185136161</c:v>
                </c:pt>
                <c:pt idx="560">
                  <c:v>70.836008760485143</c:v>
                </c:pt>
                <c:pt idx="561">
                  <c:v>70.829767532869255</c:v>
                </c:pt>
                <c:pt idx="562">
                  <c:v>70.823528501515383</c:v>
                </c:pt>
                <c:pt idx="563">
                  <c:v>70.817291665650657</c:v>
                </c:pt>
                <c:pt idx="564">
                  <c:v>70.811057024502503</c:v>
                </c:pt>
                <c:pt idx="565">
                  <c:v>70.804824577298589</c:v>
                </c:pt>
                <c:pt idx="566">
                  <c:v>70.798594323266897</c:v>
                </c:pt>
                <c:pt idx="567">
                  <c:v>70.792366261635649</c:v>
                </c:pt>
                <c:pt idx="568">
                  <c:v>70.786140391633353</c:v>
                </c:pt>
                <c:pt idx="569">
                  <c:v>70.77991671248877</c:v>
                </c:pt>
                <c:pt idx="570">
                  <c:v>70.773695223430963</c:v>
                </c:pt>
                <c:pt idx="571">
                  <c:v>70.767475923689261</c:v>
                </c:pt>
                <c:pt idx="572">
                  <c:v>70.76125881249321</c:v>
                </c:pt>
                <c:pt idx="573">
                  <c:v>70.755043889072709</c:v>
                </c:pt>
                <c:pt idx="574">
                  <c:v>70.748831152657885</c:v>
                </c:pt>
                <c:pt idx="575">
                  <c:v>70.742620602479121</c:v>
                </c:pt>
                <c:pt idx="576">
                  <c:v>70.736412237767098</c:v>
                </c:pt>
                <c:pt idx="577">
                  <c:v>70.730206057752753</c:v>
                </c:pt>
                <c:pt idx="578">
                  <c:v>70.724002061667321</c:v>
                </c:pt>
                <c:pt idx="579">
                  <c:v>70.717800248742265</c:v>
                </c:pt>
                <c:pt idx="580">
                  <c:v>70.71160061820936</c:v>
                </c:pt>
                <c:pt idx="581">
                  <c:v>70.70540316930061</c:v>
                </c:pt>
                <c:pt idx="582">
                  <c:v>70.699207901248315</c:v>
                </c:pt>
                <c:pt idx="583">
                  <c:v>70.693014813285046</c:v>
                </c:pt>
                <c:pt idx="584">
                  <c:v>70.686823904643646</c:v>
                </c:pt>
                <c:pt idx="585">
                  <c:v>70.68063517455721</c:v>
                </c:pt>
                <c:pt idx="586">
                  <c:v>70.674448622259121</c:v>
                </c:pt>
                <c:pt idx="587">
                  <c:v>70.668264246983014</c:v>
                </c:pt>
                <c:pt idx="588">
                  <c:v>70.662082047962812</c:v>
                </c:pt>
                <c:pt idx="589">
                  <c:v>70.655902024432692</c:v>
                </c:pt>
                <c:pt idx="590">
                  <c:v>70.649724175627114</c:v>
                </c:pt>
                <c:pt idx="591">
                  <c:v>70.64354850078081</c:v>
                </c:pt>
                <c:pt idx="592">
                  <c:v>70.637374999128753</c:v>
                </c:pt>
                <c:pt idx="593">
                  <c:v>70.631203669906228</c:v>
                </c:pt>
                <c:pt idx="594">
                  <c:v>70.625034512348748</c:v>
                </c:pt>
                <c:pt idx="595">
                  <c:v>70.618867525692124</c:v>
                </c:pt>
                <c:pt idx="596">
                  <c:v>70.612702709172424</c:v>
                </c:pt>
                <c:pt idx="597">
                  <c:v>70.606540062025971</c:v>
                </c:pt>
                <c:pt idx="598">
                  <c:v>70.600379583489385</c:v>
                </c:pt>
                <c:pt idx="599">
                  <c:v>70.59422127279953</c:v>
                </c:pt>
                <c:pt idx="600">
                  <c:v>70.588065129193581</c:v>
                </c:pt>
                <c:pt idx="601">
                  <c:v>70.581911151908912</c:v>
                </c:pt>
                <c:pt idx="602">
                  <c:v>70.575759340183225</c:v>
                </c:pt>
                <c:pt idx="603">
                  <c:v>70.569609693254449</c:v>
                </c:pt>
                <c:pt idx="604">
                  <c:v>70.563462210360839</c:v>
                </c:pt>
                <c:pt idx="605">
                  <c:v>70.557316890740836</c:v>
                </c:pt>
                <c:pt idx="606">
                  <c:v>70.55117373363322</c:v>
                </c:pt>
                <c:pt idx="607">
                  <c:v>70.545032738277015</c:v>
                </c:pt>
                <c:pt idx="608">
                  <c:v>70.538893903911486</c:v>
                </c:pt>
                <c:pt idx="609">
                  <c:v>70.532757229776209</c:v>
                </c:pt>
                <c:pt idx="610">
                  <c:v>70.526622715111003</c:v>
                </c:pt>
                <c:pt idx="611">
                  <c:v>70.520490359155957</c:v>
                </c:pt>
                <c:pt idx="612">
                  <c:v>70.51436016115143</c:v>
                </c:pt>
                <c:pt idx="613">
                  <c:v>70.50823212033805</c:v>
                </c:pt>
                <c:pt idx="614">
                  <c:v>70.502106235956717</c:v>
                </c:pt>
                <c:pt idx="615">
                  <c:v>70.495982507248584</c:v>
                </c:pt>
                <c:pt idx="616">
                  <c:v>70.489860933455077</c:v>
                </c:pt>
                <c:pt idx="617">
                  <c:v>70.48374151381789</c:v>
                </c:pt>
                <c:pt idx="618">
                  <c:v>70.477624247578987</c:v>
                </c:pt>
                <c:pt idx="619">
                  <c:v>70.471509133980589</c:v>
                </c:pt>
                <c:pt idx="620">
                  <c:v>70.465396172265216</c:v>
                </c:pt>
                <c:pt idx="621">
                  <c:v>70.459285361675597</c:v>
                </c:pt>
                <c:pt idx="622">
                  <c:v>70.45317670145478</c:v>
                </c:pt>
                <c:pt idx="623">
                  <c:v>70.447070190846048</c:v>
                </c:pt>
                <c:pt idx="624">
                  <c:v>70.440965829092974</c:v>
                </c:pt>
                <c:pt idx="625">
                  <c:v>70.434863615439383</c:v>
                </c:pt>
                <c:pt idx="626">
                  <c:v>70.428763549129343</c:v>
                </c:pt>
                <c:pt idx="627">
                  <c:v>70.422665629407248</c:v>
                </c:pt>
                <c:pt idx="628">
                  <c:v>70.416569855517707</c:v>
                </c:pt>
                <c:pt idx="629">
                  <c:v>70.410476226705597</c:v>
                </c:pt>
                <c:pt idx="630">
                  <c:v>70.404384742216095</c:v>
                </c:pt>
                <c:pt idx="631">
                  <c:v>70.398295401294618</c:v>
                </c:pt>
                <c:pt idx="632">
                  <c:v>70.39220820318684</c:v>
                </c:pt>
                <c:pt idx="633">
                  <c:v>70.386123147138733</c:v>
                </c:pt>
                <c:pt idx="634">
                  <c:v>70.38004023239651</c:v>
                </c:pt>
                <c:pt idx="635">
                  <c:v>70.373959458206642</c:v>
                </c:pt>
                <c:pt idx="636">
                  <c:v>70.367880823815881</c:v>
                </c:pt>
                <c:pt idx="637">
                  <c:v>70.361804328471266</c:v>
                </c:pt>
                <c:pt idx="638">
                  <c:v>70.355729971420033</c:v>
                </c:pt>
                <c:pt idx="639">
                  <c:v>70.34965775190976</c:v>
                </c:pt>
                <c:pt idx="640">
                  <c:v>70.343587669188253</c:v>
                </c:pt>
                <c:pt idx="641">
                  <c:v>70.337519722503558</c:v>
                </c:pt>
                <c:pt idx="642">
                  <c:v>70.331453911104035</c:v>
                </c:pt>
                <c:pt idx="643">
                  <c:v>70.325390234238284</c:v>
                </c:pt>
                <c:pt idx="644">
                  <c:v>70.319328691155164</c:v>
                </c:pt>
                <c:pt idx="645">
                  <c:v>70.3132692811038</c:v>
                </c:pt>
                <c:pt idx="646">
                  <c:v>70.307212003333618</c:v>
                </c:pt>
                <c:pt idx="647">
                  <c:v>70.301156857094242</c:v>
                </c:pt>
                <c:pt idx="648">
                  <c:v>70.295103841635608</c:v>
                </c:pt>
                <c:pt idx="649">
                  <c:v>70.289052956207911</c:v>
                </c:pt>
                <c:pt idx="650">
                  <c:v>70.283004200061598</c:v>
                </c:pt>
                <c:pt idx="651">
                  <c:v>70.276957572447373</c:v>
                </c:pt>
                <c:pt idx="652">
                  <c:v>70.270913072616224</c:v>
                </c:pt>
                <c:pt idx="653">
                  <c:v>70.264870699819397</c:v>
                </c:pt>
                <c:pt idx="654">
                  <c:v>70.258830453308377</c:v>
                </c:pt>
                <c:pt idx="655">
                  <c:v>70.252792332334963</c:v>
                </c:pt>
                <c:pt idx="656">
                  <c:v>70.246756336151165</c:v>
                </c:pt>
                <c:pt idx="657">
                  <c:v>70.240722464009295</c:v>
                </c:pt>
                <c:pt idx="658">
                  <c:v>70.234690715161889</c:v>
                </c:pt>
                <c:pt idx="659">
                  <c:v>70.228661088861799</c:v>
                </c:pt>
                <c:pt idx="660">
                  <c:v>70.222633584362072</c:v>
                </c:pt>
                <c:pt idx="661">
                  <c:v>70.216608200916085</c:v>
                </c:pt>
                <c:pt idx="662">
                  <c:v>70.21058493777744</c:v>
                </c:pt>
                <c:pt idx="663">
                  <c:v>70.204563794199998</c:v>
                </c:pt>
                <c:pt idx="664">
                  <c:v>70.198544769437916</c:v>
                </c:pt>
                <c:pt idx="665">
                  <c:v>70.192527862745578</c:v>
                </c:pt>
                <c:pt idx="666">
                  <c:v>70.186513073377625</c:v>
                </c:pt>
                <c:pt idx="667">
                  <c:v>70.180500400589025</c:v>
                </c:pt>
                <c:pt idx="668">
                  <c:v>70.17448984363493</c:v>
                </c:pt>
                <c:pt idx="669">
                  <c:v>70.168481401770791</c:v>
                </c:pt>
                <c:pt idx="670">
                  <c:v>70.162475074252328</c:v>
                </c:pt>
                <c:pt idx="671">
                  <c:v>70.156470860335503</c:v>
                </c:pt>
                <c:pt idx="672">
                  <c:v>70.150468759276535</c:v>
                </c:pt>
                <c:pt idx="673">
                  <c:v>70.14446877033194</c:v>
                </c:pt>
                <c:pt idx="674">
                  <c:v>70.138470892758477</c:v>
                </c:pt>
                <c:pt idx="675">
                  <c:v>70.132475125813144</c:v>
                </c:pt>
                <c:pt idx="676">
                  <c:v>70.126481468753227</c:v>
                </c:pt>
                <c:pt idx="677">
                  <c:v>70.120489920836263</c:v>
                </c:pt>
                <c:pt idx="678">
                  <c:v>70.114500481320064</c:v>
                </c:pt>
                <c:pt idx="679">
                  <c:v>70.108513149462681</c:v>
                </c:pt>
                <c:pt idx="680">
                  <c:v>70.102527924522434</c:v>
                </c:pt>
                <c:pt idx="681">
                  <c:v>70.096544805757929</c:v>
                </c:pt>
                <c:pt idx="682">
                  <c:v>70.090563792428</c:v>
                </c:pt>
                <c:pt idx="683">
                  <c:v>70.084584883791749</c:v>
                </c:pt>
                <c:pt idx="684">
                  <c:v>70.078608079108548</c:v>
                </c:pt>
                <c:pt idx="685">
                  <c:v>70.072633377638027</c:v>
                </c:pt>
                <c:pt idx="686">
                  <c:v>70.066660778640056</c:v>
                </c:pt>
                <c:pt idx="687">
                  <c:v>70.060690281374804</c:v>
                </c:pt>
                <c:pt idx="688">
                  <c:v>70.05472188510268</c:v>
                </c:pt>
                <c:pt idx="689">
                  <c:v>70.048755589084337</c:v>
                </c:pt>
                <c:pt idx="690">
                  <c:v>70.042791392580725</c:v>
                </c:pt>
                <c:pt idx="691">
                  <c:v>70.036829294853007</c:v>
                </c:pt>
                <c:pt idx="692">
                  <c:v>70.03086929516266</c:v>
                </c:pt>
                <c:pt idx="693">
                  <c:v>70.024911392771386</c:v>
                </c:pt>
                <c:pt idx="694">
                  <c:v>70.018955586941146</c:v>
                </c:pt>
                <c:pt idx="695">
                  <c:v>70.013001876934169</c:v>
                </c:pt>
                <c:pt idx="696">
                  <c:v>70.007050262012953</c:v>
                </c:pt>
                <c:pt idx="697">
                  <c:v>70.00110074144024</c:v>
                </c:pt>
                <c:pt idx="698">
                  <c:v>69.995153314479026</c:v>
                </c:pt>
                <c:pt idx="699">
                  <c:v>69.989207980392607</c:v>
                </c:pt>
                <c:pt idx="700">
                  <c:v>69.983264738444475</c:v>
                </c:pt>
                <c:pt idx="701">
                  <c:v>69.977323587898439</c:v>
                </c:pt>
                <c:pt idx="702">
                  <c:v>69.971384528018547</c:v>
                </c:pt>
                <c:pt idx="703">
                  <c:v>69.965447558069087</c:v>
                </c:pt>
                <c:pt idx="704">
                  <c:v>69.959512677314621</c:v>
                </c:pt>
                <c:pt idx="705">
                  <c:v>69.953579885019977</c:v>
                </c:pt>
                <c:pt idx="706">
                  <c:v>69.947649180450227</c:v>
                </c:pt>
                <c:pt idx="707">
                  <c:v>69.941720562870714</c:v>
                </c:pt>
                <c:pt idx="708">
                  <c:v>69.935794031547047</c:v>
                </c:pt>
                <c:pt idx="709">
                  <c:v>69.929869585745067</c:v>
                </c:pt>
                <c:pt idx="710">
                  <c:v>69.923947224730881</c:v>
                </c:pt>
                <c:pt idx="711">
                  <c:v>69.918026947770883</c:v>
                </c:pt>
                <c:pt idx="712">
                  <c:v>69.91210875413168</c:v>
                </c:pt>
                <c:pt idx="713">
                  <c:v>69.906192643080175</c:v>
                </c:pt>
                <c:pt idx="714">
                  <c:v>69.900278613883515</c:v>
                </c:pt>
                <c:pt idx="715">
                  <c:v>69.894366665809088</c:v>
                </c:pt>
                <c:pt idx="716">
                  <c:v>69.888456798124579</c:v>
                </c:pt>
                <c:pt idx="717">
                  <c:v>69.882549010097875</c:v>
                </c:pt>
                <c:pt idx="718">
                  <c:v>69.876643300997188</c:v>
                </c:pt>
                <c:pt idx="719">
                  <c:v>69.870739670090941</c:v>
                </c:pt>
                <c:pt idx="720">
                  <c:v>69.864838116647817</c:v>
                </c:pt>
                <c:pt idx="721">
                  <c:v>69.858938639936767</c:v>
                </c:pt>
                <c:pt idx="722">
                  <c:v>69.853041239227011</c:v>
                </c:pt>
                <c:pt idx="723">
                  <c:v>69.847145913787998</c:v>
                </c:pt>
                <c:pt idx="724">
                  <c:v>69.841252662889445</c:v>
                </c:pt>
                <c:pt idx="725">
                  <c:v>69.835361485801357</c:v>
                </c:pt>
                <c:pt idx="726">
                  <c:v>69.829472381793934</c:v>
                </c:pt>
                <c:pt idx="727">
                  <c:v>69.823585350137691</c:v>
                </c:pt>
                <c:pt idx="728">
                  <c:v>69.817700390103369</c:v>
                </c:pt>
                <c:pt idx="729">
                  <c:v>69.811817500961979</c:v>
                </c:pt>
                <c:pt idx="730">
                  <c:v>69.805936681984775</c:v>
                </c:pt>
                <c:pt idx="731">
                  <c:v>69.800057932443266</c:v>
                </c:pt>
                <c:pt idx="732">
                  <c:v>69.794181251609245</c:v>
                </c:pt>
                <c:pt idx="733">
                  <c:v>69.788306638754733</c:v>
                </c:pt>
                <c:pt idx="734">
                  <c:v>69.78243409315202</c:v>
                </c:pt>
                <c:pt idx="735">
                  <c:v>69.776563614073638</c:v>
                </c:pt>
                <c:pt idx="736">
                  <c:v>69.770695200792403</c:v>
                </c:pt>
                <c:pt idx="737">
                  <c:v>69.76482885258136</c:v>
                </c:pt>
                <c:pt idx="738">
                  <c:v>69.758964568713822</c:v>
                </c:pt>
                <c:pt idx="739">
                  <c:v>69.753102348463358</c:v>
                </c:pt>
                <c:pt idx="740">
                  <c:v>69.747242191103766</c:v>
                </c:pt>
                <c:pt idx="741">
                  <c:v>69.741384095909154</c:v>
                </c:pt>
                <c:pt idx="742">
                  <c:v>69.735528062153847</c:v>
                </c:pt>
                <c:pt idx="743">
                  <c:v>69.729674089112422</c:v>
                </c:pt>
                <c:pt idx="744">
                  <c:v>69.723822176059741</c:v>
                </c:pt>
                <c:pt idx="745">
                  <c:v>69.717972322270882</c:v>
                </c:pt>
                <c:pt idx="746">
                  <c:v>69.712124527021217</c:v>
                </c:pt>
                <c:pt idx="747">
                  <c:v>69.706278789586335</c:v>
                </c:pt>
                <c:pt idx="748">
                  <c:v>69.700435109242108</c:v>
                </c:pt>
                <c:pt idx="749">
                  <c:v>69.694593485264662</c:v>
                </c:pt>
                <c:pt idx="750">
                  <c:v>69.688753916930366</c:v>
                </c:pt>
              </c:numCache>
            </c:numRef>
          </c:yVal>
          <c:smooth val="0"/>
          <c:extLst>
            <c:ext xmlns:c16="http://schemas.microsoft.com/office/drawing/2014/chart" uri="{C3380CC4-5D6E-409C-BE32-E72D297353CC}">
              <c16:uniqueId val="{00000000-D988-4F7B-8CAF-3E43F52E176F}"/>
            </c:ext>
          </c:extLst>
        </c:ser>
        <c:ser>
          <c:idx val="1"/>
          <c:order val="1"/>
          <c:tx>
            <c:strRef>
              <c:f>Sheet1!$E$9</c:f>
              <c:strCache>
                <c:ptCount val="1"/>
                <c:pt idx="0">
                  <c:v>Uncoated Nanogard</c:v>
                </c:pt>
              </c:strCache>
            </c:strRef>
          </c:tx>
          <c:spPr>
            <a:ln w="19050" cap="rnd">
              <a:solidFill>
                <a:schemeClr val="accent2"/>
              </a:solidFill>
              <a:round/>
            </a:ln>
            <a:effectLst/>
          </c:spPr>
          <c:marker>
            <c:symbol val="none"/>
          </c:marker>
          <c:xVal>
            <c:numRef>
              <c:f>Sheet1!$C$10:$C$760</c:f>
              <c:numCache>
                <c:formatCode>General</c:formatCode>
                <c:ptCount val="751"/>
                <c:pt idx="0">
                  <c:v>0</c:v>
                </c:pt>
                <c:pt idx="1">
                  <c:v>0.08</c:v>
                </c:pt>
                <c:pt idx="2">
                  <c:v>0.16</c:v>
                </c:pt>
                <c:pt idx="3">
                  <c:v>0.24</c:v>
                </c:pt>
                <c:pt idx="4">
                  <c:v>0.32</c:v>
                </c:pt>
                <c:pt idx="5">
                  <c:v>0.4</c:v>
                </c:pt>
                <c:pt idx="6">
                  <c:v>0.48</c:v>
                </c:pt>
                <c:pt idx="7">
                  <c:v>0.56000000000000005</c:v>
                </c:pt>
                <c:pt idx="8">
                  <c:v>0.64</c:v>
                </c:pt>
                <c:pt idx="9">
                  <c:v>0.72</c:v>
                </c:pt>
                <c:pt idx="10">
                  <c:v>0.8</c:v>
                </c:pt>
                <c:pt idx="11">
                  <c:v>0.88</c:v>
                </c:pt>
                <c:pt idx="12">
                  <c:v>0.96</c:v>
                </c:pt>
                <c:pt idx="13">
                  <c:v>1.04</c:v>
                </c:pt>
                <c:pt idx="14">
                  <c:v>1.1200000000000001</c:v>
                </c:pt>
                <c:pt idx="15">
                  <c:v>1.2</c:v>
                </c:pt>
                <c:pt idx="16">
                  <c:v>1.28</c:v>
                </c:pt>
                <c:pt idx="17">
                  <c:v>1.36</c:v>
                </c:pt>
                <c:pt idx="18">
                  <c:v>1.44</c:v>
                </c:pt>
                <c:pt idx="19">
                  <c:v>1.52</c:v>
                </c:pt>
                <c:pt idx="20">
                  <c:v>1.6</c:v>
                </c:pt>
                <c:pt idx="21">
                  <c:v>1.68</c:v>
                </c:pt>
                <c:pt idx="22">
                  <c:v>1.76</c:v>
                </c:pt>
                <c:pt idx="23">
                  <c:v>1.84</c:v>
                </c:pt>
                <c:pt idx="24">
                  <c:v>1.92</c:v>
                </c:pt>
                <c:pt idx="25">
                  <c:v>2</c:v>
                </c:pt>
                <c:pt idx="26">
                  <c:v>2.08</c:v>
                </c:pt>
                <c:pt idx="27">
                  <c:v>2.16</c:v>
                </c:pt>
                <c:pt idx="28">
                  <c:v>2.2400000000000002</c:v>
                </c:pt>
                <c:pt idx="29">
                  <c:v>2.3199999999999998</c:v>
                </c:pt>
                <c:pt idx="30">
                  <c:v>2.4</c:v>
                </c:pt>
                <c:pt idx="31">
                  <c:v>2.48</c:v>
                </c:pt>
                <c:pt idx="32">
                  <c:v>2.56</c:v>
                </c:pt>
                <c:pt idx="33">
                  <c:v>2.64</c:v>
                </c:pt>
                <c:pt idx="34">
                  <c:v>2.72</c:v>
                </c:pt>
                <c:pt idx="35">
                  <c:v>2.8</c:v>
                </c:pt>
                <c:pt idx="36">
                  <c:v>2.88</c:v>
                </c:pt>
                <c:pt idx="37">
                  <c:v>2.96</c:v>
                </c:pt>
                <c:pt idx="38">
                  <c:v>3.04</c:v>
                </c:pt>
                <c:pt idx="39">
                  <c:v>3.12</c:v>
                </c:pt>
                <c:pt idx="40">
                  <c:v>3.2</c:v>
                </c:pt>
                <c:pt idx="41">
                  <c:v>3.28</c:v>
                </c:pt>
                <c:pt idx="42">
                  <c:v>3.36</c:v>
                </c:pt>
                <c:pt idx="43">
                  <c:v>3.44</c:v>
                </c:pt>
                <c:pt idx="44">
                  <c:v>3.52</c:v>
                </c:pt>
                <c:pt idx="45">
                  <c:v>3.6</c:v>
                </c:pt>
                <c:pt idx="46">
                  <c:v>3.68</c:v>
                </c:pt>
                <c:pt idx="47">
                  <c:v>3.76</c:v>
                </c:pt>
                <c:pt idx="48">
                  <c:v>3.84</c:v>
                </c:pt>
                <c:pt idx="49">
                  <c:v>3.92</c:v>
                </c:pt>
                <c:pt idx="50">
                  <c:v>4</c:v>
                </c:pt>
                <c:pt idx="51">
                  <c:v>4.08</c:v>
                </c:pt>
                <c:pt idx="52">
                  <c:v>4.16</c:v>
                </c:pt>
                <c:pt idx="53">
                  <c:v>4.24</c:v>
                </c:pt>
                <c:pt idx="54">
                  <c:v>4.32</c:v>
                </c:pt>
                <c:pt idx="55">
                  <c:v>4.4000000000000004</c:v>
                </c:pt>
                <c:pt idx="56">
                  <c:v>4.4800000000000004</c:v>
                </c:pt>
                <c:pt idx="57">
                  <c:v>4.5599999999999996</c:v>
                </c:pt>
                <c:pt idx="58">
                  <c:v>4.6399999999999997</c:v>
                </c:pt>
                <c:pt idx="59">
                  <c:v>4.72</c:v>
                </c:pt>
                <c:pt idx="60">
                  <c:v>4.8</c:v>
                </c:pt>
                <c:pt idx="61">
                  <c:v>4.88</c:v>
                </c:pt>
                <c:pt idx="62">
                  <c:v>4.96</c:v>
                </c:pt>
                <c:pt idx="63">
                  <c:v>5.04</c:v>
                </c:pt>
                <c:pt idx="64">
                  <c:v>5.12</c:v>
                </c:pt>
                <c:pt idx="65">
                  <c:v>5.2</c:v>
                </c:pt>
                <c:pt idx="66">
                  <c:v>5.28</c:v>
                </c:pt>
                <c:pt idx="67">
                  <c:v>5.36</c:v>
                </c:pt>
                <c:pt idx="68">
                  <c:v>5.44</c:v>
                </c:pt>
                <c:pt idx="69">
                  <c:v>5.52</c:v>
                </c:pt>
                <c:pt idx="70">
                  <c:v>5.6</c:v>
                </c:pt>
                <c:pt idx="71">
                  <c:v>5.68</c:v>
                </c:pt>
                <c:pt idx="72">
                  <c:v>5.76</c:v>
                </c:pt>
                <c:pt idx="73">
                  <c:v>5.84</c:v>
                </c:pt>
                <c:pt idx="74">
                  <c:v>5.92</c:v>
                </c:pt>
                <c:pt idx="75">
                  <c:v>6</c:v>
                </c:pt>
                <c:pt idx="76">
                  <c:v>6.08</c:v>
                </c:pt>
                <c:pt idx="77">
                  <c:v>6.16</c:v>
                </c:pt>
                <c:pt idx="78">
                  <c:v>6.24</c:v>
                </c:pt>
                <c:pt idx="79">
                  <c:v>6.32</c:v>
                </c:pt>
                <c:pt idx="80">
                  <c:v>6.4</c:v>
                </c:pt>
                <c:pt idx="81">
                  <c:v>6.48</c:v>
                </c:pt>
                <c:pt idx="82">
                  <c:v>6.56</c:v>
                </c:pt>
                <c:pt idx="83">
                  <c:v>6.64</c:v>
                </c:pt>
                <c:pt idx="84">
                  <c:v>6.72</c:v>
                </c:pt>
                <c:pt idx="85">
                  <c:v>6.8</c:v>
                </c:pt>
                <c:pt idx="86">
                  <c:v>6.88</c:v>
                </c:pt>
                <c:pt idx="87">
                  <c:v>6.96</c:v>
                </c:pt>
                <c:pt idx="88">
                  <c:v>7.04</c:v>
                </c:pt>
                <c:pt idx="89">
                  <c:v>7.12</c:v>
                </c:pt>
                <c:pt idx="90">
                  <c:v>7.2</c:v>
                </c:pt>
                <c:pt idx="91">
                  <c:v>7.28</c:v>
                </c:pt>
                <c:pt idx="92">
                  <c:v>7.36</c:v>
                </c:pt>
                <c:pt idx="93">
                  <c:v>7.44</c:v>
                </c:pt>
                <c:pt idx="94">
                  <c:v>7.52</c:v>
                </c:pt>
                <c:pt idx="95">
                  <c:v>7.6</c:v>
                </c:pt>
                <c:pt idx="96">
                  <c:v>7.68</c:v>
                </c:pt>
                <c:pt idx="97">
                  <c:v>7.76</c:v>
                </c:pt>
                <c:pt idx="98">
                  <c:v>7.84</c:v>
                </c:pt>
                <c:pt idx="99">
                  <c:v>7.92</c:v>
                </c:pt>
                <c:pt idx="100">
                  <c:v>8</c:v>
                </c:pt>
                <c:pt idx="101">
                  <c:v>8.08</c:v>
                </c:pt>
                <c:pt idx="102">
                  <c:v>8.16</c:v>
                </c:pt>
                <c:pt idx="103">
                  <c:v>8.24</c:v>
                </c:pt>
                <c:pt idx="104">
                  <c:v>8.32</c:v>
                </c:pt>
                <c:pt idx="105">
                  <c:v>8.4</c:v>
                </c:pt>
                <c:pt idx="106">
                  <c:v>8.48</c:v>
                </c:pt>
                <c:pt idx="107">
                  <c:v>8.56</c:v>
                </c:pt>
                <c:pt idx="108">
                  <c:v>8.64</c:v>
                </c:pt>
                <c:pt idx="109">
                  <c:v>8.7200000000000006</c:v>
                </c:pt>
                <c:pt idx="110">
                  <c:v>8.8000000000000007</c:v>
                </c:pt>
                <c:pt idx="111">
                  <c:v>8.8800000000000008</c:v>
                </c:pt>
                <c:pt idx="112">
                  <c:v>8.9600000000000009</c:v>
                </c:pt>
                <c:pt idx="113">
                  <c:v>9.0399999999999991</c:v>
                </c:pt>
                <c:pt idx="114">
                  <c:v>9.1199999999999992</c:v>
                </c:pt>
                <c:pt idx="115">
                  <c:v>9.1999999999999993</c:v>
                </c:pt>
                <c:pt idx="116">
                  <c:v>9.2799999999999994</c:v>
                </c:pt>
                <c:pt idx="117">
                  <c:v>9.36</c:v>
                </c:pt>
                <c:pt idx="118">
                  <c:v>9.44</c:v>
                </c:pt>
                <c:pt idx="119">
                  <c:v>9.52</c:v>
                </c:pt>
                <c:pt idx="120">
                  <c:v>9.6</c:v>
                </c:pt>
                <c:pt idx="121">
                  <c:v>9.68</c:v>
                </c:pt>
                <c:pt idx="122">
                  <c:v>9.76</c:v>
                </c:pt>
                <c:pt idx="123">
                  <c:v>9.84</c:v>
                </c:pt>
                <c:pt idx="124">
                  <c:v>9.92</c:v>
                </c:pt>
                <c:pt idx="125">
                  <c:v>10</c:v>
                </c:pt>
                <c:pt idx="126">
                  <c:v>10.08</c:v>
                </c:pt>
                <c:pt idx="127">
                  <c:v>10.16</c:v>
                </c:pt>
                <c:pt idx="128">
                  <c:v>10.24</c:v>
                </c:pt>
                <c:pt idx="129">
                  <c:v>10.32</c:v>
                </c:pt>
                <c:pt idx="130">
                  <c:v>10.4</c:v>
                </c:pt>
                <c:pt idx="131">
                  <c:v>10.48</c:v>
                </c:pt>
                <c:pt idx="132">
                  <c:v>10.56</c:v>
                </c:pt>
                <c:pt idx="133">
                  <c:v>10.64</c:v>
                </c:pt>
                <c:pt idx="134">
                  <c:v>10.72</c:v>
                </c:pt>
                <c:pt idx="135">
                  <c:v>10.8</c:v>
                </c:pt>
                <c:pt idx="136">
                  <c:v>10.88</c:v>
                </c:pt>
                <c:pt idx="137">
                  <c:v>10.96</c:v>
                </c:pt>
                <c:pt idx="138">
                  <c:v>11.04</c:v>
                </c:pt>
                <c:pt idx="139">
                  <c:v>11.12</c:v>
                </c:pt>
                <c:pt idx="140">
                  <c:v>11.2</c:v>
                </c:pt>
                <c:pt idx="141">
                  <c:v>11.28</c:v>
                </c:pt>
                <c:pt idx="142">
                  <c:v>11.36</c:v>
                </c:pt>
                <c:pt idx="143">
                  <c:v>11.44</c:v>
                </c:pt>
                <c:pt idx="144">
                  <c:v>11.52</c:v>
                </c:pt>
                <c:pt idx="145">
                  <c:v>11.6</c:v>
                </c:pt>
                <c:pt idx="146">
                  <c:v>11.68</c:v>
                </c:pt>
                <c:pt idx="147">
                  <c:v>11.76</c:v>
                </c:pt>
                <c:pt idx="148">
                  <c:v>11.84</c:v>
                </c:pt>
                <c:pt idx="149">
                  <c:v>11.92</c:v>
                </c:pt>
                <c:pt idx="150">
                  <c:v>12</c:v>
                </c:pt>
                <c:pt idx="151">
                  <c:v>12.08</c:v>
                </c:pt>
                <c:pt idx="152">
                  <c:v>12.16</c:v>
                </c:pt>
                <c:pt idx="153">
                  <c:v>12.24</c:v>
                </c:pt>
                <c:pt idx="154">
                  <c:v>12.32</c:v>
                </c:pt>
                <c:pt idx="155">
                  <c:v>12.4</c:v>
                </c:pt>
                <c:pt idx="156">
                  <c:v>12.48</c:v>
                </c:pt>
                <c:pt idx="157">
                  <c:v>12.56</c:v>
                </c:pt>
                <c:pt idx="158">
                  <c:v>12.64</c:v>
                </c:pt>
                <c:pt idx="159">
                  <c:v>12.72</c:v>
                </c:pt>
                <c:pt idx="160">
                  <c:v>12.8</c:v>
                </c:pt>
                <c:pt idx="161">
                  <c:v>12.88</c:v>
                </c:pt>
                <c:pt idx="162">
                  <c:v>12.96</c:v>
                </c:pt>
                <c:pt idx="163">
                  <c:v>13.04</c:v>
                </c:pt>
                <c:pt idx="164">
                  <c:v>13.12</c:v>
                </c:pt>
                <c:pt idx="165">
                  <c:v>13.2</c:v>
                </c:pt>
                <c:pt idx="166">
                  <c:v>13.28</c:v>
                </c:pt>
                <c:pt idx="167">
                  <c:v>13.36</c:v>
                </c:pt>
                <c:pt idx="168">
                  <c:v>13.44</c:v>
                </c:pt>
                <c:pt idx="169">
                  <c:v>13.52</c:v>
                </c:pt>
                <c:pt idx="170">
                  <c:v>13.6</c:v>
                </c:pt>
                <c:pt idx="171">
                  <c:v>13.68</c:v>
                </c:pt>
                <c:pt idx="172">
                  <c:v>13.76</c:v>
                </c:pt>
                <c:pt idx="173">
                  <c:v>13.84</c:v>
                </c:pt>
                <c:pt idx="174">
                  <c:v>13.92</c:v>
                </c:pt>
                <c:pt idx="175">
                  <c:v>14</c:v>
                </c:pt>
                <c:pt idx="176">
                  <c:v>14.08</c:v>
                </c:pt>
                <c:pt idx="177">
                  <c:v>14.16</c:v>
                </c:pt>
                <c:pt idx="178">
                  <c:v>14.24</c:v>
                </c:pt>
                <c:pt idx="179">
                  <c:v>14.32</c:v>
                </c:pt>
                <c:pt idx="180">
                  <c:v>14.4</c:v>
                </c:pt>
                <c:pt idx="181">
                  <c:v>14.48</c:v>
                </c:pt>
                <c:pt idx="182">
                  <c:v>14.56</c:v>
                </c:pt>
                <c:pt idx="183">
                  <c:v>14.64</c:v>
                </c:pt>
                <c:pt idx="184">
                  <c:v>14.72</c:v>
                </c:pt>
                <c:pt idx="185">
                  <c:v>14.8</c:v>
                </c:pt>
                <c:pt idx="186">
                  <c:v>14.88</c:v>
                </c:pt>
                <c:pt idx="187">
                  <c:v>14.96</c:v>
                </c:pt>
                <c:pt idx="188">
                  <c:v>15.04</c:v>
                </c:pt>
                <c:pt idx="189">
                  <c:v>15.12</c:v>
                </c:pt>
                <c:pt idx="190">
                  <c:v>15.2</c:v>
                </c:pt>
                <c:pt idx="191">
                  <c:v>15.28</c:v>
                </c:pt>
                <c:pt idx="192">
                  <c:v>15.36</c:v>
                </c:pt>
                <c:pt idx="193">
                  <c:v>15.44</c:v>
                </c:pt>
                <c:pt idx="194">
                  <c:v>15.52</c:v>
                </c:pt>
                <c:pt idx="195">
                  <c:v>15.6</c:v>
                </c:pt>
                <c:pt idx="196">
                  <c:v>15.68</c:v>
                </c:pt>
                <c:pt idx="197">
                  <c:v>15.76</c:v>
                </c:pt>
                <c:pt idx="198">
                  <c:v>15.84</c:v>
                </c:pt>
                <c:pt idx="199">
                  <c:v>15.92</c:v>
                </c:pt>
                <c:pt idx="200">
                  <c:v>16</c:v>
                </c:pt>
                <c:pt idx="201">
                  <c:v>16.079999999999998</c:v>
                </c:pt>
                <c:pt idx="202">
                  <c:v>16.16</c:v>
                </c:pt>
                <c:pt idx="203">
                  <c:v>16.239999999999998</c:v>
                </c:pt>
                <c:pt idx="204">
                  <c:v>16.32</c:v>
                </c:pt>
                <c:pt idx="205">
                  <c:v>16.399999999999999</c:v>
                </c:pt>
                <c:pt idx="206">
                  <c:v>16.48</c:v>
                </c:pt>
                <c:pt idx="207">
                  <c:v>16.559999999999999</c:v>
                </c:pt>
                <c:pt idx="208">
                  <c:v>16.64</c:v>
                </c:pt>
                <c:pt idx="209">
                  <c:v>16.72</c:v>
                </c:pt>
                <c:pt idx="210">
                  <c:v>16.8</c:v>
                </c:pt>
                <c:pt idx="211">
                  <c:v>16.88</c:v>
                </c:pt>
                <c:pt idx="212">
                  <c:v>16.96</c:v>
                </c:pt>
                <c:pt idx="213">
                  <c:v>17.04</c:v>
                </c:pt>
                <c:pt idx="214">
                  <c:v>17.12</c:v>
                </c:pt>
                <c:pt idx="215">
                  <c:v>17.2</c:v>
                </c:pt>
                <c:pt idx="216">
                  <c:v>17.28</c:v>
                </c:pt>
                <c:pt idx="217">
                  <c:v>17.36</c:v>
                </c:pt>
                <c:pt idx="218">
                  <c:v>17.440000000000001</c:v>
                </c:pt>
                <c:pt idx="219">
                  <c:v>17.52</c:v>
                </c:pt>
                <c:pt idx="220">
                  <c:v>17.600000000000001</c:v>
                </c:pt>
                <c:pt idx="221">
                  <c:v>17.68</c:v>
                </c:pt>
                <c:pt idx="222">
                  <c:v>17.760000000000002</c:v>
                </c:pt>
                <c:pt idx="223">
                  <c:v>17.84</c:v>
                </c:pt>
                <c:pt idx="224">
                  <c:v>17.920000000000002</c:v>
                </c:pt>
                <c:pt idx="225">
                  <c:v>18</c:v>
                </c:pt>
                <c:pt idx="226">
                  <c:v>18.079999999999998</c:v>
                </c:pt>
                <c:pt idx="227">
                  <c:v>18.16</c:v>
                </c:pt>
                <c:pt idx="228">
                  <c:v>18.239999999999998</c:v>
                </c:pt>
                <c:pt idx="229">
                  <c:v>18.32</c:v>
                </c:pt>
                <c:pt idx="230">
                  <c:v>18.399999999999999</c:v>
                </c:pt>
                <c:pt idx="231">
                  <c:v>18.48</c:v>
                </c:pt>
                <c:pt idx="232">
                  <c:v>18.559999999999999</c:v>
                </c:pt>
                <c:pt idx="233">
                  <c:v>18.64</c:v>
                </c:pt>
                <c:pt idx="234">
                  <c:v>18.72</c:v>
                </c:pt>
                <c:pt idx="235">
                  <c:v>18.8</c:v>
                </c:pt>
                <c:pt idx="236">
                  <c:v>18.88</c:v>
                </c:pt>
                <c:pt idx="237">
                  <c:v>18.96</c:v>
                </c:pt>
                <c:pt idx="238">
                  <c:v>19.04</c:v>
                </c:pt>
                <c:pt idx="239">
                  <c:v>19.12</c:v>
                </c:pt>
                <c:pt idx="240">
                  <c:v>19.2</c:v>
                </c:pt>
                <c:pt idx="241">
                  <c:v>19.28</c:v>
                </c:pt>
                <c:pt idx="242">
                  <c:v>19.36</c:v>
                </c:pt>
                <c:pt idx="243">
                  <c:v>19.440000000000001</c:v>
                </c:pt>
                <c:pt idx="244">
                  <c:v>19.52</c:v>
                </c:pt>
                <c:pt idx="245">
                  <c:v>19.600000000000001</c:v>
                </c:pt>
                <c:pt idx="246">
                  <c:v>19.68</c:v>
                </c:pt>
                <c:pt idx="247">
                  <c:v>19.760000000000002</c:v>
                </c:pt>
                <c:pt idx="248">
                  <c:v>19.84</c:v>
                </c:pt>
                <c:pt idx="249">
                  <c:v>19.920000000000002</c:v>
                </c:pt>
                <c:pt idx="250">
                  <c:v>20</c:v>
                </c:pt>
                <c:pt idx="251">
                  <c:v>20.079999999999998</c:v>
                </c:pt>
                <c:pt idx="252">
                  <c:v>20.16</c:v>
                </c:pt>
                <c:pt idx="253">
                  <c:v>20.239999999999998</c:v>
                </c:pt>
                <c:pt idx="254">
                  <c:v>20.32</c:v>
                </c:pt>
                <c:pt idx="255">
                  <c:v>20.399999999999999</c:v>
                </c:pt>
                <c:pt idx="256">
                  <c:v>20.48</c:v>
                </c:pt>
                <c:pt idx="257">
                  <c:v>20.56</c:v>
                </c:pt>
                <c:pt idx="258">
                  <c:v>20.64</c:v>
                </c:pt>
                <c:pt idx="259">
                  <c:v>20.72</c:v>
                </c:pt>
                <c:pt idx="260">
                  <c:v>20.8</c:v>
                </c:pt>
                <c:pt idx="261">
                  <c:v>20.88</c:v>
                </c:pt>
                <c:pt idx="262">
                  <c:v>20.96</c:v>
                </c:pt>
                <c:pt idx="263">
                  <c:v>21.04</c:v>
                </c:pt>
                <c:pt idx="264">
                  <c:v>21.12</c:v>
                </c:pt>
                <c:pt idx="265">
                  <c:v>21.2</c:v>
                </c:pt>
                <c:pt idx="266">
                  <c:v>21.28</c:v>
                </c:pt>
                <c:pt idx="267">
                  <c:v>21.36</c:v>
                </c:pt>
                <c:pt idx="268">
                  <c:v>21.44</c:v>
                </c:pt>
                <c:pt idx="269">
                  <c:v>21.52</c:v>
                </c:pt>
                <c:pt idx="270">
                  <c:v>21.6</c:v>
                </c:pt>
                <c:pt idx="271">
                  <c:v>21.68</c:v>
                </c:pt>
                <c:pt idx="272">
                  <c:v>21.76</c:v>
                </c:pt>
                <c:pt idx="273">
                  <c:v>21.84</c:v>
                </c:pt>
                <c:pt idx="274">
                  <c:v>21.92</c:v>
                </c:pt>
                <c:pt idx="275">
                  <c:v>22</c:v>
                </c:pt>
                <c:pt idx="276">
                  <c:v>22.08</c:v>
                </c:pt>
                <c:pt idx="277">
                  <c:v>22.16</c:v>
                </c:pt>
                <c:pt idx="278">
                  <c:v>22.24</c:v>
                </c:pt>
                <c:pt idx="279">
                  <c:v>22.32</c:v>
                </c:pt>
                <c:pt idx="280">
                  <c:v>22.4</c:v>
                </c:pt>
                <c:pt idx="281">
                  <c:v>22.48</c:v>
                </c:pt>
                <c:pt idx="282">
                  <c:v>22.56</c:v>
                </c:pt>
                <c:pt idx="283">
                  <c:v>22.64</c:v>
                </c:pt>
                <c:pt idx="284">
                  <c:v>22.72</c:v>
                </c:pt>
                <c:pt idx="285">
                  <c:v>22.8</c:v>
                </c:pt>
                <c:pt idx="286">
                  <c:v>22.88</c:v>
                </c:pt>
                <c:pt idx="287">
                  <c:v>22.96</c:v>
                </c:pt>
                <c:pt idx="288">
                  <c:v>23.04</c:v>
                </c:pt>
                <c:pt idx="289">
                  <c:v>23.12</c:v>
                </c:pt>
                <c:pt idx="290">
                  <c:v>23.2</c:v>
                </c:pt>
                <c:pt idx="291">
                  <c:v>23.28</c:v>
                </c:pt>
                <c:pt idx="292">
                  <c:v>23.36</c:v>
                </c:pt>
                <c:pt idx="293">
                  <c:v>23.44</c:v>
                </c:pt>
                <c:pt idx="294">
                  <c:v>23.52</c:v>
                </c:pt>
                <c:pt idx="295">
                  <c:v>23.6</c:v>
                </c:pt>
                <c:pt idx="296">
                  <c:v>23.68</c:v>
                </c:pt>
                <c:pt idx="297">
                  <c:v>23.76</c:v>
                </c:pt>
                <c:pt idx="298">
                  <c:v>23.84</c:v>
                </c:pt>
                <c:pt idx="299">
                  <c:v>23.92</c:v>
                </c:pt>
                <c:pt idx="300">
                  <c:v>24</c:v>
                </c:pt>
                <c:pt idx="301">
                  <c:v>24.08</c:v>
                </c:pt>
                <c:pt idx="302">
                  <c:v>24.16</c:v>
                </c:pt>
                <c:pt idx="303">
                  <c:v>24.24</c:v>
                </c:pt>
                <c:pt idx="304">
                  <c:v>24.32</c:v>
                </c:pt>
                <c:pt idx="305">
                  <c:v>24.4</c:v>
                </c:pt>
                <c:pt idx="306">
                  <c:v>24.48</c:v>
                </c:pt>
                <c:pt idx="307">
                  <c:v>24.56</c:v>
                </c:pt>
                <c:pt idx="308">
                  <c:v>24.64</c:v>
                </c:pt>
                <c:pt idx="309">
                  <c:v>24.72</c:v>
                </c:pt>
                <c:pt idx="310">
                  <c:v>24.8</c:v>
                </c:pt>
                <c:pt idx="311">
                  <c:v>24.88</c:v>
                </c:pt>
                <c:pt idx="312">
                  <c:v>24.96</c:v>
                </c:pt>
                <c:pt idx="313">
                  <c:v>25.04</c:v>
                </c:pt>
                <c:pt idx="314">
                  <c:v>25.12</c:v>
                </c:pt>
                <c:pt idx="315">
                  <c:v>25.2</c:v>
                </c:pt>
                <c:pt idx="316">
                  <c:v>25.28</c:v>
                </c:pt>
                <c:pt idx="317">
                  <c:v>25.36</c:v>
                </c:pt>
                <c:pt idx="318">
                  <c:v>25.44</c:v>
                </c:pt>
                <c:pt idx="319">
                  <c:v>25.52</c:v>
                </c:pt>
                <c:pt idx="320">
                  <c:v>25.6</c:v>
                </c:pt>
                <c:pt idx="321">
                  <c:v>25.68</c:v>
                </c:pt>
                <c:pt idx="322">
                  <c:v>25.76</c:v>
                </c:pt>
                <c:pt idx="323">
                  <c:v>25.84</c:v>
                </c:pt>
                <c:pt idx="324">
                  <c:v>25.92</c:v>
                </c:pt>
                <c:pt idx="325">
                  <c:v>26</c:v>
                </c:pt>
                <c:pt idx="326">
                  <c:v>26.08</c:v>
                </c:pt>
                <c:pt idx="327">
                  <c:v>26.16</c:v>
                </c:pt>
                <c:pt idx="328">
                  <c:v>26.24</c:v>
                </c:pt>
                <c:pt idx="329">
                  <c:v>26.32</c:v>
                </c:pt>
                <c:pt idx="330">
                  <c:v>26.4</c:v>
                </c:pt>
                <c:pt idx="331">
                  <c:v>26.48</c:v>
                </c:pt>
                <c:pt idx="332">
                  <c:v>26.56</c:v>
                </c:pt>
                <c:pt idx="333">
                  <c:v>26.64</c:v>
                </c:pt>
                <c:pt idx="334">
                  <c:v>26.72</c:v>
                </c:pt>
                <c:pt idx="335">
                  <c:v>26.8</c:v>
                </c:pt>
                <c:pt idx="336">
                  <c:v>26.88</c:v>
                </c:pt>
                <c:pt idx="337">
                  <c:v>26.96</c:v>
                </c:pt>
                <c:pt idx="338">
                  <c:v>27.04</c:v>
                </c:pt>
                <c:pt idx="339">
                  <c:v>27.12</c:v>
                </c:pt>
                <c:pt idx="340">
                  <c:v>27.2</c:v>
                </c:pt>
                <c:pt idx="341">
                  <c:v>27.28</c:v>
                </c:pt>
                <c:pt idx="342">
                  <c:v>27.36</c:v>
                </c:pt>
                <c:pt idx="343">
                  <c:v>27.44</c:v>
                </c:pt>
                <c:pt idx="344">
                  <c:v>27.52</c:v>
                </c:pt>
                <c:pt idx="345">
                  <c:v>27.6</c:v>
                </c:pt>
                <c:pt idx="346">
                  <c:v>27.68</c:v>
                </c:pt>
                <c:pt idx="347">
                  <c:v>27.76</c:v>
                </c:pt>
                <c:pt idx="348">
                  <c:v>27.84</c:v>
                </c:pt>
                <c:pt idx="349">
                  <c:v>27.92</c:v>
                </c:pt>
                <c:pt idx="350">
                  <c:v>28</c:v>
                </c:pt>
                <c:pt idx="351">
                  <c:v>28.08</c:v>
                </c:pt>
                <c:pt idx="352">
                  <c:v>28.16</c:v>
                </c:pt>
                <c:pt idx="353">
                  <c:v>28.24</c:v>
                </c:pt>
                <c:pt idx="354">
                  <c:v>28.32</c:v>
                </c:pt>
                <c:pt idx="355">
                  <c:v>28.4</c:v>
                </c:pt>
                <c:pt idx="356">
                  <c:v>28.48</c:v>
                </c:pt>
                <c:pt idx="357">
                  <c:v>28.56</c:v>
                </c:pt>
                <c:pt idx="358">
                  <c:v>28.64</c:v>
                </c:pt>
                <c:pt idx="359">
                  <c:v>28.72</c:v>
                </c:pt>
                <c:pt idx="360">
                  <c:v>28.8</c:v>
                </c:pt>
                <c:pt idx="361">
                  <c:v>28.88</c:v>
                </c:pt>
                <c:pt idx="362">
                  <c:v>28.96</c:v>
                </c:pt>
                <c:pt idx="363">
                  <c:v>29.04</c:v>
                </c:pt>
                <c:pt idx="364">
                  <c:v>29.12</c:v>
                </c:pt>
                <c:pt idx="365">
                  <c:v>29.2</c:v>
                </c:pt>
                <c:pt idx="366">
                  <c:v>29.28</c:v>
                </c:pt>
                <c:pt idx="367">
                  <c:v>29.36</c:v>
                </c:pt>
                <c:pt idx="368">
                  <c:v>29.44</c:v>
                </c:pt>
                <c:pt idx="369">
                  <c:v>29.52</c:v>
                </c:pt>
                <c:pt idx="370">
                  <c:v>29.6</c:v>
                </c:pt>
                <c:pt idx="371">
                  <c:v>29.68</c:v>
                </c:pt>
                <c:pt idx="372">
                  <c:v>29.76</c:v>
                </c:pt>
                <c:pt idx="373">
                  <c:v>29.84</c:v>
                </c:pt>
                <c:pt idx="374">
                  <c:v>29.92</c:v>
                </c:pt>
                <c:pt idx="375">
                  <c:v>30</c:v>
                </c:pt>
                <c:pt idx="376">
                  <c:v>30.08</c:v>
                </c:pt>
                <c:pt idx="377">
                  <c:v>30.16</c:v>
                </c:pt>
                <c:pt idx="378">
                  <c:v>30.24</c:v>
                </c:pt>
                <c:pt idx="379">
                  <c:v>30.32</c:v>
                </c:pt>
                <c:pt idx="380">
                  <c:v>30.4</c:v>
                </c:pt>
                <c:pt idx="381">
                  <c:v>30.48</c:v>
                </c:pt>
                <c:pt idx="382">
                  <c:v>30.56</c:v>
                </c:pt>
                <c:pt idx="383">
                  <c:v>30.64</c:v>
                </c:pt>
                <c:pt idx="384">
                  <c:v>30.72</c:v>
                </c:pt>
                <c:pt idx="385">
                  <c:v>30.8</c:v>
                </c:pt>
                <c:pt idx="386">
                  <c:v>30.88</c:v>
                </c:pt>
                <c:pt idx="387">
                  <c:v>30.96</c:v>
                </c:pt>
                <c:pt idx="388">
                  <c:v>31.04</c:v>
                </c:pt>
                <c:pt idx="389">
                  <c:v>31.12</c:v>
                </c:pt>
                <c:pt idx="390">
                  <c:v>31.2</c:v>
                </c:pt>
                <c:pt idx="391">
                  <c:v>31.28</c:v>
                </c:pt>
                <c:pt idx="392">
                  <c:v>31.36</c:v>
                </c:pt>
                <c:pt idx="393">
                  <c:v>31.44</c:v>
                </c:pt>
                <c:pt idx="394">
                  <c:v>31.52</c:v>
                </c:pt>
                <c:pt idx="395">
                  <c:v>31.6</c:v>
                </c:pt>
                <c:pt idx="396">
                  <c:v>31.68</c:v>
                </c:pt>
                <c:pt idx="397">
                  <c:v>31.76</c:v>
                </c:pt>
                <c:pt idx="398">
                  <c:v>31.84</c:v>
                </c:pt>
                <c:pt idx="399">
                  <c:v>31.92</c:v>
                </c:pt>
                <c:pt idx="400">
                  <c:v>32</c:v>
                </c:pt>
                <c:pt idx="401">
                  <c:v>32.08</c:v>
                </c:pt>
                <c:pt idx="402">
                  <c:v>32.159999999999997</c:v>
                </c:pt>
                <c:pt idx="403">
                  <c:v>32.24</c:v>
                </c:pt>
                <c:pt idx="404">
                  <c:v>32.32</c:v>
                </c:pt>
                <c:pt idx="405">
                  <c:v>32.4</c:v>
                </c:pt>
                <c:pt idx="406">
                  <c:v>32.479999999999997</c:v>
                </c:pt>
                <c:pt idx="407">
                  <c:v>32.56</c:v>
                </c:pt>
                <c:pt idx="408">
                  <c:v>32.64</c:v>
                </c:pt>
                <c:pt idx="409">
                  <c:v>32.72</c:v>
                </c:pt>
                <c:pt idx="410">
                  <c:v>32.799999999999997</c:v>
                </c:pt>
                <c:pt idx="411">
                  <c:v>32.880000000000003</c:v>
                </c:pt>
                <c:pt idx="412">
                  <c:v>32.96</c:v>
                </c:pt>
                <c:pt idx="413">
                  <c:v>33.04</c:v>
                </c:pt>
                <c:pt idx="414">
                  <c:v>33.119999999999997</c:v>
                </c:pt>
                <c:pt idx="415">
                  <c:v>33.200000000000003</c:v>
                </c:pt>
                <c:pt idx="416">
                  <c:v>33.28</c:v>
                </c:pt>
                <c:pt idx="417">
                  <c:v>33.36</c:v>
                </c:pt>
                <c:pt idx="418">
                  <c:v>33.44</c:v>
                </c:pt>
                <c:pt idx="419">
                  <c:v>33.520000000000003</c:v>
                </c:pt>
                <c:pt idx="420">
                  <c:v>33.6</c:v>
                </c:pt>
                <c:pt idx="421">
                  <c:v>33.68</c:v>
                </c:pt>
                <c:pt idx="422">
                  <c:v>33.76</c:v>
                </c:pt>
                <c:pt idx="423">
                  <c:v>33.840000000000003</c:v>
                </c:pt>
                <c:pt idx="424">
                  <c:v>33.92</c:v>
                </c:pt>
                <c:pt idx="425">
                  <c:v>34</c:v>
                </c:pt>
                <c:pt idx="426">
                  <c:v>34.08</c:v>
                </c:pt>
                <c:pt idx="427">
                  <c:v>34.159999999999997</c:v>
                </c:pt>
                <c:pt idx="428">
                  <c:v>34.24</c:v>
                </c:pt>
                <c:pt idx="429">
                  <c:v>34.32</c:v>
                </c:pt>
                <c:pt idx="430">
                  <c:v>34.4</c:v>
                </c:pt>
                <c:pt idx="431">
                  <c:v>34.479999999999997</c:v>
                </c:pt>
                <c:pt idx="432">
                  <c:v>34.56</c:v>
                </c:pt>
                <c:pt idx="433">
                  <c:v>34.64</c:v>
                </c:pt>
                <c:pt idx="434">
                  <c:v>34.72</c:v>
                </c:pt>
                <c:pt idx="435">
                  <c:v>34.799999999999997</c:v>
                </c:pt>
                <c:pt idx="436">
                  <c:v>34.880000000000003</c:v>
                </c:pt>
                <c:pt idx="437">
                  <c:v>34.96</c:v>
                </c:pt>
                <c:pt idx="438">
                  <c:v>35.04</c:v>
                </c:pt>
                <c:pt idx="439">
                  <c:v>35.119999999999997</c:v>
                </c:pt>
                <c:pt idx="440">
                  <c:v>35.200000000000003</c:v>
                </c:pt>
                <c:pt idx="441">
                  <c:v>35.28</c:v>
                </c:pt>
                <c:pt idx="442">
                  <c:v>35.36</c:v>
                </c:pt>
                <c:pt idx="443">
                  <c:v>35.44</c:v>
                </c:pt>
                <c:pt idx="444">
                  <c:v>35.520000000000003</c:v>
                </c:pt>
                <c:pt idx="445">
                  <c:v>35.6</c:v>
                </c:pt>
                <c:pt idx="446">
                  <c:v>35.68</c:v>
                </c:pt>
                <c:pt idx="447">
                  <c:v>35.76</c:v>
                </c:pt>
                <c:pt idx="448">
                  <c:v>35.840000000000003</c:v>
                </c:pt>
                <c:pt idx="449">
                  <c:v>35.92</c:v>
                </c:pt>
                <c:pt idx="450">
                  <c:v>36</c:v>
                </c:pt>
                <c:pt idx="451">
                  <c:v>36.08</c:v>
                </c:pt>
                <c:pt idx="452">
                  <c:v>36.159999999999997</c:v>
                </c:pt>
                <c:pt idx="453">
                  <c:v>36.24</c:v>
                </c:pt>
                <c:pt idx="454">
                  <c:v>36.32</c:v>
                </c:pt>
                <c:pt idx="455">
                  <c:v>36.4</c:v>
                </c:pt>
                <c:pt idx="456">
                  <c:v>36.479999999999997</c:v>
                </c:pt>
                <c:pt idx="457">
                  <c:v>36.56</c:v>
                </c:pt>
                <c:pt idx="458">
                  <c:v>36.64</c:v>
                </c:pt>
                <c:pt idx="459">
                  <c:v>36.72</c:v>
                </c:pt>
                <c:pt idx="460">
                  <c:v>36.799999999999997</c:v>
                </c:pt>
                <c:pt idx="461">
                  <c:v>36.880000000000003</c:v>
                </c:pt>
                <c:pt idx="462">
                  <c:v>36.96</c:v>
                </c:pt>
                <c:pt idx="463">
                  <c:v>37.04</c:v>
                </c:pt>
                <c:pt idx="464">
                  <c:v>37.119999999999997</c:v>
                </c:pt>
                <c:pt idx="465">
                  <c:v>37.200000000000003</c:v>
                </c:pt>
                <c:pt idx="466">
                  <c:v>37.28</c:v>
                </c:pt>
                <c:pt idx="467">
                  <c:v>37.36</c:v>
                </c:pt>
                <c:pt idx="468">
                  <c:v>37.44</c:v>
                </c:pt>
                <c:pt idx="469">
                  <c:v>37.520000000000003</c:v>
                </c:pt>
                <c:pt idx="470">
                  <c:v>37.6</c:v>
                </c:pt>
                <c:pt idx="471">
                  <c:v>37.68</c:v>
                </c:pt>
                <c:pt idx="472">
                  <c:v>37.76</c:v>
                </c:pt>
                <c:pt idx="473">
                  <c:v>37.840000000000003</c:v>
                </c:pt>
                <c:pt idx="474">
                  <c:v>37.92</c:v>
                </c:pt>
                <c:pt idx="475">
                  <c:v>38</c:v>
                </c:pt>
                <c:pt idx="476">
                  <c:v>38.08</c:v>
                </c:pt>
                <c:pt idx="477">
                  <c:v>38.159999999999997</c:v>
                </c:pt>
                <c:pt idx="478">
                  <c:v>38.24</c:v>
                </c:pt>
                <c:pt idx="479">
                  <c:v>38.32</c:v>
                </c:pt>
                <c:pt idx="480">
                  <c:v>38.4</c:v>
                </c:pt>
                <c:pt idx="481">
                  <c:v>38.479999999999997</c:v>
                </c:pt>
                <c:pt idx="482">
                  <c:v>38.56</c:v>
                </c:pt>
                <c:pt idx="483">
                  <c:v>38.64</c:v>
                </c:pt>
                <c:pt idx="484">
                  <c:v>38.72</c:v>
                </c:pt>
                <c:pt idx="485">
                  <c:v>38.799999999999997</c:v>
                </c:pt>
                <c:pt idx="486">
                  <c:v>38.880000000000003</c:v>
                </c:pt>
                <c:pt idx="487">
                  <c:v>38.96</c:v>
                </c:pt>
                <c:pt idx="488">
                  <c:v>39.04</c:v>
                </c:pt>
                <c:pt idx="489">
                  <c:v>39.119999999999997</c:v>
                </c:pt>
                <c:pt idx="490">
                  <c:v>39.200000000000003</c:v>
                </c:pt>
                <c:pt idx="491">
                  <c:v>39.28</c:v>
                </c:pt>
                <c:pt idx="492">
                  <c:v>39.36</c:v>
                </c:pt>
                <c:pt idx="493">
                  <c:v>39.44</c:v>
                </c:pt>
                <c:pt idx="494">
                  <c:v>39.520000000000003</c:v>
                </c:pt>
                <c:pt idx="495">
                  <c:v>39.6</c:v>
                </c:pt>
                <c:pt idx="496">
                  <c:v>39.68</c:v>
                </c:pt>
                <c:pt idx="497">
                  <c:v>39.76</c:v>
                </c:pt>
                <c:pt idx="498">
                  <c:v>39.840000000000003</c:v>
                </c:pt>
                <c:pt idx="499">
                  <c:v>39.92</c:v>
                </c:pt>
                <c:pt idx="500">
                  <c:v>40</c:v>
                </c:pt>
                <c:pt idx="501">
                  <c:v>40.08</c:v>
                </c:pt>
                <c:pt idx="502">
                  <c:v>40.159999999999997</c:v>
                </c:pt>
                <c:pt idx="503">
                  <c:v>40.24</c:v>
                </c:pt>
                <c:pt idx="504">
                  <c:v>40.32</c:v>
                </c:pt>
                <c:pt idx="505">
                  <c:v>40.4</c:v>
                </c:pt>
                <c:pt idx="506">
                  <c:v>40.479999999999997</c:v>
                </c:pt>
                <c:pt idx="507">
                  <c:v>40.56</c:v>
                </c:pt>
                <c:pt idx="508">
                  <c:v>40.64</c:v>
                </c:pt>
                <c:pt idx="509">
                  <c:v>40.72</c:v>
                </c:pt>
                <c:pt idx="510">
                  <c:v>40.799999999999997</c:v>
                </c:pt>
                <c:pt idx="511">
                  <c:v>40.880000000000003</c:v>
                </c:pt>
                <c:pt idx="512">
                  <c:v>40.96</c:v>
                </c:pt>
                <c:pt idx="513">
                  <c:v>41.04</c:v>
                </c:pt>
                <c:pt idx="514">
                  <c:v>41.12</c:v>
                </c:pt>
                <c:pt idx="515">
                  <c:v>41.2</c:v>
                </c:pt>
                <c:pt idx="516">
                  <c:v>41.28</c:v>
                </c:pt>
                <c:pt idx="517">
                  <c:v>41.36</c:v>
                </c:pt>
                <c:pt idx="518">
                  <c:v>41.44</c:v>
                </c:pt>
                <c:pt idx="519">
                  <c:v>41.52</c:v>
                </c:pt>
                <c:pt idx="520">
                  <c:v>41.6</c:v>
                </c:pt>
                <c:pt idx="521">
                  <c:v>41.68</c:v>
                </c:pt>
                <c:pt idx="522">
                  <c:v>41.76</c:v>
                </c:pt>
                <c:pt idx="523">
                  <c:v>41.84</c:v>
                </c:pt>
                <c:pt idx="524">
                  <c:v>41.92</c:v>
                </c:pt>
                <c:pt idx="525">
                  <c:v>42</c:v>
                </c:pt>
                <c:pt idx="526">
                  <c:v>42.08</c:v>
                </c:pt>
                <c:pt idx="527">
                  <c:v>42.16</c:v>
                </c:pt>
                <c:pt idx="528">
                  <c:v>42.24</c:v>
                </c:pt>
                <c:pt idx="529">
                  <c:v>42.32</c:v>
                </c:pt>
                <c:pt idx="530">
                  <c:v>42.4</c:v>
                </c:pt>
                <c:pt idx="531">
                  <c:v>42.48</c:v>
                </c:pt>
                <c:pt idx="532">
                  <c:v>42.56</c:v>
                </c:pt>
                <c:pt idx="533">
                  <c:v>42.64</c:v>
                </c:pt>
                <c:pt idx="534">
                  <c:v>42.72</c:v>
                </c:pt>
                <c:pt idx="535">
                  <c:v>42.8</c:v>
                </c:pt>
                <c:pt idx="536">
                  <c:v>42.88</c:v>
                </c:pt>
                <c:pt idx="537">
                  <c:v>42.96</c:v>
                </c:pt>
                <c:pt idx="538">
                  <c:v>43.04</c:v>
                </c:pt>
                <c:pt idx="539">
                  <c:v>43.12</c:v>
                </c:pt>
                <c:pt idx="540">
                  <c:v>43.2</c:v>
                </c:pt>
                <c:pt idx="541">
                  <c:v>43.28</c:v>
                </c:pt>
                <c:pt idx="542">
                  <c:v>43.36</c:v>
                </c:pt>
                <c:pt idx="543">
                  <c:v>43.44</c:v>
                </c:pt>
                <c:pt idx="544">
                  <c:v>43.52</c:v>
                </c:pt>
                <c:pt idx="545">
                  <c:v>43.6</c:v>
                </c:pt>
                <c:pt idx="546">
                  <c:v>43.68</c:v>
                </c:pt>
                <c:pt idx="547">
                  <c:v>43.76</c:v>
                </c:pt>
                <c:pt idx="548">
                  <c:v>43.84</c:v>
                </c:pt>
                <c:pt idx="549">
                  <c:v>43.92</c:v>
                </c:pt>
                <c:pt idx="550">
                  <c:v>44</c:v>
                </c:pt>
                <c:pt idx="551">
                  <c:v>44.08</c:v>
                </c:pt>
                <c:pt idx="552">
                  <c:v>44.16</c:v>
                </c:pt>
                <c:pt idx="553">
                  <c:v>44.24</c:v>
                </c:pt>
                <c:pt idx="554">
                  <c:v>44.32</c:v>
                </c:pt>
                <c:pt idx="555">
                  <c:v>44.4</c:v>
                </c:pt>
                <c:pt idx="556">
                  <c:v>44.48</c:v>
                </c:pt>
                <c:pt idx="557">
                  <c:v>44.56</c:v>
                </c:pt>
                <c:pt idx="558">
                  <c:v>44.64</c:v>
                </c:pt>
                <c:pt idx="559">
                  <c:v>44.72</c:v>
                </c:pt>
                <c:pt idx="560">
                  <c:v>44.8</c:v>
                </c:pt>
                <c:pt idx="561">
                  <c:v>44.88</c:v>
                </c:pt>
                <c:pt idx="562">
                  <c:v>44.96</c:v>
                </c:pt>
                <c:pt idx="563">
                  <c:v>45.04</c:v>
                </c:pt>
                <c:pt idx="564">
                  <c:v>45.12</c:v>
                </c:pt>
                <c:pt idx="565">
                  <c:v>45.2</c:v>
                </c:pt>
                <c:pt idx="566">
                  <c:v>45.28</c:v>
                </c:pt>
                <c:pt idx="567">
                  <c:v>45.36</c:v>
                </c:pt>
                <c:pt idx="568">
                  <c:v>45.44</c:v>
                </c:pt>
                <c:pt idx="569">
                  <c:v>45.52</c:v>
                </c:pt>
                <c:pt idx="570">
                  <c:v>45.6</c:v>
                </c:pt>
                <c:pt idx="571">
                  <c:v>45.68</c:v>
                </c:pt>
                <c:pt idx="572">
                  <c:v>45.76</c:v>
                </c:pt>
                <c:pt idx="573">
                  <c:v>45.84</c:v>
                </c:pt>
                <c:pt idx="574">
                  <c:v>45.92</c:v>
                </c:pt>
                <c:pt idx="575">
                  <c:v>46</c:v>
                </c:pt>
                <c:pt idx="576">
                  <c:v>46.08</c:v>
                </c:pt>
                <c:pt idx="577">
                  <c:v>46.16</c:v>
                </c:pt>
                <c:pt idx="578">
                  <c:v>46.24</c:v>
                </c:pt>
                <c:pt idx="579">
                  <c:v>46.32</c:v>
                </c:pt>
                <c:pt idx="580">
                  <c:v>46.4</c:v>
                </c:pt>
                <c:pt idx="581">
                  <c:v>46.48</c:v>
                </c:pt>
                <c:pt idx="582">
                  <c:v>46.56</c:v>
                </c:pt>
                <c:pt idx="583">
                  <c:v>46.64</c:v>
                </c:pt>
                <c:pt idx="584">
                  <c:v>46.72</c:v>
                </c:pt>
                <c:pt idx="585">
                  <c:v>46.8</c:v>
                </c:pt>
                <c:pt idx="586">
                  <c:v>46.88</c:v>
                </c:pt>
                <c:pt idx="587">
                  <c:v>46.96</c:v>
                </c:pt>
                <c:pt idx="588">
                  <c:v>47.04</c:v>
                </c:pt>
                <c:pt idx="589">
                  <c:v>47.12</c:v>
                </c:pt>
                <c:pt idx="590">
                  <c:v>47.2</c:v>
                </c:pt>
                <c:pt idx="591">
                  <c:v>47.28</c:v>
                </c:pt>
                <c:pt idx="592">
                  <c:v>47.36</c:v>
                </c:pt>
                <c:pt idx="593">
                  <c:v>47.44</c:v>
                </c:pt>
                <c:pt idx="594">
                  <c:v>47.52</c:v>
                </c:pt>
                <c:pt idx="595">
                  <c:v>47.6</c:v>
                </c:pt>
                <c:pt idx="596">
                  <c:v>47.68</c:v>
                </c:pt>
                <c:pt idx="597">
                  <c:v>47.76</c:v>
                </c:pt>
                <c:pt idx="598">
                  <c:v>47.84</c:v>
                </c:pt>
                <c:pt idx="599">
                  <c:v>47.92</c:v>
                </c:pt>
                <c:pt idx="600">
                  <c:v>48</c:v>
                </c:pt>
                <c:pt idx="601">
                  <c:v>48.08</c:v>
                </c:pt>
                <c:pt idx="602">
                  <c:v>48.16</c:v>
                </c:pt>
                <c:pt idx="603">
                  <c:v>48.24</c:v>
                </c:pt>
                <c:pt idx="604">
                  <c:v>48.32</c:v>
                </c:pt>
                <c:pt idx="605">
                  <c:v>48.4</c:v>
                </c:pt>
                <c:pt idx="606">
                  <c:v>48.48</c:v>
                </c:pt>
                <c:pt idx="607">
                  <c:v>48.56</c:v>
                </c:pt>
                <c:pt idx="608">
                  <c:v>48.64</c:v>
                </c:pt>
                <c:pt idx="609">
                  <c:v>48.72</c:v>
                </c:pt>
                <c:pt idx="610">
                  <c:v>48.8</c:v>
                </c:pt>
                <c:pt idx="611">
                  <c:v>48.88</c:v>
                </c:pt>
                <c:pt idx="612">
                  <c:v>48.96</c:v>
                </c:pt>
                <c:pt idx="613">
                  <c:v>49.04</c:v>
                </c:pt>
                <c:pt idx="614">
                  <c:v>49.12</c:v>
                </c:pt>
                <c:pt idx="615">
                  <c:v>49.2</c:v>
                </c:pt>
                <c:pt idx="616">
                  <c:v>49.28</c:v>
                </c:pt>
                <c:pt idx="617">
                  <c:v>49.36</c:v>
                </c:pt>
                <c:pt idx="618">
                  <c:v>49.44</c:v>
                </c:pt>
                <c:pt idx="619">
                  <c:v>49.52</c:v>
                </c:pt>
                <c:pt idx="620">
                  <c:v>49.6</c:v>
                </c:pt>
                <c:pt idx="621">
                  <c:v>49.68</c:v>
                </c:pt>
                <c:pt idx="622">
                  <c:v>49.76</c:v>
                </c:pt>
                <c:pt idx="623">
                  <c:v>49.84</c:v>
                </c:pt>
                <c:pt idx="624">
                  <c:v>49.92</c:v>
                </c:pt>
                <c:pt idx="625">
                  <c:v>50</c:v>
                </c:pt>
                <c:pt idx="626">
                  <c:v>50.08</c:v>
                </c:pt>
                <c:pt idx="627">
                  <c:v>50.16</c:v>
                </c:pt>
                <c:pt idx="628">
                  <c:v>50.24</c:v>
                </c:pt>
                <c:pt idx="629">
                  <c:v>50.32</c:v>
                </c:pt>
                <c:pt idx="630">
                  <c:v>50.4</c:v>
                </c:pt>
                <c:pt idx="631">
                  <c:v>50.48</c:v>
                </c:pt>
                <c:pt idx="632">
                  <c:v>50.56</c:v>
                </c:pt>
                <c:pt idx="633">
                  <c:v>50.64</c:v>
                </c:pt>
                <c:pt idx="634">
                  <c:v>50.72</c:v>
                </c:pt>
                <c:pt idx="635">
                  <c:v>50.8</c:v>
                </c:pt>
                <c:pt idx="636">
                  <c:v>50.88</c:v>
                </c:pt>
                <c:pt idx="637">
                  <c:v>50.96</c:v>
                </c:pt>
                <c:pt idx="638">
                  <c:v>51.04</c:v>
                </c:pt>
                <c:pt idx="639">
                  <c:v>51.12</c:v>
                </c:pt>
                <c:pt idx="640">
                  <c:v>51.2</c:v>
                </c:pt>
                <c:pt idx="641">
                  <c:v>51.28</c:v>
                </c:pt>
                <c:pt idx="642">
                  <c:v>51.36</c:v>
                </c:pt>
                <c:pt idx="643">
                  <c:v>51.44</c:v>
                </c:pt>
                <c:pt idx="644">
                  <c:v>51.52</c:v>
                </c:pt>
                <c:pt idx="645">
                  <c:v>51.6</c:v>
                </c:pt>
                <c:pt idx="646">
                  <c:v>51.68</c:v>
                </c:pt>
                <c:pt idx="647">
                  <c:v>51.76</c:v>
                </c:pt>
                <c:pt idx="648">
                  <c:v>51.84</c:v>
                </c:pt>
                <c:pt idx="649">
                  <c:v>51.92</c:v>
                </c:pt>
                <c:pt idx="650">
                  <c:v>52</c:v>
                </c:pt>
                <c:pt idx="651">
                  <c:v>52.08</c:v>
                </c:pt>
                <c:pt idx="652">
                  <c:v>52.16</c:v>
                </c:pt>
                <c:pt idx="653">
                  <c:v>52.24</c:v>
                </c:pt>
                <c:pt idx="654">
                  <c:v>52.32</c:v>
                </c:pt>
                <c:pt idx="655">
                  <c:v>52.4</c:v>
                </c:pt>
                <c:pt idx="656">
                  <c:v>52.48</c:v>
                </c:pt>
                <c:pt idx="657">
                  <c:v>52.56</c:v>
                </c:pt>
                <c:pt idx="658">
                  <c:v>52.64</c:v>
                </c:pt>
                <c:pt idx="659">
                  <c:v>52.72</c:v>
                </c:pt>
                <c:pt idx="660">
                  <c:v>52.8</c:v>
                </c:pt>
                <c:pt idx="661">
                  <c:v>52.88</c:v>
                </c:pt>
                <c:pt idx="662">
                  <c:v>52.96</c:v>
                </c:pt>
                <c:pt idx="663">
                  <c:v>53.04</c:v>
                </c:pt>
                <c:pt idx="664">
                  <c:v>53.12</c:v>
                </c:pt>
                <c:pt idx="665">
                  <c:v>53.2</c:v>
                </c:pt>
                <c:pt idx="666">
                  <c:v>53.28</c:v>
                </c:pt>
                <c:pt idx="667">
                  <c:v>53.36</c:v>
                </c:pt>
                <c:pt idx="668">
                  <c:v>53.44</c:v>
                </c:pt>
                <c:pt idx="669">
                  <c:v>53.52</c:v>
                </c:pt>
                <c:pt idx="670">
                  <c:v>53.6</c:v>
                </c:pt>
                <c:pt idx="671">
                  <c:v>53.68</c:v>
                </c:pt>
                <c:pt idx="672">
                  <c:v>53.76</c:v>
                </c:pt>
                <c:pt idx="673">
                  <c:v>53.84</c:v>
                </c:pt>
                <c:pt idx="674">
                  <c:v>53.92</c:v>
                </c:pt>
                <c:pt idx="675">
                  <c:v>54</c:v>
                </c:pt>
                <c:pt idx="676">
                  <c:v>54.08</c:v>
                </c:pt>
                <c:pt idx="677">
                  <c:v>54.16</c:v>
                </c:pt>
                <c:pt idx="678">
                  <c:v>54.24</c:v>
                </c:pt>
                <c:pt idx="679">
                  <c:v>54.32</c:v>
                </c:pt>
                <c:pt idx="680">
                  <c:v>54.4</c:v>
                </c:pt>
                <c:pt idx="681">
                  <c:v>54.48</c:v>
                </c:pt>
                <c:pt idx="682">
                  <c:v>54.56</c:v>
                </c:pt>
                <c:pt idx="683">
                  <c:v>54.64</c:v>
                </c:pt>
                <c:pt idx="684">
                  <c:v>54.72</c:v>
                </c:pt>
                <c:pt idx="685">
                  <c:v>54.8</c:v>
                </c:pt>
                <c:pt idx="686">
                  <c:v>54.88</c:v>
                </c:pt>
                <c:pt idx="687">
                  <c:v>54.96</c:v>
                </c:pt>
                <c:pt idx="688">
                  <c:v>55.04</c:v>
                </c:pt>
                <c:pt idx="689">
                  <c:v>55.12</c:v>
                </c:pt>
                <c:pt idx="690">
                  <c:v>55.2</c:v>
                </c:pt>
                <c:pt idx="691">
                  <c:v>55.28</c:v>
                </c:pt>
                <c:pt idx="692">
                  <c:v>55.36</c:v>
                </c:pt>
                <c:pt idx="693">
                  <c:v>55.44</c:v>
                </c:pt>
                <c:pt idx="694">
                  <c:v>55.52</c:v>
                </c:pt>
                <c:pt idx="695">
                  <c:v>55.6</c:v>
                </c:pt>
                <c:pt idx="696">
                  <c:v>55.68</c:v>
                </c:pt>
                <c:pt idx="697">
                  <c:v>55.76</c:v>
                </c:pt>
                <c:pt idx="698">
                  <c:v>55.84</c:v>
                </c:pt>
                <c:pt idx="699">
                  <c:v>55.92</c:v>
                </c:pt>
                <c:pt idx="700">
                  <c:v>56</c:v>
                </c:pt>
                <c:pt idx="701">
                  <c:v>56.08</c:v>
                </c:pt>
                <c:pt idx="702">
                  <c:v>56.16</c:v>
                </c:pt>
                <c:pt idx="703">
                  <c:v>56.24</c:v>
                </c:pt>
                <c:pt idx="704">
                  <c:v>56.32</c:v>
                </c:pt>
                <c:pt idx="705">
                  <c:v>56.4</c:v>
                </c:pt>
                <c:pt idx="706">
                  <c:v>56.48</c:v>
                </c:pt>
                <c:pt idx="707">
                  <c:v>56.56</c:v>
                </c:pt>
                <c:pt idx="708">
                  <c:v>56.64</c:v>
                </c:pt>
                <c:pt idx="709">
                  <c:v>56.72</c:v>
                </c:pt>
                <c:pt idx="710">
                  <c:v>56.8</c:v>
                </c:pt>
                <c:pt idx="711">
                  <c:v>56.88</c:v>
                </c:pt>
                <c:pt idx="712">
                  <c:v>56.96</c:v>
                </c:pt>
                <c:pt idx="713">
                  <c:v>57.04</c:v>
                </c:pt>
                <c:pt idx="714">
                  <c:v>57.12</c:v>
                </c:pt>
                <c:pt idx="715">
                  <c:v>57.2</c:v>
                </c:pt>
                <c:pt idx="716">
                  <c:v>57.28</c:v>
                </c:pt>
                <c:pt idx="717">
                  <c:v>57.36</c:v>
                </c:pt>
                <c:pt idx="718">
                  <c:v>57.44</c:v>
                </c:pt>
                <c:pt idx="719">
                  <c:v>57.52</c:v>
                </c:pt>
                <c:pt idx="720">
                  <c:v>57.6</c:v>
                </c:pt>
                <c:pt idx="721">
                  <c:v>57.68</c:v>
                </c:pt>
                <c:pt idx="722">
                  <c:v>57.76</c:v>
                </c:pt>
                <c:pt idx="723">
                  <c:v>57.84</c:v>
                </c:pt>
                <c:pt idx="724">
                  <c:v>57.92</c:v>
                </c:pt>
                <c:pt idx="725">
                  <c:v>58</c:v>
                </c:pt>
                <c:pt idx="726">
                  <c:v>58.08</c:v>
                </c:pt>
                <c:pt idx="727">
                  <c:v>58.16</c:v>
                </c:pt>
                <c:pt idx="728">
                  <c:v>58.24</c:v>
                </c:pt>
                <c:pt idx="729">
                  <c:v>58.32</c:v>
                </c:pt>
                <c:pt idx="730">
                  <c:v>58.4</c:v>
                </c:pt>
                <c:pt idx="731">
                  <c:v>58.48</c:v>
                </c:pt>
                <c:pt idx="732">
                  <c:v>58.56</c:v>
                </c:pt>
                <c:pt idx="733">
                  <c:v>58.64</c:v>
                </c:pt>
                <c:pt idx="734">
                  <c:v>58.72</c:v>
                </c:pt>
                <c:pt idx="735">
                  <c:v>58.8</c:v>
                </c:pt>
                <c:pt idx="736">
                  <c:v>58.88</c:v>
                </c:pt>
                <c:pt idx="737">
                  <c:v>58.96</c:v>
                </c:pt>
                <c:pt idx="738">
                  <c:v>59.04</c:v>
                </c:pt>
                <c:pt idx="739">
                  <c:v>59.12</c:v>
                </c:pt>
                <c:pt idx="740">
                  <c:v>59.2</c:v>
                </c:pt>
                <c:pt idx="741">
                  <c:v>59.28</c:v>
                </c:pt>
                <c:pt idx="742">
                  <c:v>59.36</c:v>
                </c:pt>
                <c:pt idx="743">
                  <c:v>59.44</c:v>
                </c:pt>
                <c:pt idx="744">
                  <c:v>59.52</c:v>
                </c:pt>
                <c:pt idx="745">
                  <c:v>59.6</c:v>
                </c:pt>
                <c:pt idx="746">
                  <c:v>59.68</c:v>
                </c:pt>
                <c:pt idx="747">
                  <c:v>59.76</c:v>
                </c:pt>
                <c:pt idx="748">
                  <c:v>59.84</c:v>
                </c:pt>
                <c:pt idx="749">
                  <c:v>59.92</c:v>
                </c:pt>
                <c:pt idx="750">
                  <c:v>60</c:v>
                </c:pt>
              </c:numCache>
            </c:numRef>
          </c:xVal>
          <c:yVal>
            <c:numRef>
              <c:f>Sheet1!$E$10:$E$760</c:f>
              <c:numCache>
                <c:formatCode>0.00</c:formatCode>
                <c:ptCount val="751"/>
                <c:pt idx="0">
                  <c:v>73.599999999999994</c:v>
                </c:pt>
                <c:pt idx="1">
                  <c:v>73.596809097474448</c:v>
                </c:pt>
                <c:pt idx="2">
                  <c:v>73.593618736537152</c:v>
                </c:pt>
                <c:pt idx="3">
                  <c:v>73.590428917096162</c:v>
                </c:pt>
                <c:pt idx="4">
                  <c:v>73.58723963905959</c:v>
                </c:pt>
                <c:pt idx="5">
                  <c:v>73.584050902335534</c:v>
                </c:pt>
                <c:pt idx="6">
                  <c:v>73.580862706832121</c:v>
                </c:pt>
                <c:pt idx="7">
                  <c:v>73.577675052457494</c:v>
                </c:pt>
                <c:pt idx="8">
                  <c:v>73.574487939119791</c:v>
                </c:pt>
                <c:pt idx="9">
                  <c:v>73.571301366727198</c:v>
                </c:pt>
                <c:pt idx="10">
                  <c:v>73.568115335187912</c:v>
                </c:pt>
                <c:pt idx="11">
                  <c:v>73.564929844410102</c:v>
                </c:pt>
                <c:pt idx="12">
                  <c:v>73.561744894302009</c:v>
                </c:pt>
                <c:pt idx="13">
                  <c:v>73.55856048477186</c:v>
                </c:pt>
                <c:pt idx="14">
                  <c:v>73.555376615727909</c:v>
                </c:pt>
                <c:pt idx="15">
                  <c:v>73.55219328707841</c:v>
                </c:pt>
                <c:pt idx="16">
                  <c:v>73.549010498731633</c:v>
                </c:pt>
                <c:pt idx="17">
                  <c:v>73.545828250595903</c:v>
                </c:pt>
                <c:pt idx="18">
                  <c:v>73.542646542579504</c:v>
                </c:pt>
                <c:pt idx="19">
                  <c:v>73.539465374590776</c:v>
                </c:pt>
                <c:pt idx="20">
                  <c:v>73.536284746538058</c:v>
                </c:pt>
                <c:pt idx="21">
                  <c:v>73.533104658329705</c:v>
                </c:pt>
                <c:pt idx="22">
                  <c:v>73.5299251098741</c:v>
                </c:pt>
                <c:pt idx="23">
                  <c:v>73.52674610107961</c:v>
                </c:pt>
                <c:pt idx="24">
                  <c:v>73.523567631854661</c:v>
                </c:pt>
                <c:pt idx="25">
                  <c:v>73.52038970210765</c:v>
                </c:pt>
                <c:pt idx="26">
                  <c:v>73.517212311747045</c:v>
                </c:pt>
                <c:pt idx="27">
                  <c:v>73.514035460681256</c:v>
                </c:pt>
                <c:pt idx="28">
                  <c:v>73.510859148818781</c:v>
                </c:pt>
                <c:pt idx="29">
                  <c:v>73.507683376068087</c:v>
                </c:pt>
                <c:pt idx="30">
                  <c:v>73.50450814233767</c:v>
                </c:pt>
                <c:pt idx="31">
                  <c:v>73.501333447536055</c:v>
                </c:pt>
                <c:pt idx="32">
                  <c:v>73.498159291571767</c:v>
                </c:pt>
                <c:pt idx="33">
                  <c:v>73.49498567435333</c:v>
                </c:pt>
                <c:pt idx="34">
                  <c:v>73.491812595789327</c:v>
                </c:pt>
                <c:pt idx="35">
                  <c:v>73.488640055788323</c:v>
                </c:pt>
                <c:pt idx="36">
                  <c:v>73.485468054258916</c:v>
                </c:pt>
                <c:pt idx="37">
                  <c:v>73.482296591109701</c:v>
                </c:pt>
                <c:pt idx="38">
                  <c:v>73.479125666249303</c:v>
                </c:pt>
                <c:pt idx="39">
                  <c:v>73.475955279586358</c:v>
                </c:pt>
                <c:pt idx="40">
                  <c:v>73.472785431029507</c:v>
                </c:pt>
                <c:pt idx="41">
                  <c:v>73.469616120487444</c:v>
                </c:pt>
                <c:pt idx="42">
                  <c:v>73.466447347868851</c:v>
                </c:pt>
                <c:pt idx="43">
                  <c:v>73.463279113082393</c:v>
                </c:pt>
                <c:pt idx="44">
                  <c:v>73.460111416036824</c:v>
                </c:pt>
                <c:pt idx="45">
                  <c:v>73.456944256640853</c:v>
                </c:pt>
                <c:pt idx="46">
                  <c:v>73.453777634803217</c:v>
                </c:pt>
                <c:pt idx="47">
                  <c:v>73.450611550432697</c:v>
                </c:pt>
                <c:pt idx="48">
                  <c:v>73.44744600343806</c:v>
                </c:pt>
                <c:pt idx="49">
                  <c:v>73.4442809937281</c:v>
                </c:pt>
                <c:pt idx="50">
                  <c:v>73.441116521211626</c:v>
                </c:pt>
                <c:pt idx="51">
                  <c:v>73.437952585797447</c:v>
                </c:pt>
                <c:pt idx="52">
                  <c:v>73.434789187394415</c:v>
                </c:pt>
                <c:pt idx="53">
                  <c:v>73.431626325911395</c:v>
                </c:pt>
                <c:pt idx="54">
                  <c:v>73.428464001257225</c:v>
                </c:pt>
                <c:pt idx="55">
                  <c:v>73.425302213340814</c:v>
                </c:pt>
                <c:pt idx="56">
                  <c:v>73.42214096207104</c:v>
                </c:pt>
                <c:pt idx="57">
                  <c:v>73.418980247356842</c:v>
                </c:pt>
                <c:pt idx="58">
                  <c:v>73.415820069107156</c:v>
                </c:pt>
                <c:pt idx="59">
                  <c:v>73.412660427230904</c:v>
                </c:pt>
                <c:pt idx="60">
                  <c:v>73.409501321637052</c:v>
                </c:pt>
                <c:pt idx="61">
                  <c:v>73.406342752234593</c:v>
                </c:pt>
                <c:pt idx="62">
                  <c:v>73.403184718932508</c:v>
                </c:pt>
                <c:pt idx="63">
                  <c:v>73.400027221639803</c:v>
                </c:pt>
                <c:pt idx="64">
                  <c:v>73.396870260265516</c:v>
                </c:pt>
                <c:pt idx="65">
                  <c:v>73.393713834718667</c:v>
                </c:pt>
                <c:pt idx="66">
                  <c:v>73.390557944908323</c:v>
                </c:pt>
                <c:pt idx="67">
                  <c:v>73.387402590743562</c:v>
                </c:pt>
                <c:pt idx="68">
                  <c:v>73.384247772133449</c:v>
                </c:pt>
                <c:pt idx="69">
                  <c:v>73.381093488987091</c:v>
                </c:pt>
                <c:pt idx="70">
                  <c:v>73.377939741213623</c:v>
                </c:pt>
                <c:pt idx="71">
                  <c:v>73.374786528722154</c:v>
                </c:pt>
                <c:pt idx="72">
                  <c:v>73.371633851421834</c:v>
                </c:pt>
                <c:pt idx="73">
                  <c:v>73.36848170922184</c:v>
                </c:pt>
                <c:pt idx="74">
                  <c:v>73.365330102031336</c:v>
                </c:pt>
                <c:pt idx="75">
                  <c:v>73.362179029759517</c:v>
                </c:pt>
                <c:pt idx="76">
                  <c:v>73.359028492315616</c:v>
                </c:pt>
                <c:pt idx="77">
                  <c:v>73.355878489608813</c:v>
                </c:pt>
                <c:pt idx="78">
                  <c:v>73.352729021548384</c:v>
                </c:pt>
                <c:pt idx="79">
                  <c:v>73.349580088043567</c:v>
                </c:pt>
                <c:pt idx="80">
                  <c:v>73.346431689003637</c:v>
                </c:pt>
                <c:pt idx="81">
                  <c:v>73.343283824337874</c:v>
                </c:pt>
                <c:pt idx="82">
                  <c:v>73.340136493955583</c:v>
                </c:pt>
                <c:pt idx="83">
                  <c:v>73.3369896977661</c:v>
                </c:pt>
                <c:pt idx="84">
                  <c:v>73.33384343567873</c:v>
                </c:pt>
                <c:pt idx="85">
                  <c:v>73.330697707602823</c:v>
                </c:pt>
                <c:pt idx="86">
                  <c:v>73.327552513447756</c:v>
                </c:pt>
                <c:pt idx="87">
                  <c:v>73.324407853122906</c:v>
                </c:pt>
                <c:pt idx="88">
                  <c:v>73.321263726537666</c:v>
                </c:pt>
                <c:pt idx="89">
                  <c:v>73.318120133601425</c:v>
                </c:pt>
                <c:pt idx="90">
                  <c:v>73.31497707422362</c:v>
                </c:pt>
                <c:pt idx="91">
                  <c:v>73.311834548313698</c:v>
                </c:pt>
                <c:pt idx="92">
                  <c:v>73.308692555781107</c:v>
                </c:pt>
                <c:pt idx="93">
                  <c:v>73.305551096535339</c:v>
                </c:pt>
                <c:pt idx="94">
                  <c:v>73.302410170485842</c:v>
                </c:pt>
                <c:pt idx="95">
                  <c:v>73.299269777542136</c:v>
                </c:pt>
                <c:pt idx="96">
                  <c:v>73.29612991761374</c:v>
                </c:pt>
                <c:pt idx="97">
                  <c:v>73.292990590610174</c:v>
                </c:pt>
                <c:pt idx="98">
                  <c:v>73.289851796441013</c:v>
                </c:pt>
                <c:pt idx="99">
                  <c:v>73.286713535015792</c:v>
                </c:pt>
                <c:pt idx="100">
                  <c:v>73.283575806244102</c:v>
                </c:pt>
                <c:pt idx="101">
                  <c:v>73.280438610035517</c:v>
                </c:pt>
                <c:pt idx="102">
                  <c:v>73.277301946299673</c:v>
                </c:pt>
                <c:pt idx="103">
                  <c:v>73.274165814946187</c:v>
                </c:pt>
                <c:pt idx="104">
                  <c:v>73.271030215884679</c:v>
                </c:pt>
                <c:pt idx="105">
                  <c:v>73.267895149024838</c:v>
                </c:pt>
                <c:pt idx="106">
                  <c:v>73.264760614276298</c:v>
                </c:pt>
                <c:pt idx="107">
                  <c:v>73.261626611548763</c:v>
                </c:pt>
                <c:pt idx="108">
                  <c:v>73.258493140751938</c:v>
                </c:pt>
                <c:pt idx="109">
                  <c:v>73.255360201795526</c:v>
                </c:pt>
                <c:pt idx="110">
                  <c:v>73.25222779458926</c:v>
                </c:pt>
                <c:pt idx="111">
                  <c:v>73.249095919042901</c:v>
                </c:pt>
                <c:pt idx="112">
                  <c:v>73.245964575066196</c:v>
                </c:pt>
                <c:pt idx="113">
                  <c:v>73.242833762568921</c:v>
                </c:pt>
                <c:pt idx="114">
                  <c:v>73.239703481460879</c:v>
                </c:pt>
                <c:pt idx="115">
                  <c:v>73.236573731651873</c:v>
                </c:pt>
                <c:pt idx="116">
                  <c:v>73.233444513051737</c:v>
                </c:pt>
                <c:pt idx="117">
                  <c:v>73.230315825570301</c:v>
                </c:pt>
                <c:pt idx="118">
                  <c:v>73.227187669117399</c:v>
                </c:pt>
                <c:pt idx="119">
                  <c:v>73.224060043602933</c:v>
                </c:pt>
                <c:pt idx="120">
                  <c:v>73.220932948936763</c:v>
                </c:pt>
                <c:pt idx="121">
                  <c:v>73.217806385028808</c:v>
                </c:pt>
                <c:pt idx="122">
                  <c:v>73.214680351788971</c:v>
                </c:pt>
                <c:pt idx="123">
                  <c:v>73.211554849127197</c:v>
                </c:pt>
                <c:pt idx="124">
                  <c:v>73.208429876953403</c:v>
                </c:pt>
                <c:pt idx="125">
                  <c:v>73.205305435177564</c:v>
                </c:pt>
                <c:pt idx="126">
                  <c:v>73.202181523709669</c:v>
                </c:pt>
                <c:pt idx="127">
                  <c:v>73.199058142459705</c:v>
                </c:pt>
                <c:pt idx="128">
                  <c:v>73.195935291337662</c:v>
                </c:pt>
                <c:pt idx="129">
                  <c:v>73.19281297025357</c:v>
                </c:pt>
                <c:pt idx="130">
                  <c:v>73.189691179117474</c:v>
                </c:pt>
                <c:pt idx="131">
                  <c:v>73.186569917839421</c:v>
                </c:pt>
                <c:pt idx="132">
                  <c:v>73.183449186329483</c:v>
                </c:pt>
                <c:pt idx="133">
                  <c:v>73.180328984497734</c:v>
                </c:pt>
                <c:pt idx="134">
                  <c:v>73.177209312254277</c:v>
                </c:pt>
                <c:pt idx="135">
                  <c:v>73.174090169509228</c:v>
                </c:pt>
                <c:pt idx="136">
                  <c:v>73.170971556172717</c:v>
                </c:pt>
                <c:pt idx="137">
                  <c:v>73.167853472154889</c:v>
                </c:pt>
                <c:pt idx="138">
                  <c:v>73.164735917365888</c:v>
                </c:pt>
                <c:pt idx="139">
                  <c:v>73.161618891715904</c:v>
                </c:pt>
                <c:pt idx="140">
                  <c:v>73.158502395115136</c:v>
                </c:pt>
                <c:pt idx="141">
                  <c:v>73.155386427473758</c:v>
                </c:pt>
                <c:pt idx="142">
                  <c:v>73.152270988702014</c:v>
                </c:pt>
                <c:pt idx="143">
                  <c:v>73.149156078710149</c:v>
                </c:pt>
                <c:pt idx="144">
                  <c:v>73.146041697408378</c:v>
                </c:pt>
                <c:pt idx="145">
                  <c:v>73.142927844707003</c:v>
                </c:pt>
                <c:pt idx="146">
                  <c:v>73.139814520516282</c:v>
                </c:pt>
                <c:pt idx="147">
                  <c:v>73.13670172474653</c:v>
                </c:pt>
                <c:pt idx="148">
                  <c:v>73.133589457308034</c:v>
                </c:pt>
                <c:pt idx="149">
                  <c:v>73.130477718111138</c:v>
                </c:pt>
                <c:pt idx="150">
                  <c:v>73.127366507066185</c:v>
                </c:pt>
                <c:pt idx="151">
                  <c:v>73.124255824083534</c:v>
                </c:pt>
                <c:pt idx="152">
                  <c:v>73.121145669073542</c:v>
                </c:pt>
                <c:pt idx="153">
                  <c:v>73.118036041946624</c:v>
                </c:pt>
                <c:pt idx="154">
                  <c:v>73.114926942613153</c:v>
                </c:pt>
                <c:pt idx="155">
                  <c:v>73.111818370983556</c:v>
                </c:pt>
                <c:pt idx="156">
                  <c:v>73.108710326968279</c:v>
                </c:pt>
                <c:pt idx="157">
                  <c:v>73.105602810477762</c:v>
                </c:pt>
                <c:pt idx="158">
                  <c:v>73.102495821422465</c:v>
                </c:pt>
                <c:pt idx="159">
                  <c:v>73.099389359712873</c:v>
                </c:pt>
                <c:pt idx="160">
                  <c:v>73.096283425259486</c:v>
                </c:pt>
                <c:pt idx="161">
                  <c:v>73.093178017972789</c:v>
                </c:pt>
                <c:pt idx="162">
                  <c:v>73.090073137763341</c:v>
                </c:pt>
                <c:pt idx="163">
                  <c:v>73.086968784541654</c:v>
                </c:pt>
                <c:pt idx="164">
                  <c:v>73.0838649582183</c:v>
                </c:pt>
                <c:pt idx="165">
                  <c:v>73.080761658703835</c:v>
                </c:pt>
                <c:pt idx="166">
                  <c:v>73.07765888590886</c:v>
                </c:pt>
                <c:pt idx="167">
                  <c:v>73.07455663974396</c:v>
                </c:pt>
                <c:pt idx="168">
                  <c:v>73.071454920119763</c:v>
                </c:pt>
                <c:pt idx="169">
                  <c:v>73.068353726946896</c:v>
                </c:pt>
                <c:pt idx="170">
                  <c:v>73.065253060136001</c:v>
                </c:pt>
                <c:pt idx="171">
                  <c:v>73.062152919597736</c:v>
                </c:pt>
                <c:pt idx="172">
                  <c:v>73.059053305242799</c:v>
                </c:pt>
                <c:pt idx="173">
                  <c:v>73.05595421698186</c:v>
                </c:pt>
                <c:pt idx="174">
                  <c:v>73.052855654725619</c:v>
                </c:pt>
                <c:pt idx="175">
                  <c:v>73.049757618384831</c:v>
                </c:pt>
                <c:pt idx="176">
                  <c:v>73.046660107870196</c:v>
                </c:pt>
                <c:pt idx="177">
                  <c:v>73.043563123092497</c:v>
                </c:pt>
                <c:pt idx="178">
                  <c:v>73.040466663962462</c:v>
                </c:pt>
                <c:pt idx="179">
                  <c:v>73.037370730390919</c:v>
                </c:pt>
                <c:pt idx="180">
                  <c:v>73.034275322288636</c:v>
                </c:pt>
                <c:pt idx="181">
                  <c:v>73.031180439566441</c:v>
                </c:pt>
                <c:pt idx="182">
                  <c:v>73.028086082135161</c:v>
                </c:pt>
                <c:pt idx="183">
                  <c:v>73.024992249905623</c:v>
                </c:pt>
                <c:pt idx="184">
                  <c:v>73.021898942788695</c:v>
                </c:pt>
                <c:pt idx="185">
                  <c:v>73.018806160695249</c:v>
                </c:pt>
                <c:pt idx="186">
                  <c:v>73.015713903536181</c:v>
                </c:pt>
                <c:pt idx="187">
                  <c:v>73.012622171222375</c:v>
                </c:pt>
                <c:pt idx="188">
                  <c:v>73.009530963664787</c:v>
                </c:pt>
                <c:pt idx="189">
                  <c:v>73.006440280774314</c:v>
                </c:pt>
                <c:pt idx="190">
                  <c:v>73.00335012246191</c:v>
                </c:pt>
                <c:pt idx="191">
                  <c:v>73.00026048863856</c:v>
                </c:pt>
                <c:pt idx="192">
                  <c:v>72.997171379215217</c:v>
                </c:pt>
                <c:pt idx="193">
                  <c:v>72.994082794102894</c:v>
                </c:pt>
                <c:pt idx="194">
                  <c:v>72.990994733212602</c:v>
                </c:pt>
                <c:pt idx="195">
                  <c:v>72.987907196455353</c:v>
                </c:pt>
                <c:pt idx="196">
                  <c:v>72.984820183742187</c:v>
                </c:pt>
                <c:pt idx="197">
                  <c:v>72.981733694984158</c:v>
                </c:pt>
                <c:pt idx="198">
                  <c:v>72.978647730092348</c:v>
                </c:pt>
                <c:pt idx="199">
                  <c:v>72.975562288977827</c:v>
                </c:pt>
                <c:pt idx="200">
                  <c:v>72.972477371551719</c:v>
                </c:pt>
                <c:pt idx="201">
                  <c:v>72.969392977725107</c:v>
                </c:pt>
                <c:pt idx="202">
                  <c:v>72.966309107409131</c:v>
                </c:pt>
                <c:pt idx="203">
                  <c:v>72.963225760514945</c:v>
                </c:pt>
                <c:pt idx="204">
                  <c:v>72.960142936953716</c:v>
                </c:pt>
                <c:pt idx="205">
                  <c:v>72.957060636636598</c:v>
                </c:pt>
                <c:pt idx="206">
                  <c:v>72.953978859474802</c:v>
                </c:pt>
                <c:pt idx="207">
                  <c:v>72.95089760537951</c:v>
                </c:pt>
                <c:pt idx="208">
                  <c:v>72.947816874261974</c:v>
                </c:pt>
                <c:pt idx="209">
                  <c:v>72.944736666033407</c:v>
                </c:pt>
                <c:pt idx="210">
                  <c:v>72.941656980605046</c:v>
                </c:pt>
                <c:pt idx="211">
                  <c:v>72.938577817888188</c:v>
                </c:pt>
                <c:pt idx="212">
                  <c:v>72.9354991777941</c:v>
                </c:pt>
                <c:pt idx="213">
                  <c:v>72.932421060234077</c:v>
                </c:pt>
                <c:pt idx="214">
                  <c:v>72.929343465119445</c:v>
                </c:pt>
                <c:pt idx="215">
                  <c:v>72.926266392361498</c:v>
                </c:pt>
                <c:pt idx="216">
                  <c:v>72.923189841871604</c:v>
                </c:pt>
                <c:pt idx="217">
                  <c:v>72.920113813561102</c:v>
                </c:pt>
                <c:pt idx="218">
                  <c:v>72.917038307341386</c:v>
                </c:pt>
                <c:pt idx="219">
                  <c:v>72.913963323123824</c:v>
                </c:pt>
                <c:pt idx="220">
                  <c:v>72.91088886081981</c:v>
                </c:pt>
                <c:pt idx="221">
                  <c:v>72.907814920340783</c:v>
                </c:pt>
                <c:pt idx="222">
                  <c:v>72.904741501598153</c:v>
                </c:pt>
                <c:pt idx="223">
                  <c:v>72.901668604503385</c:v>
                </c:pt>
                <c:pt idx="224">
                  <c:v>72.898596228967918</c:v>
                </c:pt>
                <c:pt idx="225">
                  <c:v>72.89552437490326</c:v>
                </c:pt>
                <c:pt idx="226">
                  <c:v>72.892453042220865</c:v>
                </c:pt>
                <c:pt idx="227">
                  <c:v>72.889382230832268</c:v>
                </c:pt>
                <c:pt idx="228">
                  <c:v>72.886311940648966</c:v>
                </c:pt>
                <c:pt idx="229">
                  <c:v>72.883242171582538</c:v>
                </c:pt>
                <c:pt idx="230">
                  <c:v>72.880172923544478</c:v>
                </c:pt>
                <c:pt idx="231">
                  <c:v>72.877104196446396</c:v>
                </c:pt>
                <c:pt idx="232">
                  <c:v>72.874035990199857</c:v>
                </c:pt>
                <c:pt idx="233">
                  <c:v>72.870968304716456</c:v>
                </c:pt>
                <c:pt idx="234">
                  <c:v>72.867901139907815</c:v>
                </c:pt>
                <c:pt idx="235">
                  <c:v>72.864834495685557</c:v>
                </c:pt>
                <c:pt idx="236">
                  <c:v>72.861768371961304</c:v>
                </c:pt>
                <c:pt idx="237">
                  <c:v>72.858702768646737</c:v>
                </c:pt>
                <c:pt idx="238">
                  <c:v>72.855637685653519</c:v>
                </c:pt>
                <c:pt idx="239">
                  <c:v>72.852573122893347</c:v>
                </c:pt>
                <c:pt idx="240">
                  <c:v>72.849509080277898</c:v>
                </c:pt>
                <c:pt idx="241">
                  <c:v>72.846445557718909</c:v>
                </c:pt>
                <c:pt idx="242">
                  <c:v>72.843382555128102</c:v>
                </c:pt>
                <c:pt idx="243">
                  <c:v>72.840320072417214</c:v>
                </c:pt>
                <c:pt idx="244">
                  <c:v>72.837258109498038</c:v>
                </c:pt>
                <c:pt idx="245">
                  <c:v>72.83419666628231</c:v>
                </c:pt>
                <c:pt idx="246">
                  <c:v>72.831135742681866</c:v>
                </c:pt>
                <c:pt idx="247">
                  <c:v>72.828075338608471</c:v>
                </c:pt>
                <c:pt idx="248">
                  <c:v>72.825015453973975</c:v>
                </c:pt>
                <c:pt idx="249">
                  <c:v>72.8219560886902</c:v>
                </c:pt>
                <c:pt idx="250">
                  <c:v>72.818897242668996</c:v>
                </c:pt>
                <c:pt idx="251">
                  <c:v>72.815838915822226</c:v>
                </c:pt>
                <c:pt idx="252">
                  <c:v>72.812781108061785</c:v>
                </c:pt>
                <c:pt idx="253">
                  <c:v>72.809723819299563</c:v>
                </c:pt>
                <c:pt idx="254">
                  <c:v>72.806667049447469</c:v>
                </c:pt>
                <c:pt idx="255">
                  <c:v>72.803610798417438</c:v>
                </c:pt>
                <c:pt idx="256">
                  <c:v>72.800555066121404</c:v>
                </c:pt>
                <c:pt idx="257">
                  <c:v>72.797499852471304</c:v>
                </c:pt>
                <c:pt idx="258">
                  <c:v>72.794445157379144</c:v>
                </c:pt>
                <c:pt idx="259">
                  <c:v>72.791390980756887</c:v>
                </c:pt>
                <c:pt idx="260">
                  <c:v>72.78833732251654</c:v>
                </c:pt>
                <c:pt idx="261">
                  <c:v>72.785284182570123</c:v>
                </c:pt>
                <c:pt idx="262">
                  <c:v>72.782231560829658</c:v>
                </c:pt>
                <c:pt idx="263">
                  <c:v>72.779179457207192</c:v>
                </c:pt>
                <c:pt idx="264">
                  <c:v>72.77612787161479</c:v>
                </c:pt>
                <c:pt idx="265">
                  <c:v>72.773076803964528</c:v>
                </c:pt>
                <c:pt idx="266">
                  <c:v>72.770026254168485</c:v>
                </c:pt>
                <c:pt idx="267">
                  <c:v>72.76697622213878</c:v>
                </c:pt>
                <c:pt idx="268">
                  <c:v>72.763926707787519</c:v>
                </c:pt>
                <c:pt idx="269">
                  <c:v>72.760877711026865</c:v>
                </c:pt>
                <c:pt idx="270">
                  <c:v>72.757829231768923</c:v>
                </c:pt>
                <c:pt idx="271">
                  <c:v>72.7547812699259</c:v>
                </c:pt>
                <c:pt idx="272">
                  <c:v>72.751733825409957</c:v>
                </c:pt>
                <c:pt idx="273">
                  <c:v>72.748686898133286</c:v>
                </c:pt>
                <c:pt idx="274">
                  <c:v>72.745640488008107</c:v>
                </c:pt>
                <c:pt idx="275">
                  <c:v>72.742594594946638</c:v>
                </c:pt>
                <c:pt idx="276">
                  <c:v>72.739549218861114</c:v>
                </c:pt>
                <c:pt idx="277">
                  <c:v>72.736504359663797</c:v>
                </c:pt>
                <c:pt idx="278">
                  <c:v>72.73346001726695</c:v>
                </c:pt>
                <c:pt idx="279">
                  <c:v>72.730416191582862</c:v>
                </c:pt>
                <c:pt idx="280">
                  <c:v>72.727372882523838</c:v>
                </c:pt>
                <c:pt idx="281">
                  <c:v>72.724330090002184</c:v>
                </c:pt>
                <c:pt idx="282">
                  <c:v>72.721287813930218</c:v>
                </c:pt>
                <c:pt idx="283">
                  <c:v>72.718246054220302</c:v>
                </c:pt>
                <c:pt idx="284">
                  <c:v>72.715204810784783</c:v>
                </c:pt>
                <c:pt idx="285">
                  <c:v>72.712164083536038</c:v>
                </c:pt>
                <c:pt idx="286">
                  <c:v>72.709123872386471</c:v>
                </c:pt>
                <c:pt idx="287">
                  <c:v>72.706084177248457</c:v>
                </c:pt>
                <c:pt idx="288">
                  <c:v>72.703044998034429</c:v>
                </c:pt>
                <c:pt idx="289">
                  <c:v>72.70000633465682</c:v>
                </c:pt>
                <c:pt idx="290">
                  <c:v>72.696968187028062</c:v>
                </c:pt>
                <c:pt idx="291">
                  <c:v>72.693930555060632</c:v>
                </c:pt>
                <c:pt idx="292">
                  <c:v>72.690893438667018</c:v>
                </c:pt>
                <c:pt idx="293">
                  <c:v>72.687856837759696</c:v>
                </c:pt>
                <c:pt idx="294">
                  <c:v>72.684820752251184</c:v>
                </c:pt>
                <c:pt idx="295">
                  <c:v>72.681785182053986</c:v>
                </c:pt>
                <c:pt idx="296">
                  <c:v>72.678750127080662</c:v>
                </c:pt>
                <c:pt idx="297">
                  <c:v>72.675715587243744</c:v>
                </c:pt>
                <c:pt idx="298">
                  <c:v>72.672681562455807</c:v>
                </c:pt>
                <c:pt idx="299">
                  <c:v>72.669648052629427</c:v>
                </c:pt>
                <c:pt idx="300">
                  <c:v>72.666615057677205</c:v>
                </c:pt>
                <c:pt idx="301">
                  <c:v>72.663582577511761</c:v>
                </c:pt>
                <c:pt idx="302">
                  <c:v>72.660550612045711</c:v>
                </c:pt>
                <c:pt idx="303">
                  <c:v>72.657519161191686</c:v>
                </c:pt>
                <c:pt idx="304">
                  <c:v>72.654488224862362</c:v>
                </c:pt>
                <c:pt idx="305">
                  <c:v>72.651457802970398</c:v>
                </c:pt>
                <c:pt idx="306">
                  <c:v>72.648427895428483</c:v>
                </c:pt>
                <c:pt idx="307">
                  <c:v>72.645398502149305</c:v>
                </c:pt>
                <c:pt idx="308">
                  <c:v>72.642369623045582</c:v>
                </c:pt>
                <c:pt idx="309">
                  <c:v>72.639341258030058</c:v>
                </c:pt>
                <c:pt idx="310">
                  <c:v>72.636313407015479</c:v>
                </c:pt>
                <c:pt idx="311">
                  <c:v>72.63328606991459</c:v>
                </c:pt>
                <c:pt idx="312">
                  <c:v>72.630259246640151</c:v>
                </c:pt>
                <c:pt idx="313">
                  <c:v>72.627232937104992</c:v>
                </c:pt>
                <c:pt idx="314">
                  <c:v>72.624207141221873</c:v>
                </c:pt>
                <c:pt idx="315">
                  <c:v>72.62118185890364</c:v>
                </c:pt>
                <c:pt idx="316">
                  <c:v>72.618157090063136</c:v>
                </c:pt>
                <c:pt idx="317">
                  <c:v>72.615132834613178</c:v>
                </c:pt>
                <c:pt idx="318">
                  <c:v>72.612109092466639</c:v>
                </c:pt>
                <c:pt idx="319">
                  <c:v>72.609085863536407</c:v>
                </c:pt>
                <c:pt idx="320">
                  <c:v>72.60606314773537</c:v>
                </c:pt>
                <c:pt idx="321">
                  <c:v>72.603040944976428</c:v>
                </c:pt>
                <c:pt idx="322">
                  <c:v>72.600019255172512</c:v>
                </c:pt>
                <c:pt idx="323">
                  <c:v>72.596998078236552</c:v>
                </c:pt>
                <c:pt idx="324">
                  <c:v>72.593977414081493</c:v>
                </c:pt>
                <c:pt idx="325">
                  <c:v>72.590957262620321</c:v>
                </c:pt>
                <c:pt idx="326">
                  <c:v>72.58793762376601</c:v>
                </c:pt>
                <c:pt idx="327">
                  <c:v>72.584918497431545</c:v>
                </c:pt>
                <c:pt idx="328">
                  <c:v>72.581899883529957</c:v>
                </c:pt>
                <c:pt idx="329">
                  <c:v>72.578881781974246</c:v>
                </c:pt>
                <c:pt idx="330">
                  <c:v>72.575864192677471</c:v>
                </c:pt>
                <c:pt idx="331">
                  <c:v>72.572847115552676</c:v>
                </c:pt>
                <c:pt idx="332">
                  <c:v>72.569830550512933</c:v>
                </c:pt>
                <c:pt idx="333">
                  <c:v>72.566814497471341</c:v>
                </c:pt>
                <c:pt idx="334">
                  <c:v>72.563798956340975</c:v>
                </c:pt>
                <c:pt idx="335">
                  <c:v>72.560783927034961</c:v>
                </c:pt>
                <c:pt idx="336">
                  <c:v>72.557769409466431</c:v>
                </c:pt>
                <c:pt idx="337">
                  <c:v>72.554755403548526</c:v>
                </c:pt>
                <c:pt idx="338">
                  <c:v>72.551741909194391</c:v>
                </c:pt>
                <c:pt idx="339">
                  <c:v>72.548728926317224</c:v>
                </c:pt>
                <c:pt idx="340">
                  <c:v>72.545716454830199</c:v>
                </c:pt>
                <c:pt idx="341">
                  <c:v>72.542704494646514</c:v>
                </c:pt>
                <c:pt idx="342">
                  <c:v>72.539693045679385</c:v>
                </c:pt>
                <c:pt idx="343">
                  <c:v>72.536682107842054</c:v>
                </c:pt>
                <c:pt idx="344">
                  <c:v>72.533671681047764</c:v>
                </c:pt>
                <c:pt idx="345">
                  <c:v>72.530661765209786</c:v>
                </c:pt>
                <c:pt idx="346">
                  <c:v>72.527652360241376</c:v>
                </c:pt>
                <c:pt idx="347">
                  <c:v>72.524643466055821</c:v>
                </c:pt>
                <c:pt idx="348">
                  <c:v>72.521635082566462</c:v>
                </c:pt>
                <c:pt idx="349">
                  <c:v>72.518627209686571</c:v>
                </c:pt>
                <c:pt idx="350">
                  <c:v>72.515619847329532</c:v>
                </c:pt>
                <c:pt idx="351">
                  <c:v>72.512612995408659</c:v>
                </c:pt>
                <c:pt idx="352">
                  <c:v>72.509606653837324</c:v>
                </c:pt>
                <c:pt idx="353">
                  <c:v>72.506600822528924</c:v>
                </c:pt>
                <c:pt idx="354">
                  <c:v>72.503595501396816</c:v>
                </c:pt>
                <c:pt idx="355">
                  <c:v>72.500590690354443</c:v>
                </c:pt>
                <c:pt idx="356">
                  <c:v>72.497586389315217</c:v>
                </c:pt>
                <c:pt idx="357">
                  <c:v>72.494582598192579</c:v>
                </c:pt>
                <c:pt idx="358">
                  <c:v>72.491579316899973</c:v>
                </c:pt>
                <c:pt idx="359">
                  <c:v>72.488576545350867</c:v>
                </c:pt>
                <c:pt idx="360">
                  <c:v>72.48557428345876</c:v>
                </c:pt>
                <c:pt idx="361">
                  <c:v>72.482572531137123</c:v>
                </c:pt>
                <c:pt idx="362">
                  <c:v>72.479571288299482</c:v>
                </c:pt>
                <c:pt idx="363">
                  <c:v>72.47657055485935</c:v>
                </c:pt>
                <c:pt idx="364">
                  <c:v>72.473570330730283</c:v>
                </c:pt>
                <c:pt idx="365">
                  <c:v>72.470570615825835</c:v>
                </c:pt>
                <c:pt idx="366">
                  <c:v>72.467571410059577</c:v>
                </c:pt>
                <c:pt idx="367">
                  <c:v>72.464572713345078</c:v>
                </c:pt>
                <c:pt idx="368">
                  <c:v>72.46157452559595</c:v>
                </c:pt>
                <c:pt idx="369">
                  <c:v>72.458576846725791</c:v>
                </c:pt>
                <c:pt idx="370">
                  <c:v>72.455579676648256</c:v>
                </c:pt>
                <c:pt idx="371">
                  <c:v>72.452583015276971</c:v>
                </c:pt>
                <c:pt idx="372">
                  <c:v>72.449586862525592</c:v>
                </c:pt>
                <c:pt idx="373">
                  <c:v>72.446591218307816</c:v>
                </c:pt>
                <c:pt idx="374">
                  <c:v>72.443596082537297</c:v>
                </c:pt>
                <c:pt idx="375">
                  <c:v>72.440601455127762</c:v>
                </c:pt>
                <c:pt idx="376">
                  <c:v>72.437607335992908</c:v>
                </c:pt>
                <c:pt idx="377">
                  <c:v>72.434613725046461</c:v>
                </c:pt>
                <c:pt idx="378">
                  <c:v>72.431620622202203</c:v>
                </c:pt>
                <c:pt idx="379">
                  <c:v>72.428628027373861</c:v>
                </c:pt>
                <c:pt idx="380">
                  <c:v>72.425635940475217</c:v>
                </c:pt>
                <c:pt idx="381">
                  <c:v>72.422644361420083</c:v>
                </c:pt>
                <c:pt idx="382">
                  <c:v>72.419653290122227</c:v>
                </c:pt>
                <c:pt idx="383">
                  <c:v>72.416662726495488</c:v>
                </c:pt>
                <c:pt idx="384">
                  <c:v>72.413672670453707</c:v>
                </c:pt>
                <c:pt idx="385">
                  <c:v>72.410683121910708</c:v>
                </c:pt>
                <c:pt idx="386">
                  <c:v>72.407694080780374</c:v>
                </c:pt>
                <c:pt idx="387">
                  <c:v>72.404705546976587</c:v>
                </c:pt>
                <c:pt idx="388">
                  <c:v>72.401717520413229</c:v>
                </c:pt>
                <c:pt idx="389">
                  <c:v>72.398730001004196</c:v>
                </c:pt>
                <c:pt idx="390">
                  <c:v>72.395742988663415</c:v>
                </c:pt>
                <c:pt idx="391">
                  <c:v>72.392756483304836</c:v>
                </c:pt>
                <c:pt idx="392">
                  <c:v>72.389770484842401</c:v>
                </c:pt>
                <c:pt idx="393">
                  <c:v>72.386784993190076</c:v>
                </c:pt>
                <c:pt idx="394">
                  <c:v>72.383800008261829</c:v>
                </c:pt>
                <c:pt idx="395">
                  <c:v>72.38081552997167</c:v>
                </c:pt>
                <c:pt idx="396">
                  <c:v>72.377831558233595</c:v>
                </c:pt>
                <c:pt idx="397">
                  <c:v>72.374848092961656</c:v>
                </c:pt>
                <c:pt idx="398">
                  <c:v>72.37186513406985</c:v>
                </c:pt>
                <c:pt idx="399">
                  <c:v>72.368882681472257</c:v>
                </c:pt>
                <c:pt idx="400">
                  <c:v>72.365900735082931</c:v>
                </c:pt>
                <c:pt idx="401">
                  <c:v>72.362919294815953</c:v>
                </c:pt>
                <c:pt idx="402">
                  <c:v>72.359938360585446</c:v>
                </c:pt>
                <c:pt idx="403">
                  <c:v>72.356957932305491</c:v>
                </c:pt>
                <c:pt idx="404">
                  <c:v>72.353978009890227</c:v>
                </c:pt>
                <c:pt idx="405">
                  <c:v>72.350998593253777</c:v>
                </c:pt>
                <c:pt idx="406">
                  <c:v>72.348019682310323</c:v>
                </c:pt>
                <c:pt idx="407">
                  <c:v>72.345041276974015</c:v>
                </c:pt>
                <c:pt idx="408">
                  <c:v>72.34206337715905</c:v>
                </c:pt>
                <c:pt idx="409">
                  <c:v>72.339085982779608</c:v>
                </c:pt>
                <c:pt idx="410">
                  <c:v>72.336109093749926</c:v>
                </c:pt>
                <c:pt idx="411">
                  <c:v>72.333132709984199</c:v>
                </c:pt>
                <c:pt idx="412">
                  <c:v>72.330156831396707</c:v>
                </c:pt>
                <c:pt idx="413">
                  <c:v>72.327181457901688</c:v>
                </c:pt>
                <c:pt idx="414">
                  <c:v>72.324206589413407</c:v>
                </c:pt>
                <c:pt idx="415">
                  <c:v>72.32123222584616</c:v>
                </c:pt>
                <c:pt idx="416">
                  <c:v>72.31825836711424</c:v>
                </c:pt>
                <c:pt idx="417">
                  <c:v>72.31528501313197</c:v>
                </c:pt>
                <c:pt idx="418">
                  <c:v>72.312312163813658</c:v>
                </c:pt>
                <c:pt idx="419">
                  <c:v>72.309339819073685</c:v>
                </c:pt>
                <c:pt idx="420">
                  <c:v>72.306367978826387</c:v>
                </c:pt>
                <c:pt idx="421">
                  <c:v>72.303396642986144</c:v>
                </c:pt>
                <c:pt idx="422">
                  <c:v>72.300425811467321</c:v>
                </c:pt>
                <c:pt idx="423">
                  <c:v>72.297455484184354</c:v>
                </c:pt>
                <c:pt idx="424">
                  <c:v>72.294485661051638</c:v>
                </c:pt>
                <c:pt idx="425">
                  <c:v>72.291516341983609</c:v>
                </c:pt>
                <c:pt idx="426">
                  <c:v>72.288547526894718</c:v>
                </c:pt>
                <c:pt idx="427">
                  <c:v>72.285579215699414</c:v>
                </c:pt>
                <c:pt idx="428">
                  <c:v>72.282611408312192</c:v>
                </c:pt>
                <c:pt idx="429">
                  <c:v>72.279644104647517</c:v>
                </c:pt>
                <c:pt idx="430">
                  <c:v>72.276677304619895</c:v>
                </c:pt>
                <c:pt idx="431">
                  <c:v>72.273711008143863</c:v>
                </c:pt>
                <c:pt idx="432">
                  <c:v>72.270745215133957</c:v>
                </c:pt>
                <c:pt idx="433">
                  <c:v>72.267779925504684</c:v>
                </c:pt>
                <c:pt idx="434">
                  <c:v>72.264815139170651</c:v>
                </c:pt>
                <c:pt idx="435">
                  <c:v>72.261850856046408</c:v>
                </c:pt>
                <c:pt idx="436">
                  <c:v>72.258887076046562</c:v>
                </c:pt>
                <c:pt idx="437">
                  <c:v>72.255923799085707</c:v>
                </c:pt>
                <c:pt idx="438">
                  <c:v>72.252961025078463</c:v>
                </c:pt>
                <c:pt idx="439">
                  <c:v>72.249998753939465</c:v>
                </c:pt>
                <c:pt idx="440">
                  <c:v>72.247036985583364</c:v>
                </c:pt>
                <c:pt idx="441">
                  <c:v>72.244075719924822</c:v>
                </c:pt>
                <c:pt idx="442">
                  <c:v>72.241114956878533</c:v>
                </c:pt>
                <c:pt idx="443">
                  <c:v>72.238154696359146</c:v>
                </c:pt>
                <c:pt idx="444">
                  <c:v>72.235194938281424</c:v>
                </c:pt>
                <c:pt idx="445">
                  <c:v>72.232235682560045</c:v>
                </c:pt>
                <c:pt idx="446">
                  <c:v>72.229276929109758</c:v>
                </c:pt>
                <c:pt idx="447">
                  <c:v>72.226318677845313</c:v>
                </c:pt>
                <c:pt idx="448">
                  <c:v>72.223360928681487</c:v>
                </c:pt>
                <c:pt idx="449">
                  <c:v>72.220403681533043</c:v>
                </c:pt>
                <c:pt idx="450">
                  <c:v>72.217446936314786</c:v>
                </c:pt>
                <c:pt idx="451">
                  <c:v>72.214490692941496</c:v>
                </c:pt>
                <c:pt idx="452">
                  <c:v>72.211534951328034</c:v>
                </c:pt>
                <c:pt idx="453">
                  <c:v>72.20857971138922</c:v>
                </c:pt>
                <c:pt idx="454">
                  <c:v>72.205624973039903</c:v>
                </c:pt>
                <c:pt idx="455">
                  <c:v>72.202670736194946</c:v>
                </c:pt>
                <c:pt idx="456">
                  <c:v>72.19971700076924</c:v>
                </c:pt>
                <c:pt idx="457">
                  <c:v>72.196763766677677</c:v>
                </c:pt>
                <c:pt idx="458">
                  <c:v>72.193811033835146</c:v>
                </c:pt>
                <c:pt idx="459">
                  <c:v>72.190858802156612</c:v>
                </c:pt>
                <c:pt idx="460">
                  <c:v>72.187907071556978</c:v>
                </c:pt>
                <c:pt idx="461">
                  <c:v>72.184955841951194</c:v>
                </c:pt>
                <c:pt idx="462">
                  <c:v>72.182005113254263</c:v>
                </c:pt>
                <c:pt idx="463">
                  <c:v>72.179054885381134</c:v>
                </c:pt>
                <c:pt idx="464">
                  <c:v>72.176105158246799</c:v>
                </c:pt>
                <c:pt idx="465">
                  <c:v>72.173155931766303</c:v>
                </c:pt>
                <c:pt idx="466">
                  <c:v>72.170207205854638</c:v>
                </c:pt>
                <c:pt idx="467">
                  <c:v>72.167258980426851</c:v>
                </c:pt>
                <c:pt idx="468">
                  <c:v>72.16431125539799</c:v>
                </c:pt>
                <c:pt idx="469">
                  <c:v>72.161364030683146</c:v>
                </c:pt>
                <c:pt idx="470">
                  <c:v>72.158417306197379</c:v>
                </c:pt>
                <c:pt idx="471">
                  <c:v>72.155471081855794</c:v>
                </c:pt>
                <c:pt idx="472">
                  <c:v>72.152525357573509</c:v>
                </c:pt>
                <c:pt idx="473">
                  <c:v>72.14958013326563</c:v>
                </c:pt>
                <c:pt idx="474">
                  <c:v>72.146635408847317</c:v>
                </c:pt>
                <c:pt idx="475">
                  <c:v>72.143691184233717</c:v>
                </c:pt>
                <c:pt idx="476">
                  <c:v>72.140747459339991</c:v>
                </c:pt>
                <c:pt idx="477">
                  <c:v>72.137804234081329</c:v>
                </c:pt>
                <c:pt idx="478">
                  <c:v>72.134861508372936</c:v>
                </c:pt>
                <c:pt idx="479">
                  <c:v>72.131919282130013</c:v>
                </c:pt>
                <c:pt idx="480">
                  <c:v>72.128977555267781</c:v>
                </c:pt>
                <c:pt idx="481">
                  <c:v>72.126036327701499</c:v>
                </c:pt>
                <c:pt idx="482">
                  <c:v>72.123095599346414</c:v>
                </c:pt>
                <c:pt idx="483">
                  <c:v>72.120155370117786</c:v>
                </c:pt>
                <c:pt idx="484">
                  <c:v>72.117215639930905</c:v>
                </c:pt>
                <c:pt idx="485">
                  <c:v>72.114276408701073</c:v>
                </c:pt>
                <c:pt idx="486">
                  <c:v>72.111337676343595</c:v>
                </c:pt>
                <c:pt idx="487">
                  <c:v>72.108399442773816</c:v>
                </c:pt>
                <c:pt idx="488">
                  <c:v>72.105461707907068</c:v>
                </c:pt>
                <c:pt idx="489">
                  <c:v>72.102524471658683</c:v>
                </c:pt>
                <c:pt idx="490">
                  <c:v>72.099587733944063</c:v>
                </c:pt>
                <c:pt idx="491">
                  <c:v>72.096651494678582</c:v>
                </c:pt>
                <c:pt idx="492">
                  <c:v>72.09371575377763</c:v>
                </c:pt>
                <c:pt idx="493">
                  <c:v>72.090780511156638</c:v>
                </c:pt>
                <c:pt idx="494">
                  <c:v>72.087845766731022</c:v>
                </c:pt>
                <c:pt idx="495">
                  <c:v>72.084911520416213</c:v>
                </c:pt>
                <c:pt idx="496">
                  <c:v>72.081977772127686</c:v>
                </c:pt>
                <c:pt idx="497">
                  <c:v>72.079044521780915</c:v>
                </c:pt>
                <c:pt idx="498">
                  <c:v>72.076111769291359</c:v>
                </c:pt>
                <c:pt idx="499">
                  <c:v>72.073179514574548</c:v>
                </c:pt>
                <c:pt idx="500">
                  <c:v>72.070247757545971</c:v>
                </c:pt>
                <c:pt idx="501">
                  <c:v>72.067316498121173</c:v>
                </c:pt>
                <c:pt idx="502">
                  <c:v>72.064385736215684</c:v>
                </c:pt>
                <c:pt idx="503">
                  <c:v>72.061455471745063</c:v>
                </c:pt>
                <c:pt idx="504">
                  <c:v>72.058525704624884</c:v>
                </c:pt>
                <c:pt idx="505">
                  <c:v>72.055596434770735</c:v>
                </c:pt>
                <c:pt idx="506">
                  <c:v>72.052667662098202</c:v>
                </c:pt>
                <c:pt idx="507">
                  <c:v>72.04973938652293</c:v>
                </c:pt>
                <c:pt idx="508">
                  <c:v>72.046811607960507</c:v>
                </c:pt>
                <c:pt idx="509">
                  <c:v>72.043884326326605</c:v>
                </c:pt>
                <c:pt idx="510">
                  <c:v>72.040957541536869</c:v>
                </c:pt>
                <c:pt idx="511">
                  <c:v>72.038031253506972</c:v>
                </c:pt>
                <c:pt idx="512">
                  <c:v>72.0351054621526</c:v>
                </c:pt>
                <c:pt idx="513">
                  <c:v>72.032180167389456</c:v>
                </c:pt>
                <c:pt idx="514">
                  <c:v>72.029255369133239</c:v>
                </c:pt>
                <c:pt idx="515">
                  <c:v>72.026331067299708</c:v>
                </c:pt>
                <c:pt idx="516">
                  <c:v>72.023407261804579</c:v>
                </c:pt>
                <c:pt idx="517">
                  <c:v>72.020483952563609</c:v>
                </c:pt>
                <c:pt idx="518">
                  <c:v>72.017561139492585</c:v>
                </c:pt>
                <c:pt idx="519">
                  <c:v>72.01463882250728</c:v>
                </c:pt>
                <c:pt idx="520">
                  <c:v>72.011717001523493</c:v>
                </c:pt>
                <c:pt idx="521">
                  <c:v>72.008795676457055</c:v>
                </c:pt>
                <c:pt idx="522">
                  <c:v>72.005874847223794</c:v>
                </c:pt>
                <c:pt idx="523">
                  <c:v>72.002954513739525</c:v>
                </c:pt>
                <c:pt idx="524">
                  <c:v>72.000034675920119</c:v>
                </c:pt>
                <c:pt idx="525">
                  <c:v>71.997115333681464</c:v>
                </c:pt>
                <c:pt idx="526">
                  <c:v>71.99419648693943</c:v>
                </c:pt>
                <c:pt idx="527">
                  <c:v>71.991278135609917</c:v>
                </c:pt>
                <c:pt idx="528">
                  <c:v>71.988360279608841</c:v>
                </c:pt>
                <c:pt idx="529">
                  <c:v>71.985442918852129</c:v>
                </c:pt>
                <c:pt idx="530">
                  <c:v>71.982526053255725</c:v>
                </c:pt>
                <c:pt idx="531">
                  <c:v>71.9796096827356</c:v>
                </c:pt>
                <c:pt idx="532">
                  <c:v>71.976693807207695</c:v>
                </c:pt>
                <c:pt idx="533">
                  <c:v>71.973778426588026</c:v>
                </c:pt>
                <c:pt idx="534">
                  <c:v>71.970863540792578</c:v>
                </c:pt>
                <c:pt idx="535">
                  <c:v>71.96794914973735</c:v>
                </c:pt>
                <c:pt idx="536">
                  <c:v>71.965035253338399</c:v>
                </c:pt>
                <c:pt idx="537">
                  <c:v>71.962121851511768</c:v>
                </c:pt>
                <c:pt idx="538">
                  <c:v>71.959208944173483</c:v>
                </c:pt>
                <c:pt idx="539">
                  <c:v>71.956296531239644</c:v>
                </c:pt>
                <c:pt idx="540">
                  <c:v>71.953384612626309</c:v>
                </c:pt>
                <c:pt idx="541">
                  <c:v>71.950473188249617</c:v>
                </c:pt>
                <c:pt idx="542">
                  <c:v>71.947562258025641</c:v>
                </c:pt>
                <c:pt idx="543">
                  <c:v>71.944651821870536</c:v>
                </c:pt>
                <c:pt idx="544">
                  <c:v>71.94174187970043</c:v>
                </c:pt>
                <c:pt idx="545">
                  <c:v>71.938832431431479</c:v>
                </c:pt>
                <c:pt idx="546">
                  <c:v>71.935923476979866</c:v>
                </c:pt>
                <c:pt idx="547">
                  <c:v>71.933015016261777</c:v>
                </c:pt>
                <c:pt idx="548">
                  <c:v>71.930107049193396</c:v>
                </c:pt>
                <c:pt idx="549">
                  <c:v>71.927199575690949</c:v>
                </c:pt>
                <c:pt idx="550">
                  <c:v>71.92429259567065</c:v>
                </c:pt>
                <c:pt idx="551">
                  <c:v>71.921386109048754</c:v>
                </c:pt>
                <c:pt idx="552">
                  <c:v>71.918480115741517</c:v>
                </c:pt>
                <c:pt idx="553">
                  <c:v>71.915574615665193</c:v>
                </c:pt>
                <c:pt idx="554">
                  <c:v>71.912669608736081</c:v>
                </c:pt>
                <c:pt idx="555">
                  <c:v>71.909765094870494</c:v>
                </c:pt>
                <c:pt idx="556">
                  <c:v>71.906861073984714</c:v>
                </c:pt>
                <c:pt idx="557">
                  <c:v>71.90395754599507</c:v>
                </c:pt>
                <c:pt idx="558">
                  <c:v>71.901054510817943</c:v>
                </c:pt>
                <c:pt idx="559">
                  <c:v>71.898151968369632</c:v>
                </c:pt>
                <c:pt idx="560">
                  <c:v>71.895249918566549</c:v>
                </c:pt>
                <c:pt idx="561">
                  <c:v>71.892348361325062</c:v>
                </c:pt>
                <c:pt idx="562">
                  <c:v>71.889447296561571</c:v>
                </c:pt>
                <c:pt idx="563">
                  <c:v>71.886546724192499</c:v>
                </c:pt>
                <c:pt idx="564">
                  <c:v>71.883646644134245</c:v>
                </c:pt>
                <c:pt idx="565">
                  <c:v>71.880747056303278</c:v>
                </c:pt>
                <c:pt idx="566">
                  <c:v>71.877847960616037</c:v>
                </c:pt>
                <c:pt idx="567">
                  <c:v>71.874949356988992</c:v>
                </c:pt>
                <c:pt idx="568">
                  <c:v>71.872051245338639</c:v>
                </c:pt>
                <c:pt idx="569">
                  <c:v>71.869153625581461</c:v>
                </c:pt>
                <c:pt idx="570">
                  <c:v>71.866256497633984</c:v>
                </c:pt>
                <c:pt idx="571">
                  <c:v>71.863359861412704</c:v>
                </c:pt>
                <c:pt idx="572">
                  <c:v>71.860463716834204</c:v>
                </c:pt>
                <c:pt idx="573">
                  <c:v>71.857568063814995</c:v>
                </c:pt>
                <c:pt idx="574">
                  <c:v>71.854672902271673</c:v>
                </c:pt>
                <c:pt idx="575">
                  <c:v>71.851778232120822</c:v>
                </c:pt>
                <c:pt idx="576">
                  <c:v>71.848884053279022</c:v>
                </c:pt>
                <c:pt idx="577">
                  <c:v>71.845990365662885</c:v>
                </c:pt>
                <c:pt idx="578">
                  <c:v>71.843097169189036</c:v>
                </c:pt>
                <c:pt idx="579">
                  <c:v>71.840204463774143</c:v>
                </c:pt>
                <c:pt idx="580">
                  <c:v>71.837312249334815</c:v>
                </c:pt>
                <c:pt idx="581">
                  <c:v>71.834420525787749</c:v>
                </c:pt>
                <c:pt idx="582">
                  <c:v>71.831529293049613</c:v>
                </c:pt>
                <c:pt idx="583">
                  <c:v>71.828638551037116</c:v>
                </c:pt>
                <c:pt idx="584">
                  <c:v>71.825748299666955</c:v>
                </c:pt>
                <c:pt idx="585">
                  <c:v>71.822858538855854</c:v>
                </c:pt>
                <c:pt idx="586">
                  <c:v>71.819969268520566</c:v>
                </c:pt>
                <c:pt idx="587">
                  <c:v>71.817080488577815</c:v>
                </c:pt>
                <c:pt idx="588">
                  <c:v>71.814192198944397</c:v>
                </c:pt>
                <c:pt idx="589">
                  <c:v>71.811304399537079</c:v>
                </c:pt>
                <c:pt idx="590">
                  <c:v>71.808417090272641</c:v>
                </c:pt>
                <c:pt idx="591">
                  <c:v>71.805530271067923</c:v>
                </c:pt>
                <c:pt idx="592">
                  <c:v>71.802643941839719</c:v>
                </c:pt>
                <c:pt idx="593">
                  <c:v>71.799758102504882</c:v>
                </c:pt>
                <c:pt idx="594">
                  <c:v>71.796872752980263</c:v>
                </c:pt>
                <c:pt idx="595">
                  <c:v>71.793987893182717</c:v>
                </c:pt>
                <c:pt idx="596">
                  <c:v>71.791103523029136</c:v>
                </c:pt>
                <c:pt idx="597">
                  <c:v>71.788219642436403</c:v>
                </c:pt>
                <c:pt idx="598">
                  <c:v>71.785336251321425</c:v>
                </c:pt>
                <c:pt idx="599">
                  <c:v>71.782453349601127</c:v>
                </c:pt>
                <c:pt idx="600">
                  <c:v>71.77957093719246</c:v>
                </c:pt>
                <c:pt idx="601">
                  <c:v>71.776689014012334</c:v>
                </c:pt>
                <c:pt idx="602">
                  <c:v>71.773807579977756</c:v>
                </c:pt>
                <c:pt idx="603">
                  <c:v>71.770926635005679</c:v>
                </c:pt>
                <c:pt idx="604">
                  <c:v>71.768046179013112</c:v>
                </c:pt>
                <c:pt idx="605">
                  <c:v>71.765166211917034</c:v>
                </c:pt>
                <c:pt idx="606">
                  <c:v>71.762286733634497</c:v>
                </c:pt>
                <c:pt idx="607">
                  <c:v>71.759407744082509</c:v>
                </c:pt>
                <c:pt idx="608">
                  <c:v>71.756529243178136</c:v>
                </c:pt>
                <c:pt idx="609">
                  <c:v>71.753651230838415</c:v>
                </c:pt>
                <c:pt idx="610">
                  <c:v>71.750773706980468</c:v>
                </c:pt>
                <c:pt idx="611">
                  <c:v>71.747896671521346</c:v>
                </c:pt>
                <c:pt idx="612">
                  <c:v>71.745020124378158</c:v>
                </c:pt>
                <c:pt idx="613">
                  <c:v>71.74214406546804</c:v>
                </c:pt>
                <c:pt idx="614">
                  <c:v>71.739268494708114</c:v>
                </c:pt>
                <c:pt idx="615">
                  <c:v>71.736393412015531</c:v>
                </c:pt>
                <c:pt idx="616">
                  <c:v>71.733518817307441</c:v>
                </c:pt>
                <c:pt idx="617">
                  <c:v>71.730644710501039</c:v>
                </c:pt>
                <c:pt idx="618">
                  <c:v>71.727771091513489</c:v>
                </c:pt>
                <c:pt idx="619">
                  <c:v>71.724897960262027</c:v>
                </c:pt>
                <c:pt idx="620">
                  <c:v>71.722025316663832</c:v>
                </c:pt>
                <c:pt idx="621">
                  <c:v>71.719153160636154</c:v>
                </c:pt>
                <c:pt idx="622">
                  <c:v>71.716281492096243</c:v>
                </c:pt>
                <c:pt idx="623">
                  <c:v>71.713410310961365</c:v>
                </c:pt>
                <c:pt idx="624">
                  <c:v>71.710539617148768</c:v>
                </c:pt>
                <c:pt idx="625">
                  <c:v>71.707669410575761</c:v>
                </c:pt>
                <c:pt idx="626">
                  <c:v>71.704799691159621</c:v>
                </c:pt>
                <c:pt idx="627">
                  <c:v>71.701930458817685</c:v>
                </c:pt>
                <c:pt idx="628">
                  <c:v>71.699061713467287</c:v>
                </c:pt>
                <c:pt idx="629">
                  <c:v>71.696193455025764</c:v>
                </c:pt>
                <c:pt idx="630">
                  <c:v>71.69332568341045</c:v>
                </c:pt>
                <c:pt idx="631">
                  <c:v>71.690458398538752</c:v>
                </c:pt>
                <c:pt idx="632">
                  <c:v>71.687591600328034</c:v>
                </c:pt>
                <c:pt idx="633">
                  <c:v>71.684725288695702</c:v>
                </c:pt>
                <c:pt idx="634">
                  <c:v>71.681859463559178</c:v>
                </c:pt>
                <c:pt idx="635">
                  <c:v>71.678994124835867</c:v>
                </c:pt>
                <c:pt idx="636">
                  <c:v>71.676129272443234</c:v>
                </c:pt>
                <c:pt idx="637">
                  <c:v>71.673264906298726</c:v>
                </c:pt>
                <c:pt idx="638">
                  <c:v>71.670401026319809</c:v>
                </c:pt>
                <c:pt idx="639">
                  <c:v>71.667537632423972</c:v>
                </c:pt>
                <c:pt idx="640">
                  <c:v>71.664674724528709</c:v>
                </c:pt>
                <c:pt idx="641">
                  <c:v>71.661812302551525</c:v>
                </c:pt>
                <c:pt idx="642">
                  <c:v>71.658950366409954</c:v>
                </c:pt>
                <c:pt idx="643">
                  <c:v>71.656088916021545</c:v>
                </c:pt>
                <c:pt idx="644">
                  <c:v>71.653227951303833</c:v>
                </c:pt>
                <c:pt idx="645">
                  <c:v>71.650367472174395</c:v>
                </c:pt>
                <c:pt idx="646">
                  <c:v>71.647507478550821</c:v>
                </c:pt>
                <c:pt idx="647">
                  <c:v>71.64464797035069</c:v>
                </c:pt>
                <c:pt idx="648">
                  <c:v>71.641788947491634</c:v>
                </c:pt>
                <c:pt idx="649">
                  <c:v>71.638930409891245</c:v>
                </c:pt>
                <c:pt idx="650">
                  <c:v>71.636072357467185</c:v>
                </c:pt>
                <c:pt idx="651">
                  <c:v>71.633214790137089</c:v>
                </c:pt>
                <c:pt idx="652">
                  <c:v>71.630357707818646</c:v>
                </c:pt>
                <c:pt idx="653">
                  <c:v>71.62750111042952</c:v>
                </c:pt>
                <c:pt idx="654">
                  <c:v>71.624644997887401</c:v>
                </c:pt>
                <c:pt idx="655">
                  <c:v>71.621789370109994</c:v>
                </c:pt>
                <c:pt idx="656">
                  <c:v>71.618934227015046</c:v>
                </c:pt>
                <c:pt idx="657">
                  <c:v>71.616079568520263</c:v>
                </c:pt>
                <c:pt idx="658">
                  <c:v>71.613225394543406</c:v>
                </c:pt>
                <c:pt idx="659">
                  <c:v>71.610371705002223</c:v>
                </c:pt>
                <c:pt idx="660">
                  <c:v>71.607518499814532</c:v>
                </c:pt>
                <c:pt idx="661">
                  <c:v>71.604665778898081</c:v>
                </c:pt>
                <c:pt idx="662">
                  <c:v>71.601813542170703</c:v>
                </c:pt>
                <c:pt idx="663">
                  <c:v>71.598961789550202</c:v>
                </c:pt>
                <c:pt idx="664">
                  <c:v>71.596110520954426</c:v>
                </c:pt>
                <c:pt idx="665">
                  <c:v>71.593259736301192</c:v>
                </c:pt>
                <c:pt idx="666">
                  <c:v>71.590409435508391</c:v>
                </c:pt>
                <c:pt idx="667">
                  <c:v>71.587559618493884</c:v>
                </c:pt>
                <c:pt idx="668">
                  <c:v>71.584710285175575</c:v>
                </c:pt>
                <c:pt idx="669">
                  <c:v>71.581861435471353</c:v>
                </c:pt>
                <c:pt idx="670">
                  <c:v>71.579013069299123</c:v>
                </c:pt>
                <c:pt idx="671">
                  <c:v>71.576165186576844</c:v>
                </c:pt>
                <c:pt idx="672">
                  <c:v>71.573317787222436</c:v>
                </c:pt>
                <c:pt idx="673">
                  <c:v>71.570470871153873</c:v>
                </c:pt>
                <c:pt idx="674">
                  <c:v>71.56762443828913</c:v>
                </c:pt>
                <c:pt idx="675">
                  <c:v>71.564778488546182</c:v>
                </c:pt>
                <c:pt idx="676">
                  <c:v>71.561933021843032</c:v>
                </c:pt>
                <c:pt idx="677">
                  <c:v>71.559088038097684</c:v>
                </c:pt>
                <c:pt idx="678">
                  <c:v>71.556243537228198</c:v>
                </c:pt>
                <c:pt idx="679">
                  <c:v>71.553399519152578</c:v>
                </c:pt>
                <c:pt idx="680">
                  <c:v>71.550555983788897</c:v>
                </c:pt>
                <c:pt idx="681">
                  <c:v>71.54771293105523</c:v>
                </c:pt>
                <c:pt idx="682">
                  <c:v>71.544870360869666</c:v>
                </c:pt>
                <c:pt idx="683">
                  <c:v>71.542028273150279</c:v>
                </c:pt>
                <c:pt idx="684">
                  <c:v>71.539186667815201</c:v>
                </c:pt>
                <c:pt idx="685">
                  <c:v>71.536345544782549</c:v>
                </c:pt>
                <c:pt idx="686">
                  <c:v>71.533504903970467</c:v>
                </c:pt>
                <c:pt idx="687">
                  <c:v>71.530664745297102</c:v>
                </c:pt>
                <c:pt idx="688">
                  <c:v>71.527825068680627</c:v>
                </c:pt>
                <c:pt idx="689">
                  <c:v>71.524985874039217</c:v>
                </c:pt>
                <c:pt idx="690">
                  <c:v>71.522147161291073</c:v>
                </c:pt>
                <c:pt idx="691">
                  <c:v>71.519308930354399</c:v>
                </c:pt>
                <c:pt idx="692">
                  <c:v>71.516471181147423</c:v>
                </c:pt>
                <c:pt idx="693">
                  <c:v>71.513633913588365</c:v>
                </c:pt>
                <c:pt idx="694">
                  <c:v>71.510797127595509</c:v>
                </c:pt>
                <c:pt idx="695">
                  <c:v>71.507960823087089</c:v>
                </c:pt>
                <c:pt idx="696">
                  <c:v>71.50512499998139</c:v>
                </c:pt>
                <c:pt idx="697">
                  <c:v>71.502289658196716</c:v>
                </c:pt>
                <c:pt idx="698">
                  <c:v>71.499454797651367</c:v>
                </c:pt>
                <c:pt idx="699">
                  <c:v>71.496620418263646</c:v>
                </c:pt>
                <c:pt idx="700">
                  <c:v>71.493786519951911</c:v>
                </c:pt>
                <c:pt idx="701">
                  <c:v>71.490953102634506</c:v>
                </c:pt>
                <c:pt idx="702">
                  <c:v>71.488120166229777</c:v>
                </c:pt>
                <c:pt idx="703">
                  <c:v>71.485287710656095</c:v>
                </c:pt>
                <c:pt idx="704">
                  <c:v>71.482455735831877</c:v>
                </c:pt>
                <c:pt idx="705">
                  <c:v>71.479624241675509</c:v>
                </c:pt>
                <c:pt idx="706">
                  <c:v>71.476793228105407</c:v>
                </c:pt>
                <c:pt idx="707">
                  <c:v>71.473962695040015</c:v>
                </c:pt>
                <c:pt idx="708">
                  <c:v>71.471132642397762</c:v>
                </c:pt>
                <c:pt idx="709">
                  <c:v>71.468303070097107</c:v>
                </c:pt>
                <c:pt idx="710">
                  <c:v>71.465473978056522</c:v>
                </c:pt>
                <c:pt idx="711">
                  <c:v>71.462645366194508</c:v>
                </c:pt>
                <c:pt idx="712">
                  <c:v>71.459817234429551</c:v>
                </c:pt>
                <c:pt idx="713">
                  <c:v>71.456989582680166</c:v>
                </c:pt>
                <c:pt idx="714">
                  <c:v>71.454162410864882</c:v>
                </c:pt>
                <c:pt idx="715">
                  <c:v>71.451335718902243</c:v>
                </c:pt>
                <c:pt idx="716">
                  <c:v>71.448509506710806</c:v>
                </c:pt>
                <c:pt idx="717">
                  <c:v>71.44568377420913</c:v>
                </c:pt>
                <c:pt idx="718">
                  <c:v>71.442858521315799</c:v>
                </c:pt>
                <c:pt idx="719">
                  <c:v>71.440033747949428</c:v>
                </c:pt>
                <c:pt idx="720">
                  <c:v>71.437209454028604</c:v>
                </c:pt>
                <c:pt idx="721">
                  <c:v>71.434385639471969</c:v>
                </c:pt>
                <c:pt idx="722">
                  <c:v>71.431562304198138</c:v>
                </c:pt>
                <c:pt idx="723">
                  <c:v>71.428739448125796</c:v>
                </c:pt>
                <c:pt idx="724">
                  <c:v>71.425917071173586</c:v>
                </c:pt>
                <c:pt idx="725">
                  <c:v>71.42309517326018</c:v>
                </c:pt>
                <c:pt idx="726">
                  <c:v>71.420273754304304</c:v>
                </c:pt>
                <c:pt idx="727">
                  <c:v>71.417452814224617</c:v>
                </c:pt>
                <c:pt idx="728">
                  <c:v>71.41463235293989</c:v>
                </c:pt>
                <c:pt idx="729">
                  <c:v>71.411812370368835</c:v>
                </c:pt>
                <c:pt idx="730">
                  <c:v>71.408992866430197</c:v>
                </c:pt>
                <c:pt idx="731">
                  <c:v>71.40617384104273</c:v>
                </c:pt>
                <c:pt idx="732">
                  <c:v>71.403355294125234</c:v>
                </c:pt>
                <c:pt idx="733">
                  <c:v>71.40053722559648</c:v>
                </c:pt>
                <c:pt idx="734">
                  <c:v>71.397719635375282</c:v>
                </c:pt>
                <c:pt idx="735">
                  <c:v>71.394902523380466</c:v>
                </c:pt>
                <c:pt idx="736">
                  <c:v>71.392085889530833</c:v>
                </c:pt>
                <c:pt idx="737">
                  <c:v>71.389269733745252</c:v>
                </c:pt>
                <c:pt idx="738">
                  <c:v>71.386454055942579</c:v>
                </c:pt>
                <c:pt idx="739">
                  <c:v>71.383638856041671</c:v>
                </c:pt>
                <c:pt idx="740">
                  <c:v>71.38082413396144</c:v>
                </c:pt>
                <c:pt idx="741">
                  <c:v>71.37800988962077</c:v>
                </c:pt>
                <c:pt idx="742">
                  <c:v>71.375196122938576</c:v>
                </c:pt>
                <c:pt idx="743">
                  <c:v>71.372382833833782</c:v>
                </c:pt>
                <c:pt idx="744">
                  <c:v>71.369570022225346</c:v>
                </c:pt>
                <c:pt idx="745">
                  <c:v>71.366757688032195</c:v>
                </c:pt>
                <c:pt idx="746">
                  <c:v>71.363945831173325</c:v>
                </c:pt>
                <c:pt idx="747">
                  <c:v>71.361134451567708</c:v>
                </c:pt>
                <c:pt idx="748">
                  <c:v>71.35832354913434</c:v>
                </c:pt>
                <c:pt idx="749">
                  <c:v>71.355513123792235</c:v>
                </c:pt>
                <c:pt idx="750">
                  <c:v>71.352703175460405</c:v>
                </c:pt>
              </c:numCache>
            </c:numRef>
          </c:yVal>
          <c:smooth val="0"/>
          <c:extLst>
            <c:ext xmlns:c16="http://schemas.microsoft.com/office/drawing/2014/chart" uri="{C3380CC4-5D6E-409C-BE32-E72D297353CC}">
              <c16:uniqueId val="{00000001-D988-4F7B-8CAF-3E43F52E176F}"/>
            </c:ext>
          </c:extLst>
        </c:ser>
        <c:ser>
          <c:idx val="2"/>
          <c:order val="2"/>
          <c:tx>
            <c:strRef>
              <c:f>Sheet1!$F$9</c:f>
              <c:strCache>
                <c:ptCount val="1"/>
                <c:pt idx="0">
                  <c:v>Uncoated NanoTeK</c:v>
                </c:pt>
              </c:strCache>
            </c:strRef>
          </c:tx>
          <c:spPr>
            <a:ln w="19050" cap="rnd">
              <a:solidFill>
                <a:schemeClr val="accent3"/>
              </a:solidFill>
              <a:round/>
            </a:ln>
            <a:effectLst/>
          </c:spPr>
          <c:marker>
            <c:symbol val="none"/>
          </c:marker>
          <c:xVal>
            <c:numRef>
              <c:f>Sheet1!$C$10:$C$760</c:f>
              <c:numCache>
                <c:formatCode>General</c:formatCode>
                <c:ptCount val="751"/>
                <c:pt idx="0">
                  <c:v>0</c:v>
                </c:pt>
                <c:pt idx="1">
                  <c:v>0.08</c:v>
                </c:pt>
                <c:pt idx="2">
                  <c:v>0.16</c:v>
                </c:pt>
                <c:pt idx="3">
                  <c:v>0.24</c:v>
                </c:pt>
                <c:pt idx="4">
                  <c:v>0.32</c:v>
                </c:pt>
                <c:pt idx="5">
                  <c:v>0.4</c:v>
                </c:pt>
                <c:pt idx="6">
                  <c:v>0.48</c:v>
                </c:pt>
                <c:pt idx="7">
                  <c:v>0.56000000000000005</c:v>
                </c:pt>
                <c:pt idx="8">
                  <c:v>0.64</c:v>
                </c:pt>
                <c:pt idx="9">
                  <c:v>0.72</c:v>
                </c:pt>
                <c:pt idx="10">
                  <c:v>0.8</c:v>
                </c:pt>
                <c:pt idx="11">
                  <c:v>0.88</c:v>
                </c:pt>
                <c:pt idx="12">
                  <c:v>0.96</c:v>
                </c:pt>
                <c:pt idx="13">
                  <c:v>1.04</c:v>
                </c:pt>
                <c:pt idx="14">
                  <c:v>1.1200000000000001</c:v>
                </c:pt>
                <c:pt idx="15">
                  <c:v>1.2</c:v>
                </c:pt>
                <c:pt idx="16">
                  <c:v>1.28</c:v>
                </c:pt>
                <c:pt idx="17">
                  <c:v>1.36</c:v>
                </c:pt>
                <c:pt idx="18">
                  <c:v>1.44</c:v>
                </c:pt>
                <c:pt idx="19">
                  <c:v>1.52</c:v>
                </c:pt>
                <c:pt idx="20">
                  <c:v>1.6</c:v>
                </c:pt>
                <c:pt idx="21">
                  <c:v>1.68</c:v>
                </c:pt>
                <c:pt idx="22">
                  <c:v>1.76</c:v>
                </c:pt>
                <c:pt idx="23">
                  <c:v>1.84</c:v>
                </c:pt>
                <c:pt idx="24">
                  <c:v>1.92</c:v>
                </c:pt>
                <c:pt idx="25">
                  <c:v>2</c:v>
                </c:pt>
                <c:pt idx="26">
                  <c:v>2.08</c:v>
                </c:pt>
                <c:pt idx="27">
                  <c:v>2.16</c:v>
                </c:pt>
                <c:pt idx="28">
                  <c:v>2.2400000000000002</c:v>
                </c:pt>
                <c:pt idx="29">
                  <c:v>2.3199999999999998</c:v>
                </c:pt>
                <c:pt idx="30">
                  <c:v>2.4</c:v>
                </c:pt>
                <c:pt idx="31">
                  <c:v>2.48</c:v>
                </c:pt>
                <c:pt idx="32">
                  <c:v>2.56</c:v>
                </c:pt>
                <c:pt idx="33">
                  <c:v>2.64</c:v>
                </c:pt>
                <c:pt idx="34">
                  <c:v>2.72</c:v>
                </c:pt>
                <c:pt idx="35">
                  <c:v>2.8</c:v>
                </c:pt>
                <c:pt idx="36">
                  <c:v>2.88</c:v>
                </c:pt>
                <c:pt idx="37">
                  <c:v>2.96</c:v>
                </c:pt>
                <c:pt idx="38">
                  <c:v>3.04</c:v>
                </c:pt>
                <c:pt idx="39">
                  <c:v>3.12</c:v>
                </c:pt>
                <c:pt idx="40">
                  <c:v>3.2</c:v>
                </c:pt>
                <c:pt idx="41">
                  <c:v>3.28</c:v>
                </c:pt>
                <c:pt idx="42">
                  <c:v>3.36</c:v>
                </c:pt>
                <c:pt idx="43">
                  <c:v>3.44</c:v>
                </c:pt>
                <c:pt idx="44">
                  <c:v>3.52</c:v>
                </c:pt>
                <c:pt idx="45">
                  <c:v>3.6</c:v>
                </c:pt>
                <c:pt idx="46">
                  <c:v>3.68</c:v>
                </c:pt>
                <c:pt idx="47">
                  <c:v>3.76</c:v>
                </c:pt>
                <c:pt idx="48">
                  <c:v>3.84</c:v>
                </c:pt>
                <c:pt idx="49">
                  <c:v>3.92</c:v>
                </c:pt>
                <c:pt idx="50">
                  <c:v>4</c:v>
                </c:pt>
                <c:pt idx="51">
                  <c:v>4.08</c:v>
                </c:pt>
                <c:pt idx="52">
                  <c:v>4.16</c:v>
                </c:pt>
                <c:pt idx="53">
                  <c:v>4.24</c:v>
                </c:pt>
                <c:pt idx="54">
                  <c:v>4.32</c:v>
                </c:pt>
                <c:pt idx="55">
                  <c:v>4.4000000000000004</c:v>
                </c:pt>
                <c:pt idx="56">
                  <c:v>4.4800000000000004</c:v>
                </c:pt>
                <c:pt idx="57">
                  <c:v>4.5599999999999996</c:v>
                </c:pt>
                <c:pt idx="58">
                  <c:v>4.6399999999999997</c:v>
                </c:pt>
                <c:pt idx="59">
                  <c:v>4.72</c:v>
                </c:pt>
                <c:pt idx="60">
                  <c:v>4.8</c:v>
                </c:pt>
                <c:pt idx="61">
                  <c:v>4.88</c:v>
                </c:pt>
                <c:pt idx="62">
                  <c:v>4.96</c:v>
                </c:pt>
                <c:pt idx="63">
                  <c:v>5.04</c:v>
                </c:pt>
                <c:pt idx="64">
                  <c:v>5.12</c:v>
                </c:pt>
                <c:pt idx="65">
                  <c:v>5.2</c:v>
                </c:pt>
                <c:pt idx="66">
                  <c:v>5.28</c:v>
                </c:pt>
                <c:pt idx="67">
                  <c:v>5.36</c:v>
                </c:pt>
                <c:pt idx="68">
                  <c:v>5.44</c:v>
                </c:pt>
                <c:pt idx="69">
                  <c:v>5.52</c:v>
                </c:pt>
                <c:pt idx="70">
                  <c:v>5.6</c:v>
                </c:pt>
                <c:pt idx="71">
                  <c:v>5.68</c:v>
                </c:pt>
                <c:pt idx="72">
                  <c:v>5.76</c:v>
                </c:pt>
                <c:pt idx="73">
                  <c:v>5.84</c:v>
                </c:pt>
                <c:pt idx="74">
                  <c:v>5.92</c:v>
                </c:pt>
                <c:pt idx="75">
                  <c:v>6</c:v>
                </c:pt>
                <c:pt idx="76">
                  <c:v>6.08</c:v>
                </c:pt>
                <c:pt idx="77">
                  <c:v>6.16</c:v>
                </c:pt>
                <c:pt idx="78">
                  <c:v>6.24</c:v>
                </c:pt>
                <c:pt idx="79">
                  <c:v>6.32</c:v>
                </c:pt>
                <c:pt idx="80">
                  <c:v>6.4</c:v>
                </c:pt>
                <c:pt idx="81">
                  <c:v>6.48</c:v>
                </c:pt>
                <c:pt idx="82">
                  <c:v>6.56</c:v>
                </c:pt>
                <c:pt idx="83">
                  <c:v>6.64</c:v>
                </c:pt>
                <c:pt idx="84">
                  <c:v>6.72</c:v>
                </c:pt>
                <c:pt idx="85">
                  <c:v>6.8</c:v>
                </c:pt>
                <c:pt idx="86">
                  <c:v>6.88</c:v>
                </c:pt>
                <c:pt idx="87">
                  <c:v>6.96</c:v>
                </c:pt>
                <c:pt idx="88">
                  <c:v>7.04</c:v>
                </c:pt>
                <c:pt idx="89">
                  <c:v>7.12</c:v>
                </c:pt>
                <c:pt idx="90">
                  <c:v>7.2</c:v>
                </c:pt>
                <c:pt idx="91">
                  <c:v>7.28</c:v>
                </c:pt>
                <c:pt idx="92">
                  <c:v>7.36</c:v>
                </c:pt>
                <c:pt idx="93">
                  <c:v>7.44</c:v>
                </c:pt>
                <c:pt idx="94">
                  <c:v>7.52</c:v>
                </c:pt>
                <c:pt idx="95">
                  <c:v>7.6</c:v>
                </c:pt>
                <c:pt idx="96">
                  <c:v>7.68</c:v>
                </c:pt>
                <c:pt idx="97">
                  <c:v>7.76</c:v>
                </c:pt>
                <c:pt idx="98">
                  <c:v>7.84</c:v>
                </c:pt>
                <c:pt idx="99">
                  <c:v>7.92</c:v>
                </c:pt>
                <c:pt idx="100">
                  <c:v>8</c:v>
                </c:pt>
                <c:pt idx="101">
                  <c:v>8.08</c:v>
                </c:pt>
                <c:pt idx="102">
                  <c:v>8.16</c:v>
                </c:pt>
                <c:pt idx="103">
                  <c:v>8.24</c:v>
                </c:pt>
                <c:pt idx="104">
                  <c:v>8.32</c:v>
                </c:pt>
                <c:pt idx="105">
                  <c:v>8.4</c:v>
                </c:pt>
                <c:pt idx="106">
                  <c:v>8.48</c:v>
                </c:pt>
                <c:pt idx="107">
                  <c:v>8.56</c:v>
                </c:pt>
                <c:pt idx="108">
                  <c:v>8.64</c:v>
                </c:pt>
                <c:pt idx="109">
                  <c:v>8.7200000000000006</c:v>
                </c:pt>
                <c:pt idx="110">
                  <c:v>8.8000000000000007</c:v>
                </c:pt>
                <c:pt idx="111">
                  <c:v>8.8800000000000008</c:v>
                </c:pt>
                <c:pt idx="112">
                  <c:v>8.9600000000000009</c:v>
                </c:pt>
                <c:pt idx="113">
                  <c:v>9.0399999999999991</c:v>
                </c:pt>
                <c:pt idx="114">
                  <c:v>9.1199999999999992</c:v>
                </c:pt>
                <c:pt idx="115">
                  <c:v>9.1999999999999993</c:v>
                </c:pt>
                <c:pt idx="116">
                  <c:v>9.2799999999999994</c:v>
                </c:pt>
                <c:pt idx="117">
                  <c:v>9.36</c:v>
                </c:pt>
                <c:pt idx="118">
                  <c:v>9.44</c:v>
                </c:pt>
                <c:pt idx="119">
                  <c:v>9.52</c:v>
                </c:pt>
                <c:pt idx="120">
                  <c:v>9.6</c:v>
                </c:pt>
                <c:pt idx="121">
                  <c:v>9.68</c:v>
                </c:pt>
                <c:pt idx="122">
                  <c:v>9.76</c:v>
                </c:pt>
                <c:pt idx="123">
                  <c:v>9.84</c:v>
                </c:pt>
                <c:pt idx="124">
                  <c:v>9.92</c:v>
                </c:pt>
                <c:pt idx="125">
                  <c:v>10</c:v>
                </c:pt>
                <c:pt idx="126">
                  <c:v>10.08</c:v>
                </c:pt>
                <c:pt idx="127">
                  <c:v>10.16</c:v>
                </c:pt>
                <c:pt idx="128">
                  <c:v>10.24</c:v>
                </c:pt>
                <c:pt idx="129">
                  <c:v>10.32</c:v>
                </c:pt>
                <c:pt idx="130">
                  <c:v>10.4</c:v>
                </c:pt>
                <c:pt idx="131">
                  <c:v>10.48</c:v>
                </c:pt>
                <c:pt idx="132">
                  <c:v>10.56</c:v>
                </c:pt>
                <c:pt idx="133">
                  <c:v>10.64</c:v>
                </c:pt>
                <c:pt idx="134">
                  <c:v>10.72</c:v>
                </c:pt>
                <c:pt idx="135">
                  <c:v>10.8</c:v>
                </c:pt>
                <c:pt idx="136">
                  <c:v>10.88</c:v>
                </c:pt>
                <c:pt idx="137">
                  <c:v>10.96</c:v>
                </c:pt>
                <c:pt idx="138">
                  <c:v>11.04</c:v>
                </c:pt>
                <c:pt idx="139">
                  <c:v>11.12</c:v>
                </c:pt>
                <c:pt idx="140">
                  <c:v>11.2</c:v>
                </c:pt>
                <c:pt idx="141">
                  <c:v>11.28</c:v>
                </c:pt>
                <c:pt idx="142">
                  <c:v>11.36</c:v>
                </c:pt>
                <c:pt idx="143">
                  <c:v>11.44</c:v>
                </c:pt>
                <c:pt idx="144">
                  <c:v>11.52</c:v>
                </c:pt>
                <c:pt idx="145">
                  <c:v>11.6</c:v>
                </c:pt>
                <c:pt idx="146">
                  <c:v>11.68</c:v>
                </c:pt>
                <c:pt idx="147">
                  <c:v>11.76</c:v>
                </c:pt>
                <c:pt idx="148">
                  <c:v>11.84</c:v>
                </c:pt>
                <c:pt idx="149">
                  <c:v>11.92</c:v>
                </c:pt>
                <c:pt idx="150">
                  <c:v>12</c:v>
                </c:pt>
                <c:pt idx="151">
                  <c:v>12.08</c:v>
                </c:pt>
                <c:pt idx="152">
                  <c:v>12.16</c:v>
                </c:pt>
                <c:pt idx="153">
                  <c:v>12.24</c:v>
                </c:pt>
                <c:pt idx="154">
                  <c:v>12.32</c:v>
                </c:pt>
                <c:pt idx="155">
                  <c:v>12.4</c:v>
                </c:pt>
                <c:pt idx="156">
                  <c:v>12.48</c:v>
                </c:pt>
                <c:pt idx="157">
                  <c:v>12.56</c:v>
                </c:pt>
                <c:pt idx="158">
                  <c:v>12.64</c:v>
                </c:pt>
                <c:pt idx="159">
                  <c:v>12.72</c:v>
                </c:pt>
                <c:pt idx="160">
                  <c:v>12.8</c:v>
                </c:pt>
                <c:pt idx="161">
                  <c:v>12.88</c:v>
                </c:pt>
                <c:pt idx="162">
                  <c:v>12.96</c:v>
                </c:pt>
                <c:pt idx="163">
                  <c:v>13.04</c:v>
                </c:pt>
                <c:pt idx="164">
                  <c:v>13.12</c:v>
                </c:pt>
                <c:pt idx="165">
                  <c:v>13.2</c:v>
                </c:pt>
                <c:pt idx="166">
                  <c:v>13.28</c:v>
                </c:pt>
                <c:pt idx="167">
                  <c:v>13.36</c:v>
                </c:pt>
                <c:pt idx="168">
                  <c:v>13.44</c:v>
                </c:pt>
                <c:pt idx="169">
                  <c:v>13.52</c:v>
                </c:pt>
                <c:pt idx="170">
                  <c:v>13.6</c:v>
                </c:pt>
                <c:pt idx="171">
                  <c:v>13.68</c:v>
                </c:pt>
                <c:pt idx="172">
                  <c:v>13.76</c:v>
                </c:pt>
                <c:pt idx="173">
                  <c:v>13.84</c:v>
                </c:pt>
                <c:pt idx="174">
                  <c:v>13.92</c:v>
                </c:pt>
                <c:pt idx="175">
                  <c:v>14</c:v>
                </c:pt>
                <c:pt idx="176">
                  <c:v>14.08</c:v>
                </c:pt>
                <c:pt idx="177">
                  <c:v>14.16</c:v>
                </c:pt>
                <c:pt idx="178">
                  <c:v>14.24</c:v>
                </c:pt>
                <c:pt idx="179">
                  <c:v>14.32</c:v>
                </c:pt>
                <c:pt idx="180">
                  <c:v>14.4</c:v>
                </c:pt>
                <c:pt idx="181">
                  <c:v>14.48</c:v>
                </c:pt>
                <c:pt idx="182">
                  <c:v>14.56</c:v>
                </c:pt>
                <c:pt idx="183">
                  <c:v>14.64</c:v>
                </c:pt>
                <c:pt idx="184">
                  <c:v>14.72</c:v>
                </c:pt>
                <c:pt idx="185">
                  <c:v>14.8</c:v>
                </c:pt>
                <c:pt idx="186">
                  <c:v>14.88</c:v>
                </c:pt>
                <c:pt idx="187">
                  <c:v>14.96</c:v>
                </c:pt>
                <c:pt idx="188">
                  <c:v>15.04</c:v>
                </c:pt>
                <c:pt idx="189">
                  <c:v>15.12</c:v>
                </c:pt>
                <c:pt idx="190">
                  <c:v>15.2</c:v>
                </c:pt>
                <c:pt idx="191">
                  <c:v>15.28</c:v>
                </c:pt>
                <c:pt idx="192">
                  <c:v>15.36</c:v>
                </c:pt>
                <c:pt idx="193">
                  <c:v>15.44</c:v>
                </c:pt>
                <c:pt idx="194">
                  <c:v>15.52</c:v>
                </c:pt>
                <c:pt idx="195">
                  <c:v>15.6</c:v>
                </c:pt>
                <c:pt idx="196">
                  <c:v>15.68</c:v>
                </c:pt>
                <c:pt idx="197">
                  <c:v>15.76</c:v>
                </c:pt>
                <c:pt idx="198">
                  <c:v>15.84</c:v>
                </c:pt>
                <c:pt idx="199">
                  <c:v>15.92</c:v>
                </c:pt>
                <c:pt idx="200">
                  <c:v>16</c:v>
                </c:pt>
                <c:pt idx="201">
                  <c:v>16.079999999999998</c:v>
                </c:pt>
                <c:pt idx="202">
                  <c:v>16.16</c:v>
                </c:pt>
                <c:pt idx="203">
                  <c:v>16.239999999999998</c:v>
                </c:pt>
                <c:pt idx="204">
                  <c:v>16.32</c:v>
                </c:pt>
                <c:pt idx="205">
                  <c:v>16.399999999999999</c:v>
                </c:pt>
                <c:pt idx="206">
                  <c:v>16.48</c:v>
                </c:pt>
                <c:pt idx="207">
                  <c:v>16.559999999999999</c:v>
                </c:pt>
                <c:pt idx="208">
                  <c:v>16.64</c:v>
                </c:pt>
                <c:pt idx="209">
                  <c:v>16.72</c:v>
                </c:pt>
                <c:pt idx="210">
                  <c:v>16.8</c:v>
                </c:pt>
                <c:pt idx="211">
                  <c:v>16.88</c:v>
                </c:pt>
                <c:pt idx="212">
                  <c:v>16.96</c:v>
                </c:pt>
                <c:pt idx="213">
                  <c:v>17.04</c:v>
                </c:pt>
                <c:pt idx="214">
                  <c:v>17.12</c:v>
                </c:pt>
                <c:pt idx="215">
                  <c:v>17.2</c:v>
                </c:pt>
                <c:pt idx="216">
                  <c:v>17.28</c:v>
                </c:pt>
                <c:pt idx="217">
                  <c:v>17.36</c:v>
                </c:pt>
                <c:pt idx="218">
                  <c:v>17.440000000000001</c:v>
                </c:pt>
                <c:pt idx="219">
                  <c:v>17.52</c:v>
                </c:pt>
                <c:pt idx="220">
                  <c:v>17.600000000000001</c:v>
                </c:pt>
                <c:pt idx="221">
                  <c:v>17.68</c:v>
                </c:pt>
                <c:pt idx="222">
                  <c:v>17.760000000000002</c:v>
                </c:pt>
                <c:pt idx="223">
                  <c:v>17.84</c:v>
                </c:pt>
                <c:pt idx="224">
                  <c:v>17.920000000000002</c:v>
                </c:pt>
                <c:pt idx="225">
                  <c:v>18</c:v>
                </c:pt>
                <c:pt idx="226">
                  <c:v>18.079999999999998</c:v>
                </c:pt>
                <c:pt idx="227">
                  <c:v>18.16</c:v>
                </c:pt>
                <c:pt idx="228">
                  <c:v>18.239999999999998</c:v>
                </c:pt>
                <c:pt idx="229">
                  <c:v>18.32</c:v>
                </c:pt>
                <c:pt idx="230">
                  <c:v>18.399999999999999</c:v>
                </c:pt>
                <c:pt idx="231">
                  <c:v>18.48</c:v>
                </c:pt>
                <c:pt idx="232">
                  <c:v>18.559999999999999</c:v>
                </c:pt>
                <c:pt idx="233">
                  <c:v>18.64</c:v>
                </c:pt>
                <c:pt idx="234">
                  <c:v>18.72</c:v>
                </c:pt>
                <c:pt idx="235">
                  <c:v>18.8</c:v>
                </c:pt>
                <c:pt idx="236">
                  <c:v>18.88</c:v>
                </c:pt>
                <c:pt idx="237">
                  <c:v>18.96</c:v>
                </c:pt>
                <c:pt idx="238">
                  <c:v>19.04</c:v>
                </c:pt>
                <c:pt idx="239">
                  <c:v>19.12</c:v>
                </c:pt>
                <c:pt idx="240">
                  <c:v>19.2</c:v>
                </c:pt>
                <c:pt idx="241">
                  <c:v>19.28</c:v>
                </c:pt>
                <c:pt idx="242">
                  <c:v>19.36</c:v>
                </c:pt>
                <c:pt idx="243">
                  <c:v>19.440000000000001</c:v>
                </c:pt>
                <c:pt idx="244">
                  <c:v>19.52</c:v>
                </c:pt>
                <c:pt idx="245">
                  <c:v>19.600000000000001</c:v>
                </c:pt>
                <c:pt idx="246">
                  <c:v>19.68</c:v>
                </c:pt>
                <c:pt idx="247">
                  <c:v>19.760000000000002</c:v>
                </c:pt>
                <c:pt idx="248">
                  <c:v>19.84</c:v>
                </c:pt>
                <c:pt idx="249">
                  <c:v>19.920000000000002</c:v>
                </c:pt>
                <c:pt idx="250">
                  <c:v>20</c:v>
                </c:pt>
                <c:pt idx="251">
                  <c:v>20.079999999999998</c:v>
                </c:pt>
                <c:pt idx="252">
                  <c:v>20.16</c:v>
                </c:pt>
                <c:pt idx="253">
                  <c:v>20.239999999999998</c:v>
                </c:pt>
                <c:pt idx="254">
                  <c:v>20.32</c:v>
                </c:pt>
                <c:pt idx="255">
                  <c:v>20.399999999999999</c:v>
                </c:pt>
                <c:pt idx="256">
                  <c:v>20.48</c:v>
                </c:pt>
                <c:pt idx="257">
                  <c:v>20.56</c:v>
                </c:pt>
                <c:pt idx="258">
                  <c:v>20.64</c:v>
                </c:pt>
                <c:pt idx="259">
                  <c:v>20.72</c:v>
                </c:pt>
                <c:pt idx="260">
                  <c:v>20.8</c:v>
                </c:pt>
                <c:pt idx="261">
                  <c:v>20.88</c:v>
                </c:pt>
                <c:pt idx="262">
                  <c:v>20.96</c:v>
                </c:pt>
                <c:pt idx="263">
                  <c:v>21.04</c:v>
                </c:pt>
                <c:pt idx="264">
                  <c:v>21.12</c:v>
                </c:pt>
                <c:pt idx="265">
                  <c:v>21.2</c:v>
                </c:pt>
                <c:pt idx="266">
                  <c:v>21.28</c:v>
                </c:pt>
                <c:pt idx="267">
                  <c:v>21.36</c:v>
                </c:pt>
                <c:pt idx="268">
                  <c:v>21.44</c:v>
                </c:pt>
                <c:pt idx="269">
                  <c:v>21.52</c:v>
                </c:pt>
                <c:pt idx="270">
                  <c:v>21.6</c:v>
                </c:pt>
                <c:pt idx="271">
                  <c:v>21.68</c:v>
                </c:pt>
                <c:pt idx="272">
                  <c:v>21.76</c:v>
                </c:pt>
                <c:pt idx="273">
                  <c:v>21.84</c:v>
                </c:pt>
                <c:pt idx="274">
                  <c:v>21.92</c:v>
                </c:pt>
                <c:pt idx="275">
                  <c:v>22</c:v>
                </c:pt>
                <c:pt idx="276">
                  <c:v>22.08</c:v>
                </c:pt>
                <c:pt idx="277">
                  <c:v>22.16</c:v>
                </c:pt>
                <c:pt idx="278">
                  <c:v>22.24</c:v>
                </c:pt>
                <c:pt idx="279">
                  <c:v>22.32</c:v>
                </c:pt>
                <c:pt idx="280">
                  <c:v>22.4</c:v>
                </c:pt>
                <c:pt idx="281">
                  <c:v>22.48</c:v>
                </c:pt>
                <c:pt idx="282">
                  <c:v>22.56</c:v>
                </c:pt>
                <c:pt idx="283">
                  <c:v>22.64</c:v>
                </c:pt>
                <c:pt idx="284">
                  <c:v>22.72</c:v>
                </c:pt>
                <c:pt idx="285">
                  <c:v>22.8</c:v>
                </c:pt>
                <c:pt idx="286">
                  <c:v>22.88</c:v>
                </c:pt>
                <c:pt idx="287">
                  <c:v>22.96</c:v>
                </c:pt>
                <c:pt idx="288">
                  <c:v>23.04</c:v>
                </c:pt>
                <c:pt idx="289">
                  <c:v>23.12</c:v>
                </c:pt>
                <c:pt idx="290">
                  <c:v>23.2</c:v>
                </c:pt>
                <c:pt idx="291">
                  <c:v>23.28</c:v>
                </c:pt>
                <c:pt idx="292">
                  <c:v>23.36</c:v>
                </c:pt>
                <c:pt idx="293">
                  <c:v>23.44</c:v>
                </c:pt>
                <c:pt idx="294">
                  <c:v>23.52</c:v>
                </c:pt>
                <c:pt idx="295">
                  <c:v>23.6</c:v>
                </c:pt>
                <c:pt idx="296">
                  <c:v>23.68</c:v>
                </c:pt>
                <c:pt idx="297">
                  <c:v>23.76</c:v>
                </c:pt>
                <c:pt idx="298">
                  <c:v>23.84</c:v>
                </c:pt>
                <c:pt idx="299">
                  <c:v>23.92</c:v>
                </c:pt>
                <c:pt idx="300">
                  <c:v>24</c:v>
                </c:pt>
                <c:pt idx="301">
                  <c:v>24.08</c:v>
                </c:pt>
                <c:pt idx="302">
                  <c:v>24.16</c:v>
                </c:pt>
                <c:pt idx="303">
                  <c:v>24.24</c:v>
                </c:pt>
                <c:pt idx="304">
                  <c:v>24.32</c:v>
                </c:pt>
                <c:pt idx="305">
                  <c:v>24.4</c:v>
                </c:pt>
                <c:pt idx="306">
                  <c:v>24.48</c:v>
                </c:pt>
                <c:pt idx="307">
                  <c:v>24.56</c:v>
                </c:pt>
                <c:pt idx="308">
                  <c:v>24.64</c:v>
                </c:pt>
                <c:pt idx="309">
                  <c:v>24.72</c:v>
                </c:pt>
                <c:pt idx="310">
                  <c:v>24.8</c:v>
                </c:pt>
                <c:pt idx="311">
                  <c:v>24.88</c:v>
                </c:pt>
                <c:pt idx="312">
                  <c:v>24.96</c:v>
                </c:pt>
                <c:pt idx="313">
                  <c:v>25.04</c:v>
                </c:pt>
                <c:pt idx="314">
                  <c:v>25.12</c:v>
                </c:pt>
                <c:pt idx="315">
                  <c:v>25.2</c:v>
                </c:pt>
                <c:pt idx="316">
                  <c:v>25.28</c:v>
                </c:pt>
                <c:pt idx="317">
                  <c:v>25.36</c:v>
                </c:pt>
                <c:pt idx="318">
                  <c:v>25.44</c:v>
                </c:pt>
                <c:pt idx="319">
                  <c:v>25.52</c:v>
                </c:pt>
                <c:pt idx="320">
                  <c:v>25.6</c:v>
                </c:pt>
                <c:pt idx="321">
                  <c:v>25.68</c:v>
                </c:pt>
                <c:pt idx="322">
                  <c:v>25.76</c:v>
                </c:pt>
                <c:pt idx="323">
                  <c:v>25.84</c:v>
                </c:pt>
                <c:pt idx="324">
                  <c:v>25.92</c:v>
                </c:pt>
                <c:pt idx="325">
                  <c:v>26</c:v>
                </c:pt>
                <c:pt idx="326">
                  <c:v>26.08</c:v>
                </c:pt>
                <c:pt idx="327">
                  <c:v>26.16</c:v>
                </c:pt>
                <c:pt idx="328">
                  <c:v>26.24</c:v>
                </c:pt>
                <c:pt idx="329">
                  <c:v>26.32</c:v>
                </c:pt>
                <c:pt idx="330">
                  <c:v>26.4</c:v>
                </c:pt>
                <c:pt idx="331">
                  <c:v>26.48</c:v>
                </c:pt>
                <c:pt idx="332">
                  <c:v>26.56</c:v>
                </c:pt>
                <c:pt idx="333">
                  <c:v>26.64</c:v>
                </c:pt>
                <c:pt idx="334">
                  <c:v>26.72</c:v>
                </c:pt>
                <c:pt idx="335">
                  <c:v>26.8</c:v>
                </c:pt>
                <c:pt idx="336">
                  <c:v>26.88</c:v>
                </c:pt>
                <c:pt idx="337">
                  <c:v>26.96</c:v>
                </c:pt>
                <c:pt idx="338">
                  <c:v>27.04</c:v>
                </c:pt>
                <c:pt idx="339">
                  <c:v>27.12</c:v>
                </c:pt>
                <c:pt idx="340">
                  <c:v>27.2</c:v>
                </c:pt>
                <c:pt idx="341">
                  <c:v>27.28</c:v>
                </c:pt>
                <c:pt idx="342">
                  <c:v>27.36</c:v>
                </c:pt>
                <c:pt idx="343">
                  <c:v>27.44</c:v>
                </c:pt>
                <c:pt idx="344">
                  <c:v>27.52</c:v>
                </c:pt>
                <c:pt idx="345">
                  <c:v>27.6</c:v>
                </c:pt>
                <c:pt idx="346">
                  <c:v>27.68</c:v>
                </c:pt>
                <c:pt idx="347">
                  <c:v>27.76</c:v>
                </c:pt>
                <c:pt idx="348">
                  <c:v>27.84</c:v>
                </c:pt>
                <c:pt idx="349">
                  <c:v>27.92</c:v>
                </c:pt>
                <c:pt idx="350">
                  <c:v>28</c:v>
                </c:pt>
                <c:pt idx="351">
                  <c:v>28.08</c:v>
                </c:pt>
                <c:pt idx="352">
                  <c:v>28.16</c:v>
                </c:pt>
                <c:pt idx="353">
                  <c:v>28.24</c:v>
                </c:pt>
                <c:pt idx="354">
                  <c:v>28.32</c:v>
                </c:pt>
                <c:pt idx="355">
                  <c:v>28.4</c:v>
                </c:pt>
                <c:pt idx="356">
                  <c:v>28.48</c:v>
                </c:pt>
                <c:pt idx="357">
                  <c:v>28.56</c:v>
                </c:pt>
                <c:pt idx="358">
                  <c:v>28.64</c:v>
                </c:pt>
                <c:pt idx="359">
                  <c:v>28.72</c:v>
                </c:pt>
                <c:pt idx="360">
                  <c:v>28.8</c:v>
                </c:pt>
                <c:pt idx="361">
                  <c:v>28.88</c:v>
                </c:pt>
                <c:pt idx="362">
                  <c:v>28.96</c:v>
                </c:pt>
                <c:pt idx="363">
                  <c:v>29.04</c:v>
                </c:pt>
                <c:pt idx="364">
                  <c:v>29.12</c:v>
                </c:pt>
                <c:pt idx="365">
                  <c:v>29.2</c:v>
                </c:pt>
                <c:pt idx="366">
                  <c:v>29.28</c:v>
                </c:pt>
                <c:pt idx="367">
                  <c:v>29.36</c:v>
                </c:pt>
                <c:pt idx="368">
                  <c:v>29.44</c:v>
                </c:pt>
                <c:pt idx="369">
                  <c:v>29.52</c:v>
                </c:pt>
                <c:pt idx="370">
                  <c:v>29.6</c:v>
                </c:pt>
                <c:pt idx="371">
                  <c:v>29.68</c:v>
                </c:pt>
                <c:pt idx="372">
                  <c:v>29.76</c:v>
                </c:pt>
                <c:pt idx="373">
                  <c:v>29.84</c:v>
                </c:pt>
                <c:pt idx="374">
                  <c:v>29.92</c:v>
                </c:pt>
                <c:pt idx="375">
                  <c:v>30</c:v>
                </c:pt>
                <c:pt idx="376">
                  <c:v>30.08</c:v>
                </c:pt>
                <c:pt idx="377">
                  <c:v>30.16</c:v>
                </c:pt>
                <c:pt idx="378">
                  <c:v>30.24</c:v>
                </c:pt>
                <c:pt idx="379">
                  <c:v>30.32</c:v>
                </c:pt>
                <c:pt idx="380">
                  <c:v>30.4</c:v>
                </c:pt>
                <c:pt idx="381">
                  <c:v>30.48</c:v>
                </c:pt>
                <c:pt idx="382">
                  <c:v>30.56</c:v>
                </c:pt>
                <c:pt idx="383">
                  <c:v>30.64</c:v>
                </c:pt>
                <c:pt idx="384">
                  <c:v>30.72</c:v>
                </c:pt>
                <c:pt idx="385">
                  <c:v>30.8</c:v>
                </c:pt>
                <c:pt idx="386">
                  <c:v>30.88</c:v>
                </c:pt>
                <c:pt idx="387">
                  <c:v>30.96</c:v>
                </c:pt>
                <c:pt idx="388">
                  <c:v>31.04</c:v>
                </c:pt>
                <c:pt idx="389">
                  <c:v>31.12</c:v>
                </c:pt>
                <c:pt idx="390">
                  <c:v>31.2</c:v>
                </c:pt>
                <c:pt idx="391">
                  <c:v>31.28</c:v>
                </c:pt>
                <c:pt idx="392">
                  <c:v>31.36</c:v>
                </c:pt>
                <c:pt idx="393">
                  <c:v>31.44</c:v>
                </c:pt>
                <c:pt idx="394">
                  <c:v>31.52</c:v>
                </c:pt>
                <c:pt idx="395">
                  <c:v>31.6</c:v>
                </c:pt>
                <c:pt idx="396">
                  <c:v>31.68</c:v>
                </c:pt>
                <c:pt idx="397">
                  <c:v>31.76</c:v>
                </c:pt>
                <c:pt idx="398">
                  <c:v>31.84</c:v>
                </c:pt>
                <c:pt idx="399">
                  <c:v>31.92</c:v>
                </c:pt>
                <c:pt idx="400">
                  <c:v>32</c:v>
                </c:pt>
                <c:pt idx="401">
                  <c:v>32.08</c:v>
                </c:pt>
                <c:pt idx="402">
                  <c:v>32.159999999999997</c:v>
                </c:pt>
                <c:pt idx="403">
                  <c:v>32.24</c:v>
                </c:pt>
                <c:pt idx="404">
                  <c:v>32.32</c:v>
                </c:pt>
                <c:pt idx="405">
                  <c:v>32.4</c:v>
                </c:pt>
                <c:pt idx="406">
                  <c:v>32.479999999999997</c:v>
                </c:pt>
                <c:pt idx="407">
                  <c:v>32.56</c:v>
                </c:pt>
                <c:pt idx="408">
                  <c:v>32.64</c:v>
                </c:pt>
                <c:pt idx="409">
                  <c:v>32.72</c:v>
                </c:pt>
                <c:pt idx="410">
                  <c:v>32.799999999999997</c:v>
                </c:pt>
                <c:pt idx="411">
                  <c:v>32.880000000000003</c:v>
                </c:pt>
                <c:pt idx="412">
                  <c:v>32.96</c:v>
                </c:pt>
                <c:pt idx="413">
                  <c:v>33.04</c:v>
                </c:pt>
                <c:pt idx="414">
                  <c:v>33.119999999999997</c:v>
                </c:pt>
                <c:pt idx="415">
                  <c:v>33.200000000000003</c:v>
                </c:pt>
                <c:pt idx="416">
                  <c:v>33.28</c:v>
                </c:pt>
                <c:pt idx="417">
                  <c:v>33.36</c:v>
                </c:pt>
                <c:pt idx="418">
                  <c:v>33.44</c:v>
                </c:pt>
                <c:pt idx="419">
                  <c:v>33.520000000000003</c:v>
                </c:pt>
                <c:pt idx="420">
                  <c:v>33.6</c:v>
                </c:pt>
                <c:pt idx="421">
                  <c:v>33.68</c:v>
                </c:pt>
                <c:pt idx="422">
                  <c:v>33.76</c:v>
                </c:pt>
                <c:pt idx="423">
                  <c:v>33.840000000000003</c:v>
                </c:pt>
                <c:pt idx="424">
                  <c:v>33.92</c:v>
                </c:pt>
                <c:pt idx="425">
                  <c:v>34</c:v>
                </c:pt>
                <c:pt idx="426">
                  <c:v>34.08</c:v>
                </c:pt>
                <c:pt idx="427">
                  <c:v>34.159999999999997</c:v>
                </c:pt>
                <c:pt idx="428">
                  <c:v>34.24</c:v>
                </c:pt>
                <c:pt idx="429">
                  <c:v>34.32</c:v>
                </c:pt>
                <c:pt idx="430">
                  <c:v>34.4</c:v>
                </c:pt>
                <c:pt idx="431">
                  <c:v>34.479999999999997</c:v>
                </c:pt>
                <c:pt idx="432">
                  <c:v>34.56</c:v>
                </c:pt>
                <c:pt idx="433">
                  <c:v>34.64</c:v>
                </c:pt>
                <c:pt idx="434">
                  <c:v>34.72</c:v>
                </c:pt>
                <c:pt idx="435">
                  <c:v>34.799999999999997</c:v>
                </c:pt>
                <c:pt idx="436">
                  <c:v>34.880000000000003</c:v>
                </c:pt>
                <c:pt idx="437">
                  <c:v>34.96</c:v>
                </c:pt>
                <c:pt idx="438">
                  <c:v>35.04</c:v>
                </c:pt>
                <c:pt idx="439">
                  <c:v>35.119999999999997</c:v>
                </c:pt>
                <c:pt idx="440">
                  <c:v>35.200000000000003</c:v>
                </c:pt>
                <c:pt idx="441">
                  <c:v>35.28</c:v>
                </c:pt>
                <c:pt idx="442">
                  <c:v>35.36</c:v>
                </c:pt>
                <c:pt idx="443">
                  <c:v>35.44</c:v>
                </c:pt>
                <c:pt idx="444">
                  <c:v>35.520000000000003</c:v>
                </c:pt>
                <c:pt idx="445">
                  <c:v>35.6</c:v>
                </c:pt>
                <c:pt idx="446">
                  <c:v>35.68</c:v>
                </c:pt>
                <c:pt idx="447">
                  <c:v>35.76</c:v>
                </c:pt>
                <c:pt idx="448">
                  <c:v>35.840000000000003</c:v>
                </c:pt>
                <c:pt idx="449">
                  <c:v>35.92</c:v>
                </c:pt>
                <c:pt idx="450">
                  <c:v>36</c:v>
                </c:pt>
                <c:pt idx="451">
                  <c:v>36.08</c:v>
                </c:pt>
                <c:pt idx="452">
                  <c:v>36.159999999999997</c:v>
                </c:pt>
                <c:pt idx="453">
                  <c:v>36.24</c:v>
                </c:pt>
                <c:pt idx="454">
                  <c:v>36.32</c:v>
                </c:pt>
                <c:pt idx="455">
                  <c:v>36.4</c:v>
                </c:pt>
                <c:pt idx="456">
                  <c:v>36.479999999999997</c:v>
                </c:pt>
                <c:pt idx="457">
                  <c:v>36.56</c:v>
                </c:pt>
                <c:pt idx="458">
                  <c:v>36.64</c:v>
                </c:pt>
                <c:pt idx="459">
                  <c:v>36.72</c:v>
                </c:pt>
                <c:pt idx="460">
                  <c:v>36.799999999999997</c:v>
                </c:pt>
                <c:pt idx="461">
                  <c:v>36.880000000000003</c:v>
                </c:pt>
                <c:pt idx="462">
                  <c:v>36.96</c:v>
                </c:pt>
                <c:pt idx="463">
                  <c:v>37.04</c:v>
                </c:pt>
                <c:pt idx="464">
                  <c:v>37.119999999999997</c:v>
                </c:pt>
                <c:pt idx="465">
                  <c:v>37.200000000000003</c:v>
                </c:pt>
                <c:pt idx="466">
                  <c:v>37.28</c:v>
                </c:pt>
                <c:pt idx="467">
                  <c:v>37.36</c:v>
                </c:pt>
                <c:pt idx="468">
                  <c:v>37.44</c:v>
                </c:pt>
                <c:pt idx="469">
                  <c:v>37.520000000000003</c:v>
                </c:pt>
                <c:pt idx="470">
                  <c:v>37.6</c:v>
                </c:pt>
                <c:pt idx="471">
                  <c:v>37.68</c:v>
                </c:pt>
                <c:pt idx="472">
                  <c:v>37.76</c:v>
                </c:pt>
                <c:pt idx="473">
                  <c:v>37.840000000000003</c:v>
                </c:pt>
                <c:pt idx="474">
                  <c:v>37.92</c:v>
                </c:pt>
                <c:pt idx="475">
                  <c:v>38</c:v>
                </c:pt>
                <c:pt idx="476">
                  <c:v>38.08</c:v>
                </c:pt>
                <c:pt idx="477">
                  <c:v>38.159999999999997</c:v>
                </c:pt>
                <c:pt idx="478">
                  <c:v>38.24</c:v>
                </c:pt>
                <c:pt idx="479">
                  <c:v>38.32</c:v>
                </c:pt>
                <c:pt idx="480">
                  <c:v>38.4</c:v>
                </c:pt>
                <c:pt idx="481">
                  <c:v>38.479999999999997</c:v>
                </c:pt>
                <c:pt idx="482">
                  <c:v>38.56</c:v>
                </c:pt>
                <c:pt idx="483">
                  <c:v>38.64</c:v>
                </c:pt>
                <c:pt idx="484">
                  <c:v>38.72</c:v>
                </c:pt>
                <c:pt idx="485">
                  <c:v>38.799999999999997</c:v>
                </c:pt>
                <c:pt idx="486">
                  <c:v>38.880000000000003</c:v>
                </c:pt>
                <c:pt idx="487">
                  <c:v>38.96</c:v>
                </c:pt>
                <c:pt idx="488">
                  <c:v>39.04</c:v>
                </c:pt>
                <c:pt idx="489">
                  <c:v>39.119999999999997</c:v>
                </c:pt>
                <c:pt idx="490">
                  <c:v>39.200000000000003</c:v>
                </c:pt>
                <c:pt idx="491">
                  <c:v>39.28</c:v>
                </c:pt>
                <c:pt idx="492">
                  <c:v>39.36</c:v>
                </c:pt>
                <c:pt idx="493">
                  <c:v>39.44</c:v>
                </c:pt>
                <c:pt idx="494">
                  <c:v>39.520000000000003</c:v>
                </c:pt>
                <c:pt idx="495">
                  <c:v>39.6</c:v>
                </c:pt>
                <c:pt idx="496">
                  <c:v>39.68</c:v>
                </c:pt>
                <c:pt idx="497">
                  <c:v>39.76</c:v>
                </c:pt>
                <c:pt idx="498">
                  <c:v>39.840000000000003</c:v>
                </c:pt>
                <c:pt idx="499">
                  <c:v>39.92</c:v>
                </c:pt>
                <c:pt idx="500">
                  <c:v>40</c:v>
                </c:pt>
                <c:pt idx="501">
                  <c:v>40.08</c:v>
                </c:pt>
                <c:pt idx="502">
                  <c:v>40.159999999999997</c:v>
                </c:pt>
                <c:pt idx="503">
                  <c:v>40.24</c:v>
                </c:pt>
                <c:pt idx="504">
                  <c:v>40.32</c:v>
                </c:pt>
                <c:pt idx="505">
                  <c:v>40.4</c:v>
                </c:pt>
                <c:pt idx="506">
                  <c:v>40.479999999999997</c:v>
                </c:pt>
                <c:pt idx="507">
                  <c:v>40.56</c:v>
                </c:pt>
                <c:pt idx="508">
                  <c:v>40.64</c:v>
                </c:pt>
                <c:pt idx="509">
                  <c:v>40.72</c:v>
                </c:pt>
                <c:pt idx="510">
                  <c:v>40.799999999999997</c:v>
                </c:pt>
                <c:pt idx="511">
                  <c:v>40.880000000000003</c:v>
                </c:pt>
                <c:pt idx="512">
                  <c:v>40.96</c:v>
                </c:pt>
                <c:pt idx="513">
                  <c:v>41.04</c:v>
                </c:pt>
                <c:pt idx="514">
                  <c:v>41.12</c:v>
                </c:pt>
                <c:pt idx="515">
                  <c:v>41.2</c:v>
                </c:pt>
                <c:pt idx="516">
                  <c:v>41.28</c:v>
                </c:pt>
                <c:pt idx="517">
                  <c:v>41.36</c:v>
                </c:pt>
                <c:pt idx="518">
                  <c:v>41.44</c:v>
                </c:pt>
                <c:pt idx="519">
                  <c:v>41.52</c:v>
                </c:pt>
                <c:pt idx="520">
                  <c:v>41.6</c:v>
                </c:pt>
                <c:pt idx="521">
                  <c:v>41.68</c:v>
                </c:pt>
                <c:pt idx="522">
                  <c:v>41.76</c:v>
                </c:pt>
                <c:pt idx="523">
                  <c:v>41.84</c:v>
                </c:pt>
                <c:pt idx="524">
                  <c:v>41.92</c:v>
                </c:pt>
                <c:pt idx="525">
                  <c:v>42</c:v>
                </c:pt>
                <c:pt idx="526">
                  <c:v>42.08</c:v>
                </c:pt>
                <c:pt idx="527">
                  <c:v>42.16</c:v>
                </c:pt>
                <c:pt idx="528">
                  <c:v>42.24</c:v>
                </c:pt>
                <c:pt idx="529">
                  <c:v>42.32</c:v>
                </c:pt>
                <c:pt idx="530">
                  <c:v>42.4</c:v>
                </c:pt>
                <c:pt idx="531">
                  <c:v>42.48</c:v>
                </c:pt>
                <c:pt idx="532">
                  <c:v>42.56</c:v>
                </c:pt>
                <c:pt idx="533">
                  <c:v>42.64</c:v>
                </c:pt>
                <c:pt idx="534">
                  <c:v>42.72</c:v>
                </c:pt>
                <c:pt idx="535">
                  <c:v>42.8</c:v>
                </c:pt>
                <c:pt idx="536">
                  <c:v>42.88</c:v>
                </c:pt>
                <c:pt idx="537">
                  <c:v>42.96</c:v>
                </c:pt>
                <c:pt idx="538">
                  <c:v>43.04</c:v>
                </c:pt>
                <c:pt idx="539">
                  <c:v>43.12</c:v>
                </c:pt>
                <c:pt idx="540">
                  <c:v>43.2</c:v>
                </c:pt>
                <c:pt idx="541">
                  <c:v>43.28</c:v>
                </c:pt>
                <c:pt idx="542">
                  <c:v>43.36</c:v>
                </c:pt>
                <c:pt idx="543">
                  <c:v>43.44</c:v>
                </c:pt>
                <c:pt idx="544">
                  <c:v>43.52</c:v>
                </c:pt>
                <c:pt idx="545">
                  <c:v>43.6</c:v>
                </c:pt>
                <c:pt idx="546">
                  <c:v>43.68</c:v>
                </c:pt>
                <c:pt idx="547">
                  <c:v>43.76</c:v>
                </c:pt>
                <c:pt idx="548">
                  <c:v>43.84</c:v>
                </c:pt>
                <c:pt idx="549">
                  <c:v>43.92</c:v>
                </c:pt>
                <c:pt idx="550">
                  <c:v>44</c:v>
                </c:pt>
                <c:pt idx="551">
                  <c:v>44.08</c:v>
                </c:pt>
                <c:pt idx="552">
                  <c:v>44.16</c:v>
                </c:pt>
                <c:pt idx="553">
                  <c:v>44.24</c:v>
                </c:pt>
                <c:pt idx="554">
                  <c:v>44.32</c:v>
                </c:pt>
                <c:pt idx="555">
                  <c:v>44.4</c:v>
                </c:pt>
                <c:pt idx="556">
                  <c:v>44.48</c:v>
                </c:pt>
                <c:pt idx="557">
                  <c:v>44.56</c:v>
                </c:pt>
                <c:pt idx="558">
                  <c:v>44.64</c:v>
                </c:pt>
                <c:pt idx="559">
                  <c:v>44.72</c:v>
                </c:pt>
                <c:pt idx="560">
                  <c:v>44.8</c:v>
                </c:pt>
                <c:pt idx="561">
                  <c:v>44.88</c:v>
                </c:pt>
                <c:pt idx="562">
                  <c:v>44.96</c:v>
                </c:pt>
                <c:pt idx="563">
                  <c:v>45.04</c:v>
                </c:pt>
                <c:pt idx="564">
                  <c:v>45.12</c:v>
                </c:pt>
                <c:pt idx="565">
                  <c:v>45.2</c:v>
                </c:pt>
                <c:pt idx="566">
                  <c:v>45.28</c:v>
                </c:pt>
                <c:pt idx="567">
                  <c:v>45.36</c:v>
                </c:pt>
                <c:pt idx="568">
                  <c:v>45.44</c:v>
                </c:pt>
                <c:pt idx="569">
                  <c:v>45.52</c:v>
                </c:pt>
                <c:pt idx="570">
                  <c:v>45.6</c:v>
                </c:pt>
                <c:pt idx="571">
                  <c:v>45.68</c:v>
                </c:pt>
                <c:pt idx="572">
                  <c:v>45.76</c:v>
                </c:pt>
                <c:pt idx="573">
                  <c:v>45.84</c:v>
                </c:pt>
                <c:pt idx="574">
                  <c:v>45.92</c:v>
                </c:pt>
                <c:pt idx="575">
                  <c:v>46</c:v>
                </c:pt>
                <c:pt idx="576">
                  <c:v>46.08</c:v>
                </c:pt>
                <c:pt idx="577">
                  <c:v>46.16</c:v>
                </c:pt>
                <c:pt idx="578">
                  <c:v>46.24</c:v>
                </c:pt>
                <c:pt idx="579">
                  <c:v>46.32</c:v>
                </c:pt>
                <c:pt idx="580">
                  <c:v>46.4</c:v>
                </c:pt>
                <c:pt idx="581">
                  <c:v>46.48</c:v>
                </c:pt>
                <c:pt idx="582">
                  <c:v>46.56</c:v>
                </c:pt>
                <c:pt idx="583">
                  <c:v>46.64</c:v>
                </c:pt>
                <c:pt idx="584">
                  <c:v>46.72</c:v>
                </c:pt>
                <c:pt idx="585">
                  <c:v>46.8</c:v>
                </c:pt>
                <c:pt idx="586">
                  <c:v>46.88</c:v>
                </c:pt>
                <c:pt idx="587">
                  <c:v>46.96</c:v>
                </c:pt>
                <c:pt idx="588">
                  <c:v>47.04</c:v>
                </c:pt>
                <c:pt idx="589">
                  <c:v>47.12</c:v>
                </c:pt>
                <c:pt idx="590">
                  <c:v>47.2</c:v>
                </c:pt>
                <c:pt idx="591">
                  <c:v>47.28</c:v>
                </c:pt>
                <c:pt idx="592">
                  <c:v>47.36</c:v>
                </c:pt>
                <c:pt idx="593">
                  <c:v>47.44</c:v>
                </c:pt>
                <c:pt idx="594">
                  <c:v>47.52</c:v>
                </c:pt>
                <c:pt idx="595">
                  <c:v>47.6</c:v>
                </c:pt>
                <c:pt idx="596">
                  <c:v>47.68</c:v>
                </c:pt>
                <c:pt idx="597">
                  <c:v>47.76</c:v>
                </c:pt>
                <c:pt idx="598">
                  <c:v>47.84</c:v>
                </c:pt>
                <c:pt idx="599">
                  <c:v>47.92</c:v>
                </c:pt>
                <c:pt idx="600">
                  <c:v>48</c:v>
                </c:pt>
                <c:pt idx="601">
                  <c:v>48.08</c:v>
                </c:pt>
                <c:pt idx="602">
                  <c:v>48.16</c:v>
                </c:pt>
                <c:pt idx="603">
                  <c:v>48.24</c:v>
                </c:pt>
                <c:pt idx="604">
                  <c:v>48.32</c:v>
                </c:pt>
                <c:pt idx="605">
                  <c:v>48.4</c:v>
                </c:pt>
                <c:pt idx="606">
                  <c:v>48.48</c:v>
                </c:pt>
                <c:pt idx="607">
                  <c:v>48.56</c:v>
                </c:pt>
                <c:pt idx="608">
                  <c:v>48.64</c:v>
                </c:pt>
                <c:pt idx="609">
                  <c:v>48.72</c:v>
                </c:pt>
                <c:pt idx="610">
                  <c:v>48.8</c:v>
                </c:pt>
                <c:pt idx="611">
                  <c:v>48.88</c:v>
                </c:pt>
                <c:pt idx="612">
                  <c:v>48.96</c:v>
                </c:pt>
                <c:pt idx="613">
                  <c:v>49.04</c:v>
                </c:pt>
                <c:pt idx="614">
                  <c:v>49.12</c:v>
                </c:pt>
                <c:pt idx="615">
                  <c:v>49.2</c:v>
                </c:pt>
                <c:pt idx="616">
                  <c:v>49.28</c:v>
                </c:pt>
                <c:pt idx="617">
                  <c:v>49.36</c:v>
                </c:pt>
                <c:pt idx="618">
                  <c:v>49.44</c:v>
                </c:pt>
                <c:pt idx="619">
                  <c:v>49.52</c:v>
                </c:pt>
                <c:pt idx="620">
                  <c:v>49.6</c:v>
                </c:pt>
                <c:pt idx="621">
                  <c:v>49.68</c:v>
                </c:pt>
                <c:pt idx="622">
                  <c:v>49.76</c:v>
                </c:pt>
                <c:pt idx="623">
                  <c:v>49.84</c:v>
                </c:pt>
                <c:pt idx="624">
                  <c:v>49.92</c:v>
                </c:pt>
                <c:pt idx="625">
                  <c:v>50</c:v>
                </c:pt>
                <c:pt idx="626">
                  <c:v>50.08</c:v>
                </c:pt>
                <c:pt idx="627">
                  <c:v>50.16</c:v>
                </c:pt>
                <c:pt idx="628">
                  <c:v>50.24</c:v>
                </c:pt>
                <c:pt idx="629">
                  <c:v>50.32</c:v>
                </c:pt>
                <c:pt idx="630">
                  <c:v>50.4</c:v>
                </c:pt>
                <c:pt idx="631">
                  <c:v>50.48</c:v>
                </c:pt>
                <c:pt idx="632">
                  <c:v>50.56</c:v>
                </c:pt>
                <c:pt idx="633">
                  <c:v>50.64</c:v>
                </c:pt>
                <c:pt idx="634">
                  <c:v>50.72</c:v>
                </c:pt>
                <c:pt idx="635">
                  <c:v>50.8</c:v>
                </c:pt>
                <c:pt idx="636">
                  <c:v>50.88</c:v>
                </c:pt>
                <c:pt idx="637">
                  <c:v>50.96</c:v>
                </c:pt>
                <c:pt idx="638">
                  <c:v>51.04</c:v>
                </c:pt>
                <c:pt idx="639">
                  <c:v>51.12</c:v>
                </c:pt>
                <c:pt idx="640">
                  <c:v>51.2</c:v>
                </c:pt>
                <c:pt idx="641">
                  <c:v>51.28</c:v>
                </c:pt>
                <c:pt idx="642">
                  <c:v>51.36</c:v>
                </c:pt>
                <c:pt idx="643">
                  <c:v>51.44</c:v>
                </c:pt>
                <c:pt idx="644">
                  <c:v>51.52</c:v>
                </c:pt>
                <c:pt idx="645">
                  <c:v>51.6</c:v>
                </c:pt>
                <c:pt idx="646">
                  <c:v>51.68</c:v>
                </c:pt>
                <c:pt idx="647">
                  <c:v>51.76</c:v>
                </c:pt>
                <c:pt idx="648">
                  <c:v>51.84</c:v>
                </c:pt>
                <c:pt idx="649">
                  <c:v>51.92</c:v>
                </c:pt>
                <c:pt idx="650">
                  <c:v>52</c:v>
                </c:pt>
                <c:pt idx="651">
                  <c:v>52.08</c:v>
                </c:pt>
                <c:pt idx="652">
                  <c:v>52.16</c:v>
                </c:pt>
                <c:pt idx="653">
                  <c:v>52.24</c:v>
                </c:pt>
                <c:pt idx="654">
                  <c:v>52.32</c:v>
                </c:pt>
                <c:pt idx="655">
                  <c:v>52.4</c:v>
                </c:pt>
                <c:pt idx="656">
                  <c:v>52.48</c:v>
                </c:pt>
                <c:pt idx="657">
                  <c:v>52.56</c:v>
                </c:pt>
                <c:pt idx="658">
                  <c:v>52.64</c:v>
                </c:pt>
                <c:pt idx="659">
                  <c:v>52.72</c:v>
                </c:pt>
                <c:pt idx="660">
                  <c:v>52.8</c:v>
                </c:pt>
                <c:pt idx="661">
                  <c:v>52.88</c:v>
                </c:pt>
                <c:pt idx="662">
                  <c:v>52.96</c:v>
                </c:pt>
                <c:pt idx="663">
                  <c:v>53.04</c:v>
                </c:pt>
                <c:pt idx="664">
                  <c:v>53.12</c:v>
                </c:pt>
                <c:pt idx="665">
                  <c:v>53.2</c:v>
                </c:pt>
                <c:pt idx="666">
                  <c:v>53.28</c:v>
                </c:pt>
                <c:pt idx="667">
                  <c:v>53.36</c:v>
                </c:pt>
                <c:pt idx="668">
                  <c:v>53.44</c:v>
                </c:pt>
                <c:pt idx="669">
                  <c:v>53.52</c:v>
                </c:pt>
                <c:pt idx="670">
                  <c:v>53.6</c:v>
                </c:pt>
                <c:pt idx="671">
                  <c:v>53.68</c:v>
                </c:pt>
                <c:pt idx="672">
                  <c:v>53.76</c:v>
                </c:pt>
                <c:pt idx="673">
                  <c:v>53.84</c:v>
                </c:pt>
                <c:pt idx="674">
                  <c:v>53.92</c:v>
                </c:pt>
                <c:pt idx="675">
                  <c:v>54</c:v>
                </c:pt>
                <c:pt idx="676">
                  <c:v>54.08</c:v>
                </c:pt>
                <c:pt idx="677">
                  <c:v>54.16</c:v>
                </c:pt>
                <c:pt idx="678">
                  <c:v>54.24</c:v>
                </c:pt>
                <c:pt idx="679">
                  <c:v>54.32</c:v>
                </c:pt>
                <c:pt idx="680">
                  <c:v>54.4</c:v>
                </c:pt>
                <c:pt idx="681">
                  <c:v>54.48</c:v>
                </c:pt>
                <c:pt idx="682">
                  <c:v>54.56</c:v>
                </c:pt>
                <c:pt idx="683">
                  <c:v>54.64</c:v>
                </c:pt>
                <c:pt idx="684">
                  <c:v>54.72</c:v>
                </c:pt>
                <c:pt idx="685">
                  <c:v>54.8</c:v>
                </c:pt>
                <c:pt idx="686">
                  <c:v>54.88</c:v>
                </c:pt>
                <c:pt idx="687">
                  <c:v>54.96</c:v>
                </c:pt>
                <c:pt idx="688">
                  <c:v>55.04</c:v>
                </c:pt>
                <c:pt idx="689">
                  <c:v>55.12</c:v>
                </c:pt>
                <c:pt idx="690">
                  <c:v>55.2</c:v>
                </c:pt>
                <c:pt idx="691">
                  <c:v>55.28</c:v>
                </c:pt>
                <c:pt idx="692">
                  <c:v>55.36</c:v>
                </c:pt>
                <c:pt idx="693">
                  <c:v>55.44</c:v>
                </c:pt>
                <c:pt idx="694">
                  <c:v>55.52</c:v>
                </c:pt>
                <c:pt idx="695">
                  <c:v>55.6</c:v>
                </c:pt>
                <c:pt idx="696">
                  <c:v>55.68</c:v>
                </c:pt>
                <c:pt idx="697">
                  <c:v>55.76</c:v>
                </c:pt>
                <c:pt idx="698">
                  <c:v>55.84</c:v>
                </c:pt>
                <c:pt idx="699">
                  <c:v>55.92</c:v>
                </c:pt>
                <c:pt idx="700">
                  <c:v>56</c:v>
                </c:pt>
                <c:pt idx="701">
                  <c:v>56.08</c:v>
                </c:pt>
                <c:pt idx="702">
                  <c:v>56.16</c:v>
                </c:pt>
                <c:pt idx="703">
                  <c:v>56.24</c:v>
                </c:pt>
                <c:pt idx="704">
                  <c:v>56.32</c:v>
                </c:pt>
                <c:pt idx="705">
                  <c:v>56.4</c:v>
                </c:pt>
                <c:pt idx="706">
                  <c:v>56.48</c:v>
                </c:pt>
                <c:pt idx="707">
                  <c:v>56.56</c:v>
                </c:pt>
                <c:pt idx="708">
                  <c:v>56.64</c:v>
                </c:pt>
                <c:pt idx="709">
                  <c:v>56.72</c:v>
                </c:pt>
                <c:pt idx="710">
                  <c:v>56.8</c:v>
                </c:pt>
                <c:pt idx="711">
                  <c:v>56.88</c:v>
                </c:pt>
                <c:pt idx="712">
                  <c:v>56.96</c:v>
                </c:pt>
                <c:pt idx="713">
                  <c:v>57.04</c:v>
                </c:pt>
                <c:pt idx="714">
                  <c:v>57.12</c:v>
                </c:pt>
                <c:pt idx="715">
                  <c:v>57.2</c:v>
                </c:pt>
                <c:pt idx="716">
                  <c:v>57.28</c:v>
                </c:pt>
                <c:pt idx="717">
                  <c:v>57.36</c:v>
                </c:pt>
                <c:pt idx="718">
                  <c:v>57.44</c:v>
                </c:pt>
                <c:pt idx="719">
                  <c:v>57.52</c:v>
                </c:pt>
                <c:pt idx="720">
                  <c:v>57.6</c:v>
                </c:pt>
                <c:pt idx="721">
                  <c:v>57.68</c:v>
                </c:pt>
                <c:pt idx="722">
                  <c:v>57.76</c:v>
                </c:pt>
                <c:pt idx="723">
                  <c:v>57.84</c:v>
                </c:pt>
                <c:pt idx="724">
                  <c:v>57.92</c:v>
                </c:pt>
                <c:pt idx="725">
                  <c:v>58</c:v>
                </c:pt>
                <c:pt idx="726">
                  <c:v>58.08</c:v>
                </c:pt>
                <c:pt idx="727">
                  <c:v>58.16</c:v>
                </c:pt>
                <c:pt idx="728">
                  <c:v>58.24</c:v>
                </c:pt>
                <c:pt idx="729">
                  <c:v>58.32</c:v>
                </c:pt>
                <c:pt idx="730">
                  <c:v>58.4</c:v>
                </c:pt>
                <c:pt idx="731">
                  <c:v>58.48</c:v>
                </c:pt>
                <c:pt idx="732">
                  <c:v>58.56</c:v>
                </c:pt>
                <c:pt idx="733">
                  <c:v>58.64</c:v>
                </c:pt>
                <c:pt idx="734">
                  <c:v>58.72</c:v>
                </c:pt>
                <c:pt idx="735">
                  <c:v>58.8</c:v>
                </c:pt>
                <c:pt idx="736">
                  <c:v>58.88</c:v>
                </c:pt>
                <c:pt idx="737">
                  <c:v>58.96</c:v>
                </c:pt>
                <c:pt idx="738">
                  <c:v>59.04</c:v>
                </c:pt>
                <c:pt idx="739">
                  <c:v>59.12</c:v>
                </c:pt>
                <c:pt idx="740">
                  <c:v>59.2</c:v>
                </c:pt>
                <c:pt idx="741">
                  <c:v>59.28</c:v>
                </c:pt>
                <c:pt idx="742">
                  <c:v>59.36</c:v>
                </c:pt>
                <c:pt idx="743">
                  <c:v>59.44</c:v>
                </c:pt>
                <c:pt idx="744">
                  <c:v>59.52</c:v>
                </c:pt>
                <c:pt idx="745">
                  <c:v>59.6</c:v>
                </c:pt>
                <c:pt idx="746">
                  <c:v>59.68</c:v>
                </c:pt>
                <c:pt idx="747">
                  <c:v>59.76</c:v>
                </c:pt>
                <c:pt idx="748">
                  <c:v>59.84</c:v>
                </c:pt>
                <c:pt idx="749">
                  <c:v>59.92</c:v>
                </c:pt>
                <c:pt idx="750">
                  <c:v>60</c:v>
                </c:pt>
              </c:numCache>
            </c:numRef>
          </c:xVal>
          <c:yVal>
            <c:numRef>
              <c:f>Sheet1!$F$10:$F$760</c:f>
              <c:numCache>
                <c:formatCode>0.00</c:formatCode>
                <c:ptCount val="751"/>
                <c:pt idx="0">
                  <c:v>103</c:v>
                </c:pt>
                <c:pt idx="1">
                  <c:v>102.99218078194787</c:v>
                </c:pt>
                <c:pt idx="2">
                  <c:v>102.98436312758298</c:v>
                </c:pt>
                <c:pt idx="3">
                  <c:v>102.97654703659262</c:v>
                </c:pt>
                <c:pt idx="4">
                  <c:v>102.96873250866413</c:v>
                </c:pt>
                <c:pt idx="5">
                  <c:v>102.96091954348496</c:v>
                </c:pt>
                <c:pt idx="6">
                  <c:v>102.95310814074259</c:v>
                </c:pt>
                <c:pt idx="7">
                  <c:v>102.94529830012452</c:v>
                </c:pt>
                <c:pt idx="8">
                  <c:v>102.93749002131841</c:v>
                </c:pt>
                <c:pt idx="9">
                  <c:v>102.92968330401189</c:v>
                </c:pt>
                <c:pt idx="10">
                  <c:v>102.92187814789273</c:v>
                </c:pt>
                <c:pt idx="11">
                  <c:v>102.91407455264869</c:v>
                </c:pt>
                <c:pt idx="12">
                  <c:v>102.90627251796764</c:v>
                </c:pt>
                <c:pt idx="13">
                  <c:v>102.89847204353748</c:v>
                </c:pt>
                <c:pt idx="14">
                  <c:v>102.89067312904621</c:v>
                </c:pt>
                <c:pt idx="15">
                  <c:v>102.88287577418188</c:v>
                </c:pt>
                <c:pt idx="16">
                  <c:v>102.87507997863258</c:v>
                </c:pt>
                <c:pt idx="17">
                  <c:v>102.86728574208649</c:v>
                </c:pt>
                <c:pt idx="18">
                  <c:v>102.85949306423184</c:v>
                </c:pt>
                <c:pt idx="19">
                  <c:v>102.85170194475691</c:v>
                </c:pt>
                <c:pt idx="20">
                  <c:v>102.84391238335007</c:v>
                </c:pt>
                <c:pt idx="21">
                  <c:v>102.83612437969973</c:v>
                </c:pt>
                <c:pt idx="22">
                  <c:v>102.82833793349437</c:v>
                </c:pt>
                <c:pt idx="23">
                  <c:v>102.82055304442252</c:v>
                </c:pt>
                <c:pt idx="24">
                  <c:v>102.81276971217281</c:v>
                </c:pt>
                <c:pt idx="25">
                  <c:v>102.80498793643389</c:v>
                </c:pt>
                <c:pt idx="26">
                  <c:v>102.79720771689449</c:v>
                </c:pt>
                <c:pt idx="27">
                  <c:v>102.7894290532434</c:v>
                </c:pt>
                <c:pt idx="28">
                  <c:v>102.78165194516947</c:v>
                </c:pt>
                <c:pt idx="29">
                  <c:v>102.77387639236164</c:v>
                </c:pt>
                <c:pt idx="30">
                  <c:v>102.76610239450886</c:v>
                </c:pt>
                <c:pt idx="31">
                  <c:v>102.7583299513002</c:v>
                </c:pt>
                <c:pt idx="32">
                  <c:v>102.75055906242473</c:v>
                </c:pt>
                <c:pt idx="33">
                  <c:v>102.74278972757162</c:v>
                </c:pt>
                <c:pt idx="34">
                  <c:v>102.73502194643012</c:v>
                </c:pt>
                <c:pt idx="35">
                  <c:v>102.72725571868949</c:v>
                </c:pt>
                <c:pt idx="36">
                  <c:v>102.7194910440391</c:v>
                </c:pt>
                <c:pt idx="37">
                  <c:v>102.71172792216836</c:v>
                </c:pt>
                <c:pt idx="38">
                  <c:v>102.70396635276674</c:v>
                </c:pt>
                <c:pt idx="39">
                  <c:v>102.69620633552378</c:v>
                </c:pt>
                <c:pt idx="40">
                  <c:v>102.68844787012907</c:v>
                </c:pt>
                <c:pt idx="41">
                  <c:v>102.68069095627229</c:v>
                </c:pt>
                <c:pt idx="42">
                  <c:v>102.67293559364315</c:v>
                </c:pt>
                <c:pt idx="43">
                  <c:v>102.66518178193144</c:v>
                </c:pt>
                <c:pt idx="44">
                  <c:v>102.65742952082701</c:v>
                </c:pt>
                <c:pt idx="45">
                  <c:v>102.64967881001975</c:v>
                </c:pt>
                <c:pt idx="46">
                  <c:v>102.64192964919965</c:v>
                </c:pt>
                <c:pt idx="47">
                  <c:v>102.63418203805676</c:v>
                </c:pt>
                <c:pt idx="48">
                  <c:v>102.62643597628116</c:v>
                </c:pt>
                <c:pt idx="49">
                  <c:v>102.61869146356298</c:v>
                </c:pt>
                <c:pt idx="50">
                  <c:v>102.61094849959247</c:v>
                </c:pt>
                <c:pt idx="51">
                  <c:v>102.6032070840599</c:v>
                </c:pt>
                <c:pt idx="52">
                  <c:v>102.59546721665563</c:v>
                </c:pt>
                <c:pt idx="53">
                  <c:v>102.58772889707006</c:v>
                </c:pt>
                <c:pt idx="54">
                  <c:v>102.57999212499365</c:v>
                </c:pt>
                <c:pt idx="55">
                  <c:v>102.57225690011691</c:v>
                </c:pt>
                <c:pt idx="56">
                  <c:v>102.56452322213048</c:v>
                </c:pt>
                <c:pt idx="57">
                  <c:v>102.55679109072496</c:v>
                </c:pt>
                <c:pt idx="58">
                  <c:v>102.54906050559109</c:v>
                </c:pt>
                <c:pt idx="59">
                  <c:v>102.54133146641965</c:v>
                </c:pt>
                <c:pt idx="60">
                  <c:v>102.53360397290149</c:v>
                </c:pt>
                <c:pt idx="61">
                  <c:v>102.52587802472748</c:v>
                </c:pt>
                <c:pt idx="62">
                  <c:v>102.5181536215886</c:v>
                </c:pt>
                <c:pt idx="63">
                  <c:v>102.51043076317586</c:v>
                </c:pt>
                <c:pt idx="64">
                  <c:v>102.50270944918036</c:v>
                </c:pt>
                <c:pt idx="65">
                  <c:v>102.49498967929324</c:v>
                </c:pt>
                <c:pt idx="66">
                  <c:v>102.48727145320572</c:v>
                </c:pt>
                <c:pt idx="67">
                  <c:v>102.47955477060907</c:v>
                </c:pt>
                <c:pt idx="68">
                  <c:v>102.4718396311946</c:v>
                </c:pt>
                <c:pt idx="69">
                  <c:v>102.46412603465373</c:v>
                </c:pt>
                <c:pt idx="70">
                  <c:v>102.45641398067789</c:v>
                </c:pt>
                <c:pt idx="71">
                  <c:v>102.44870346895864</c:v>
                </c:pt>
                <c:pt idx="72">
                  <c:v>102.44099449918752</c:v>
                </c:pt>
                <c:pt idx="73">
                  <c:v>102.43328707105618</c:v>
                </c:pt>
                <c:pt idx="74">
                  <c:v>102.42558118425634</c:v>
                </c:pt>
                <c:pt idx="75">
                  <c:v>102.41787683847974</c:v>
                </c:pt>
                <c:pt idx="76">
                  <c:v>102.41017403341823</c:v>
                </c:pt>
                <c:pt idx="77">
                  <c:v>102.40247276876369</c:v>
                </c:pt>
                <c:pt idx="78">
                  <c:v>102.39477304420805</c:v>
                </c:pt>
                <c:pt idx="79">
                  <c:v>102.38707485944335</c:v>
                </c:pt>
                <c:pt idx="80">
                  <c:v>102.37937821416165</c:v>
                </c:pt>
                <c:pt idx="81">
                  <c:v>102.37168310805507</c:v>
                </c:pt>
                <c:pt idx="82">
                  <c:v>102.36398954081584</c:v>
                </c:pt>
                <c:pt idx="83">
                  <c:v>102.35629751213618</c:v>
                </c:pt>
                <c:pt idx="84">
                  <c:v>102.34860702170843</c:v>
                </c:pt>
                <c:pt idx="85">
                  <c:v>102.34091806922497</c:v>
                </c:pt>
                <c:pt idx="86">
                  <c:v>102.33323065437823</c:v>
                </c:pt>
                <c:pt idx="87">
                  <c:v>102.32554477686072</c:v>
                </c:pt>
                <c:pt idx="88">
                  <c:v>102.31786043636501</c:v>
                </c:pt>
                <c:pt idx="89">
                  <c:v>102.31017763258373</c:v>
                </c:pt>
                <c:pt idx="90">
                  <c:v>102.30249636520955</c:v>
                </c:pt>
                <c:pt idx="91">
                  <c:v>102.29481663393524</c:v>
                </c:pt>
                <c:pt idx="92">
                  <c:v>102.2871384384536</c:v>
                </c:pt>
                <c:pt idx="93">
                  <c:v>102.27946177845749</c:v>
                </c:pt>
                <c:pt idx="94">
                  <c:v>102.27178665363988</c:v>
                </c:pt>
                <c:pt idx="95">
                  <c:v>102.26411306369371</c:v>
                </c:pt>
                <c:pt idx="96">
                  <c:v>102.25644100831209</c:v>
                </c:pt>
                <c:pt idx="97">
                  <c:v>102.2487704871881</c:v>
                </c:pt>
                <c:pt idx="98">
                  <c:v>102.24110150001495</c:v>
                </c:pt>
                <c:pt idx="99">
                  <c:v>102.23343404648585</c:v>
                </c:pt>
                <c:pt idx="100">
                  <c:v>102.22576812629413</c:v>
                </c:pt>
                <c:pt idx="101">
                  <c:v>102.21810373913314</c:v>
                </c:pt>
                <c:pt idx="102">
                  <c:v>102.2104408846963</c:v>
                </c:pt>
                <c:pt idx="103">
                  <c:v>102.20277956267709</c:v>
                </c:pt>
                <c:pt idx="104">
                  <c:v>102.19511977276909</c:v>
                </c:pt>
                <c:pt idx="105">
                  <c:v>102.18746151466587</c:v>
                </c:pt>
                <c:pt idx="106">
                  <c:v>102.17980478806112</c:v>
                </c:pt>
                <c:pt idx="107">
                  <c:v>102.17214959264857</c:v>
                </c:pt>
                <c:pt idx="108">
                  <c:v>102.16449592812199</c:v>
                </c:pt>
                <c:pt idx="109">
                  <c:v>102.15684379417527</c:v>
                </c:pt>
                <c:pt idx="110">
                  <c:v>102.1491931905023</c:v>
                </c:pt>
                <c:pt idx="111">
                  <c:v>102.14154411679708</c:v>
                </c:pt>
                <c:pt idx="112">
                  <c:v>102.13389657275361</c:v>
                </c:pt>
                <c:pt idx="113">
                  <c:v>102.12625055806603</c:v>
                </c:pt>
                <c:pt idx="114">
                  <c:v>102.11860607242845</c:v>
                </c:pt>
                <c:pt idx="115">
                  <c:v>102.11096311553513</c:v>
                </c:pt>
                <c:pt idx="116">
                  <c:v>102.10332168708035</c:v>
                </c:pt>
                <c:pt idx="117">
                  <c:v>102.09568178675843</c:v>
                </c:pt>
                <c:pt idx="118">
                  <c:v>102.08804341426378</c:v>
                </c:pt>
                <c:pt idx="119">
                  <c:v>102.08040656929089</c:v>
                </c:pt>
                <c:pt idx="120">
                  <c:v>102.07277125153425</c:v>
                </c:pt>
                <c:pt idx="121">
                  <c:v>102.06513746068848</c:v>
                </c:pt>
                <c:pt idx="122">
                  <c:v>102.0575051964482</c:v>
                </c:pt>
                <c:pt idx="123">
                  <c:v>102.04987445850816</c:v>
                </c:pt>
                <c:pt idx="124">
                  <c:v>102.04224524656307</c:v>
                </c:pt>
                <c:pt idx="125">
                  <c:v>102.03461756030781</c:v>
                </c:pt>
                <c:pt idx="126">
                  <c:v>102.02699139943726</c:v>
                </c:pt>
                <c:pt idx="127">
                  <c:v>102.01936676364636</c:v>
                </c:pt>
                <c:pt idx="128">
                  <c:v>102.01174365263014</c:v>
                </c:pt>
                <c:pt idx="129">
                  <c:v>102.00412206608368</c:v>
                </c:pt>
                <c:pt idx="130">
                  <c:v>101.99650200370209</c:v>
                </c:pt>
                <c:pt idx="131">
                  <c:v>101.98888346518061</c:v>
                </c:pt>
                <c:pt idx="132">
                  <c:v>101.98126645021446</c:v>
                </c:pt>
                <c:pt idx="133">
                  <c:v>101.97365095849896</c:v>
                </c:pt>
                <c:pt idx="134">
                  <c:v>101.96603698972953</c:v>
                </c:pt>
                <c:pt idx="135">
                  <c:v>101.95842454360157</c:v>
                </c:pt>
                <c:pt idx="136">
                  <c:v>101.95081361981059</c:v>
                </c:pt>
                <c:pt idx="137">
                  <c:v>101.94320421805217</c:v>
                </c:pt>
                <c:pt idx="138">
                  <c:v>101.93559633802192</c:v>
                </c:pt>
                <c:pt idx="139">
                  <c:v>101.92798997941554</c:v>
                </c:pt>
                <c:pt idx="140">
                  <c:v>101.92038514192876</c:v>
                </c:pt>
                <c:pt idx="141">
                  <c:v>101.91278182525738</c:v>
                </c:pt>
                <c:pt idx="142">
                  <c:v>101.90518002909728</c:v>
                </c:pt>
                <c:pt idx="143">
                  <c:v>101.89757975314438</c:v>
                </c:pt>
                <c:pt idx="144">
                  <c:v>101.88998099709471</c:v>
                </c:pt>
                <c:pt idx="145">
                  <c:v>101.88238376064425</c:v>
                </c:pt>
                <c:pt idx="146">
                  <c:v>101.87478804348916</c:v>
                </c:pt>
                <c:pt idx="147">
                  <c:v>101.86719384532559</c:v>
                </c:pt>
                <c:pt idx="148">
                  <c:v>101.85960116584978</c:v>
                </c:pt>
                <c:pt idx="149">
                  <c:v>101.85201000475803</c:v>
                </c:pt>
                <c:pt idx="150">
                  <c:v>101.84442036174667</c:v>
                </c:pt>
                <c:pt idx="151">
                  <c:v>101.83683223651214</c:v>
                </c:pt>
                <c:pt idx="152">
                  <c:v>101.8292456287509</c:v>
                </c:pt>
                <c:pt idx="153">
                  <c:v>101.82166053815949</c:v>
                </c:pt>
                <c:pt idx="154">
                  <c:v>101.81407696443452</c:v>
                </c:pt>
                <c:pt idx="155">
                  <c:v>101.80649490727262</c:v>
                </c:pt>
                <c:pt idx="156">
                  <c:v>101.79891436637052</c:v>
                </c:pt>
                <c:pt idx="157">
                  <c:v>101.791335341425</c:v>
                </c:pt>
                <c:pt idx="158">
                  <c:v>101.78375783213291</c:v>
                </c:pt>
                <c:pt idx="159">
                  <c:v>101.77618183819112</c:v>
                </c:pt>
                <c:pt idx="160">
                  <c:v>101.76860735929662</c:v>
                </c:pt>
                <c:pt idx="161">
                  <c:v>101.76103439514642</c:v>
                </c:pt>
                <c:pt idx="162">
                  <c:v>101.7534629454376</c:v>
                </c:pt>
                <c:pt idx="163">
                  <c:v>101.7458930098673</c:v>
                </c:pt>
                <c:pt idx="164">
                  <c:v>101.73832458813274</c:v>
                </c:pt>
                <c:pt idx="165">
                  <c:v>101.73075767993114</c:v>
                </c:pt>
                <c:pt idx="166">
                  <c:v>101.72319228495988</c:v>
                </c:pt>
                <c:pt idx="167">
                  <c:v>101.71562840291631</c:v>
                </c:pt>
                <c:pt idx="168">
                  <c:v>101.70806603349787</c:v>
                </c:pt>
                <c:pt idx="169">
                  <c:v>101.70050517640209</c:v>
                </c:pt>
                <c:pt idx="170">
                  <c:v>101.69294583132651</c:v>
                </c:pt>
                <c:pt idx="171">
                  <c:v>101.68538799796877</c:v>
                </c:pt>
                <c:pt idx="172">
                  <c:v>101.67783167602656</c:v>
                </c:pt>
                <c:pt idx="173">
                  <c:v>101.67027686519762</c:v>
                </c:pt>
                <c:pt idx="174">
                  <c:v>101.66272356517976</c:v>
                </c:pt>
                <c:pt idx="175">
                  <c:v>101.65517177567085</c:v>
                </c:pt>
                <c:pt idx="176">
                  <c:v>101.64762149636881</c:v>
                </c:pt>
                <c:pt idx="177">
                  <c:v>101.64007272697164</c:v>
                </c:pt>
                <c:pt idx="178">
                  <c:v>101.63252546717739</c:v>
                </c:pt>
                <c:pt idx="179">
                  <c:v>101.62497971668415</c:v>
                </c:pt>
                <c:pt idx="180">
                  <c:v>101.61743547519012</c:v>
                </c:pt>
                <c:pt idx="181">
                  <c:v>101.6098927423935</c:v>
                </c:pt>
                <c:pt idx="182">
                  <c:v>101.60235151799259</c:v>
                </c:pt>
                <c:pt idx="183">
                  <c:v>101.59481180168575</c:v>
                </c:pt>
                <c:pt idx="184">
                  <c:v>101.5872735931714</c:v>
                </c:pt>
                <c:pt idx="185">
                  <c:v>101.57973689214799</c:v>
                </c:pt>
                <c:pt idx="186">
                  <c:v>101.57220169831406</c:v>
                </c:pt>
                <c:pt idx="187">
                  <c:v>101.56466801136821</c:v>
                </c:pt>
                <c:pt idx="188">
                  <c:v>101.55713583100908</c:v>
                </c:pt>
                <c:pt idx="189">
                  <c:v>101.54960515693539</c:v>
                </c:pt>
                <c:pt idx="190">
                  <c:v>101.54207598884591</c:v>
                </c:pt>
                <c:pt idx="191">
                  <c:v>101.53454832643948</c:v>
                </c:pt>
                <c:pt idx="192">
                  <c:v>101.52702216941498</c:v>
                </c:pt>
                <c:pt idx="193">
                  <c:v>101.51949751747136</c:v>
                </c:pt>
                <c:pt idx="194">
                  <c:v>101.51197437030766</c:v>
                </c:pt>
                <c:pt idx="195">
                  <c:v>101.50445272762295</c:v>
                </c:pt>
                <c:pt idx="196">
                  <c:v>101.49693258911634</c:v>
                </c:pt>
                <c:pt idx="197">
                  <c:v>101.48941395448703</c:v>
                </c:pt>
                <c:pt idx="198">
                  <c:v>101.4818968234343</c:v>
                </c:pt>
                <c:pt idx="199">
                  <c:v>101.47438119565744</c:v>
                </c:pt>
                <c:pt idx="200">
                  <c:v>101.46686707085584</c:v>
                </c:pt>
                <c:pt idx="201">
                  <c:v>101.45935444872892</c:v>
                </c:pt>
                <c:pt idx="202">
                  <c:v>101.4518433289762</c:v>
                </c:pt>
                <c:pt idx="203">
                  <c:v>101.44433371129719</c:v>
                </c:pt>
                <c:pt idx="204">
                  <c:v>101.43682559539155</c:v>
                </c:pt>
                <c:pt idx="205">
                  <c:v>101.42931898095894</c:v>
                </c:pt>
                <c:pt idx="206">
                  <c:v>101.42181386769909</c:v>
                </c:pt>
                <c:pt idx="207">
                  <c:v>101.41431025531179</c:v>
                </c:pt>
                <c:pt idx="208">
                  <c:v>101.40680814349693</c:v>
                </c:pt>
                <c:pt idx="209">
                  <c:v>101.39930753195438</c:v>
                </c:pt>
                <c:pt idx="210">
                  <c:v>101.39180842038414</c:v>
                </c:pt>
                <c:pt idx="211">
                  <c:v>101.38431080848625</c:v>
                </c:pt>
                <c:pt idx="212">
                  <c:v>101.3768146959608</c:v>
                </c:pt>
                <c:pt idx="213">
                  <c:v>101.36932008250793</c:v>
                </c:pt>
                <c:pt idx="214">
                  <c:v>101.36182696782788</c:v>
                </c:pt>
                <c:pt idx="215">
                  <c:v>101.3543353516209</c:v>
                </c:pt>
                <c:pt idx="216">
                  <c:v>101.34684523358735</c:v>
                </c:pt>
                <c:pt idx="217">
                  <c:v>101.33935661342761</c:v>
                </c:pt>
                <c:pt idx="218">
                  <c:v>101.33186949084214</c:v>
                </c:pt>
                <c:pt idx="219">
                  <c:v>101.32438386553144</c:v>
                </c:pt>
                <c:pt idx="220">
                  <c:v>101.31689973719612</c:v>
                </c:pt>
                <c:pt idx="221">
                  <c:v>101.3094171055368</c:v>
                </c:pt>
                <c:pt idx="222">
                  <c:v>101.30193597025415</c:v>
                </c:pt>
                <c:pt idx="223">
                  <c:v>101.29445633104896</c:v>
                </c:pt>
                <c:pt idx="224">
                  <c:v>101.28697818762203</c:v>
                </c:pt>
                <c:pt idx="225">
                  <c:v>101.27950153967421</c:v>
                </c:pt>
                <c:pt idx="226">
                  <c:v>101.27202638690648</c:v>
                </c:pt>
                <c:pt idx="227">
                  <c:v>101.26455272901978</c:v>
                </c:pt>
                <c:pt idx="228">
                  <c:v>101.25708056571523</c:v>
                </c:pt>
                <c:pt idx="229">
                  <c:v>101.24960989669388</c:v>
                </c:pt>
                <c:pt idx="230">
                  <c:v>101.24214072165694</c:v>
                </c:pt>
                <c:pt idx="231">
                  <c:v>101.23467304030564</c:v>
                </c:pt>
                <c:pt idx="232">
                  <c:v>101.22720685234125</c:v>
                </c:pt>
                <c:pt idx="233">
                  <c:v>101.21974215746516</c:v>
                </c:pt>
                <c:pt idx="234">
                  <c:v>101.21227895537876</c:v>
                </c:pt>
                <c:pt idx="235">
                  <c:v>101.20481724578352</c:v>
                </c:pt>
                <c:pt idx="236">
                  <c:v>101.19735702838096</c:v>
                </c:pt>
                <c:pt idx="237">
                  <c:v>101.18989830287271</c:v>
                </c:pt>
                <c:pt idx="238">
                  <c:v>101.18244106896037</c:v>
                </c:pt>
                <c:pt idx="239">
                  <c:v>101.17498532634571</c:v>
                </c:pt>
                <c:pt idx="240">
                  <c:v>101.16753107473043</c:v>
                </c:pt>
                <c:pt idx="241">
                  <c:v>101.16007831381643</c:v>
                </c:pt>
                <c:pt idx="242">
                  <c:v>101.15262704330556</c:v>
                </c:pt>
                <c:pt idx="243">
                  <c:v>101.14517726289976</c:v>
                </c:pt>
                <c:pt idx="244">
                  <c:v>101.13772897230106</c:v>
                </c:pt>
                <c:pt idx="245">
                  <c:v>101.13028217121155</c:v>
                </c:pt>
                <c:pt idx="246">
                  <c:v>101.12283685933329</c:v>
                </c:pt>
                <c:pt idx="247">
                  <c:v>101.11539303636854</c:v>
                </c:pt>
                <c:pt idx="248">
                  <c:v>101.10795070201951</c:v>
                </c:pt>
                <c:pt idx="249">
                  <c:v>101.10050985598852</c:v>
                </c:pt>
                <c:pt idx="250">
                  <c:v>101.09307049797792</c:v>
                </c:pt>
                <c:pt idx="251">
                  <c:v>101.08563262769015</c:v>
                </c:pt>
                <c:pt idx="252">
                  <c:v>101.07819624482768</c:v>
                </c:pt>
                <c:pt idx="253">
                  <c:v>101.07076134909306</c:v>
                </c:pt>
                <c:pt idx="254">
                  <c:v>101.06332794018891</c:v>
                </c:pt>
                <c:pt idx="255">
                  <c:v>101.0558960178179</c:v>
                </c:pt>
                <c:pt idx="256">
                  <c:v>101.04846558168271</c:v>
                </c:pt>
                <c:pt idx="257">
                  <c:v>101.04103663148615</c:v>
                </c:pt>
                <c:pt idx="258">
                  <c:v>101.03360916693109</c:v>
                </c:pt>
                <c:pt idx="259">
                  <c:v>101.02618318772036</c:v>
                </c:pt>
                <c:pt idx="260">
                  <c:v>101.01875869355698</c:v>
                </c:pt>
                <c:pt idx="261">
                  <c:v>101.01133568414396</c:v>
                </c:pt>
                <c:pt idx="262">
                  <c:v>101.00391415918436</c:v>
                </c:pt>
                <c:pt idx="263">
                  <c:v>100.99649411838134</c:v>
                </c:pt>
                <c:pt idx="264">
                  <c:v>100.98907556143809</c:v>
                </c:pt>
                <c:pt idx="265">
                  <c:v>100.98165848805786</c:v>
                </c:pt>
                <c:pt idx="266">
                  <c:v>100.97424289794398</c:v>
                </c:pt>
                <c:pt idx="267">
                  <c:v>100.96682879079981</c:v>
                </c:pt>
                <c:pt idx="268">
                  <c:v>100.95941616632881</c:v>
                </c:pt>
                <c:pt idx="269">
                  <c:v>100.95200502423447</c:v>
                </c:pt>
                <c:pt idx="270">
                  <c:v>100.94459536422031</c:v>
                </c:pt>
                <c:pt idx="271">
                  <c:v>100.93718718598998</c:v>
                </c:pt>
                <c:pt idx="272">
                  <c:v>100.92978048924715</c:v>
                </c:pt>
                <c:pt idx="273">
                  <c:v>100.92237527369554</c:v>
                </c:pt>
                <c:pt idx="274">
                  <c:v>100.91497153903894</c:v>
                </c:pt>
                <c:pt idx="275">
                  <c:v>100.90756928498121</c:v>
                </c:pt>
                <c:pt idx="276">
                  <c:v>100.90016851122627</c:v>
                </c:pt>
                <c:pt idx="277">
                  <c:v>100.89276921747806</c:v>
                </c:pt>
                <c:pt idx="278">
                  <c:v>100.88537140344063</c:v>
                </c:pt>
                <c:pt idx="279">
                  <c:v>100.87797506881806</c:v>
                </c:pt>
                <c:pt idx="280">
                  <c:v>100.8705802133145</c:v>
                </c:pt>
                <c:pt idx="281">
                  <c:v>100.86318683663414</c:v>
                </c:pt>
                <c:pt idx="282">
                  <c:v>100.85579493848127</c:v>
                </c:pt>
                <c:pt idx="283">
                  <c:v>100.8484045185602</c:v>
                </c:pt>
                <c:pt idx="284">
                  <c:v>100.84101557657532</c:v>
                </c:pt>
                <c:pt idx="285">
                  <c:v>100.83362811223105</c:v>
                </c:pt>
                <c:pt idx="286">
                  <c:v>100.82624212523194</c:v>
                </c:pt>
                <c:pt idx="287">
                  <c:v>100.8188576152825</c:v>
                </c:pt>
                <c:pt idx="288">
                  <c:v>100.81147458208738</c:v>
                </c:pt>
                <c:pt idx="289">
                  <c:v>100.80409302535124</c:v>
                </c:pt>
                <c:pt idx="290">
                  <c:v>100.79671294477882</c:v>
                </c:pt>
                <c:pt idx="291">
                  <c:v>100.78933434007493</c:v>
                </c:pt>
                <c:pt idx="292">
                  <c:v>100.78195721094443</c:v>
                </c:pt>
                <c:pt idx="293">
                  <c:v>100.7745815570922</c:v>
                </c:pt>
                <c:pt idx="294">
                  <c:v>100.76720737822325</c:v>
                </c:pt>
                <c:pt idx="295">
                  <c:v>100.75983467404259</c:v>
                </c:pt>
                <c:pt idx="296">
                  <c:v>100.75246344425534</c:v>
                </c:pt>
                <c:pt idx="297">
                  <c:v>100.74509368856663</c:v>
                </c:pt>
                <c:pt idx="298">
                  <c:v>100.73772540668166</c:v>
                </c:pt>
                <c:pt idx="299">
                  <c:v>100.73035859830571</c:v>
                </c:pt>
                <c:pt idx="300">
                  <c:v>100.72299326314413</c:v>
                </c:pt>
                <c:pt idx="301">
                  <c:v>100.71562940090226</c:v>
                </c:pt>
                <c:pt idx="302">
                  <c:v>100.70826701128559</c:v>
                </c:pt>
                <c:pt idx="303">
                  <c:v>100.70090609399961</c:v>
                </c:pt>
                <c:pt idx="304">
                  <c:v>100.69354664874984</c:v>
                </c:pt>
                <c:pt idx="305">
                  <c:v>100.68618867524198</c:v>
                </c:pt>
                <c:pt idx="306">
                  <c:v>100.67883217318166</c:v>
                </c:pt>
                <c:pt idx="307">
                  <c:v>100.67147714227463</c:v>
                </c:pt>
                <c:pt idx="308">
                  <c:v>100.66412358222669</c:v>
                </c:pt>
                <c:pt idx="309">
                  <c:v>100.6567714927437</c:v>
                </c:pt>
                <c:pt idx="310">
                  <c:v>100.64942087353157</c:v>
                </c:pt>
                <c:pt idx="311">
                  <c:v>100.64207172429629</c:v>
                </c:pt>
                <c:pt idx="312">
                  <c:v>100.63472404474388</c:v>
                </c:pt>
                <c:pt idx="313">
                  <c:v>100.62737783458044</c:v>
                </c:pt>
                <c:pt idx="314">
                  <c:v>100.62003309351211</c:v>
                </c:pt>
                <c:pt idx="315">
                  <c:v>100.61268982124511</c:v>
                </c:pt>
                <c:pt idx="316">
                  <c:v>100.60534801748571</c:v>
                </c:pt>
                <c:pt idx="317">
                  <c:v>100.59800768194023</c:v>
                </c:pt>
                <c:pt idx="318">
                  <c:v>100.59066881431508</c:v>
                </c:pt>
                <c:pt idx="319">
                  <c:v>100.58333141431666</c:v>
                </c:pt>
                <c:pt idx="320">
                  <c:v>100.57599548165152</c:v>
                </c:pt>
                <c:pt idx="321">
                  <c:v>100.5686610160262</c:v>
                </c:pt>
                <c:pt idx="322">
                  <c:v>100.56132801714733</c:v>
                </c:pt>
                <c:pt idx="323">
                  <c:v>100.55399648472158</c:v>
                </c:pt>
                <c:pt idx="324">
                  <c:v>100.54666641845569</c:v>
                </c:pt>
                <c:pt idx="325">
                  <c:v>100.53933781805648</c:v>
                </c:pt>
                <c:pt idx="326">
                  <c:v>100.53201068323077</c:v>
                </c:pt>
                <c:pt idx="327">
                  <c:v>100.5246850136855</c:v>
                </c:pt>
                <c:pt idx="328">
                  <c:v>100.51736080912764</c:v>
                </c:pt>
                <c:pt idx="329">
                  <c:v>100.5100380692642</c:v>
                </c:pt>
                <c:pt idx="330">
                  <c:v>100.50271679380231</c:v>
                </c:pt>
                <c:pt idx="331">
                  <c:v>100.49539698244908</c:v>
                </c:pt>
                <c:pt idx="332">
                  <c:v>100.48807863491173</c:v>
                </c:pt>
                <c:pt idx="333">
                  <c:v>100.48076175089753</c:v>
                </c:pt>
                <c:pt idx="334">
                  <c:v>100.47344633011383</c:v>
                </c:pt>
                <c:pt idx="335">
                  <c:v>100.46613237226796</c:v>
                </c:pt>
                <c:pt idx="336">
                  <c:v>100.45881987706741</c:v>
                </c:pt>
                <c:pt idx="337">
                  <c:v>100.45150884421965</c:v>
                </c:pt>
                <c:pt idx="338">
                  <c:v>100.44419927343225</c:v>
                </c:pt>
                <c:pt idx="339">
                  <c:v>100.43689116441283</c:v>
                </c:pt>
                <c:pt idx="340">
                  <c:v>100.42958451686906</c:v>
                </c:pt>
                <c:pt idx="341">
                  <c:v>100.42227933050867</c:v>
                </c:pt>
                <c:pt idx="342">
                  <c:v>100.41497560503944</c:v>
                </c:pt>
                <c:pt idx="343">
                  <c:v>100.40767334016928</c:v>
                </c:pt>
                <c:pt idx="344">
                  <c:v>100.40037253560604</c:v>
                </c:pt>
                <c:pt idx="345">
                  <c:v>100.3930731910577</c:v>
                </c:pt>
                <c:pt idx="346">
                  <c:v>100.38577530623229</c:v>
                </c:pt>
                <c:pt idx="347">
                  <c:v>100.37847888083792</c:v>
                </c:pt>
                <c:pt idx="348">
                  <c:v>100.37118391458267</c:v>
                </c:pt>
                <c:pt idx="349">
                  <c:v>100.36389040717482</c:v>
                </c:pt>
                <c:pt idx="350">
                  <c:v>100.35659835832257</c:v>
                </c:pt>
                <c:pt idx="351">
                  <c:v>100.34930776773427</c:v>
                </c:pt>
                <c:pt idx="352">
                  <c:v>100.34201863511828</c:v>
                </c:pt>
                <c:pt idx="353">
                  <c:v>100.33473096018304</c:v>
                </c:pt>
                <c:pt idx="354">
                  <c:v>100.32744474263706</c:v>
                </c:pt>
                <c:pt idx="355">
                  <c:v>100.32015998218885</c:v>
                </c:pt>
                <c:pt idx="356">
                  <c:v>100.31287667854706</c:v>
                </c:pt>
                <c:pt idx="357">
                  <c:v>100.30559483142034</c:v>
                </c:pt>
                <c:pt idx="358">
                  <c:v>100.2983144405174</c:v>
                </c:pt>
                <c:pt idx="359">
                  <c:v>100.29103550554706</c:v>
                </c:pt>
                <c:pt idx="360">
                  <c:v>100.28375802621815</c:v>
                </c:pt>
                <c:pt idx="361">
                  <c:v>100.27648200223956</c:v>
                </c:pt>
                <c:pt idx="362">
                  <c:v>100.26920743332025</c:v>
                </c:pt>
                <c:pt idx="363">
                  <c:v>100.26193431916924</c:v>
                </c:pt>
                <c:pt idx="364">
                  <c:v>100.25466265949561</c:v>
                </c:pt>
                <c:pt idx="365">
                  <c:v>100.24739245400849</c:v>
                </c:pt>
                <c:pt idx="366">
                  <c:v>100.24012370241708</c:v>
                </c:pt>
                <c:pt idx="367">
                  <c:v>100.23285640443062</c:v>
                </c:pt>
                <c:pt idx="368">
                  <c:v>100.22559055975842</c:v>
                </c:pt>
                <c:pt idx="369">
                  <c:v>100.21832616810985</c:v>
                </c:pt>
                <c:pt idx="370">
                  <c:v>100.21106322919434</c:v>
                </c:pt>
                <c:pt idx="371">
                  <c:v>100.20380174272134</c:v>
                </c:pt>
                <c:pt idx="372">
                  <c:v>100.19654170840043</c:v>
                </c:pt>
                <c:pt idx="373">
                  <c:v>100.18928312594119</c:v>
                </c:pt>
                <c:pt idx="374">
                  <c:v>100.18202599505328</c:v>
                </c:pt>
                <c:pt idx="375">
                  <c:v>100.17477031544641</c:v>
                </c:pt>
                <c:pt idx="376">
                  <c:v>100.16751608683037</c:v>
                </c:pt>
                <c:pt idx="377">
                  <c:v>100.16026330891498</c:v>
                </c:pt>
                <c:pt idx="378">
                  <c:v>100.15301198141012</c:v>
                </c:pt>
                <c:pt idx="379">
                  <c:v>100.14576210402574</c:v>
                </c:pt>
                <c:pt idx="380">
                  <c:v>100.13851367647185</c:v>
                </c:pt>
                <c:pt idx="381">
                  <c:v>100.13126669845852</c:v>
                </c:pt>
                <c:pt idx="382">
                  <c:v>100.12402116969585</c:v>
                </c:pt>
                <c:pt idx="383">
                  <c:v>100.11677708989403</c:v>
                </c:pt>
                <c:pt idx="384">
                  <c:v>100.10953445876331</c:v>
                </c:pt>
                <c:pt idx="385">
                  <c:v>100.10229327601397</c:v>
                </c:pt>
                <c:pt idx="386">
                  <c:v>100.09505354135636</c:v>
                </c:pt>
                <c:pt idx="387">
                  <c:v>100.0878152545009</c:v>
                </c:pt>
                <c:pt idx="388">
                  <c:v>100.08057841515807</c:v>
                </c:pt>
                <c:pt idx="389">
                  <c:v>100.07334302303836</c:v>
                </c:pt>
                <c:pt idx="390">
                  <c:v>100.06610907785239</c:v>
                </c:pt>
                <c:pt idx="391">
                  <c:v>100.05887657931078</c:v>
                </c:pt>
                <c:pt idx="392">
                  <c:v>100.05164552712424</c:v>
                </c:pt>
                <c:pt idx="393">
                  <c:v>100.04441592100352</c:v>
                </c:pt>
                <c:pt idx="394">
                  <c:v>100.03718776065945</c:v>
                </c:pt>
                <c:pt idx="395">
                  <c:v>100.02996104580289</c:v>
                </c:pt>
                <c:pt idx="396">
                  <c:v>100.02273577614478</c:v>
                </c:pt>
                <c:pt idx="397">
                  <c:v>100.01551195139611</c:v>
                </c:pt>
                <c:pt idx="398">
                  <c:v>100.00828957126791</c:v>
                </c:pt>
                <c:pt idx="399">
                  <c:v>100.00106863547131</c:v>
                </c:pt>
                <c:pt idx="400">
                  <c:v>99.993849143717455</c:v>
                </c:pt>
                <c:pt idx="401">
                  <c:v>99.98663109571757</c:v>
                </c:pt>
                <c:pt idx="402">
                  <c:v>99.979414491182936</c:v>
                </c:pt>
                <c:pt idx="403">
                  <c:v>99.972199329824889</c:v>
                </c:pt>
                <c:pt idx="404">
                  <c:v>99.96498561135482</c:v>
                </c:pt>
                <c:pt idx="405">
                  <c:v>99.957773335484177</c:v>
                </c:pt>
                <c:pt idx="406">
                  <c:v>99.95056250192448</c:v>
                </c:pt>
                <c:pt idx="407">
                  <c:v>99.943353110387278</c:v>
                </c:pt>
                <c:pt idx="408">
                  <c:v>99.936145160584203</c:v>
                </c:pt>
                <c:pt idx="409">
                  <c:v>99.928938652226947</c:v>
                </c:pt>
                <c:pt idx="410">
                  <c:v>99.921733585027226</c:v>
                </c:pt>
                <c:pt idx="411">
                  <c:v>99.914529958696875</c:v>
                </c:pt>
                <c:pt idx="412">
                  <c:v>99.907327772947724</c:v>
                </c:pt>
                <c:pt idx="413">
                  <c:v>99.900127027491664</c:v>
                </c:pt>
                <c:pt idx="414">
                  <c:v>99.892927722040724</c:v>
                </c:pt>
                <c:pt idx="415">
                  <c:v>99.885729856306881</c:v>
                </c:pt>
                <c:pt idx="416">
                  <c:v>99.878533430002236</c:v>
                </c:pt>
                <c:pt idx="417">
                  <c:v>99.871338442838933</c:v>
                </c:pt>
                <c:pt idx="418">
                  <c:v>99.864144894529176</c:v>
                </c:pt>
                <c:pt idx="419">
                  <c:v>99.856952784785221</c:v>
                </c:pt>
                <c:pt idx="420">
                  <c:v>99.849762113319372</c:v>
                </c:pt>
                <c:pt idx="421">
                  <c:v>99.842572879844028</c:v>
                </c:pt>
                <c:pt idx="422">
                  <c:v>99.835385084071589</c:v>
                </c:pt>
                <c:pt idx="423">
                  <c:v>99.828198725714572</c:v>
                </c:pt>
                <c:pt idx="424">
                  <c:v>99.821013804485489</c:v>
                </c:pt>
                <c:pt idx="425">
                  <c:v>99.813830320096983</c:v>
                </c:pt>
                <c:pt idx="426">
                  <c:v>99.806648272261683</c:v>
                </c:pt>
                <c:pt idx="427">
                  <c:v>99.799467660692329</c:v>
                </c:pt>
                <c:pt idx="428">
                  <c:v>99.792288485101679</c:v>
                </c:pt>
                <c:pt idx="429">
                  <c:v>99.785110745202573</c:v>
                </c:pt>
                <c:pt idx="430">
                  <c:v>99.777934440707895</c:v>
                </c:pt>
                <c:pt idx="431">
                  <c:v>99.770759571330615</c:v>
                </c:pt>
                <c:pt idx="432">
                  <c:v>99.763586136783715</c:v>
                </c:pt>
                <c:pt idx="433">
                  <c:v>99.756414136780265</c:v>
                </c:pt>
                <c:pt idx="434">
                  <c:v>99.749243571033389</c:v>
                </c:pt>
                <c:pt idx="435">
                  <c:v>99.742074439256243</c:v>
                </c:pt>
                <c:pt idx="436">
                  <c:v>99.734906741162106</c:v>
                </c:pt>
                <c:pt idx="437">
                  <c:v>99.72774047646422</c:v>
                </c:pt>
                <c:pt idx="438">
                  <c:v>99.720575644875979</c:v>
                </c:pt>
                <c:pt idx="439">
                  <c:v>99.713412246110749</c:v>
                </c:pt>
                <c:pt idx="440">
                  <c:v>99.706250279882028</c:v>
                </c:pt>
                <c:pt idx="441">
                  <c:v>99.699089745903322</c:v>
                </c:pt>
                <c:pt idx="442">
                  <c:v>99.691930643888213</c:v>
                </c:pt>
                <c:pt idx="443">
                  <c:v>99.684772973550324</c:v>
                </c:pt>
                <c:pt idx="444">
                  <c:v>99.677616734603362</c:v>
                </c:pt>
                <c:pt idx="445">
                  <c:v>99.670461926761078</c:v>
                </c:pt>
                <c:pt idx="446">
                  <c:v>99.663308549737266</c:v>
                </c:pt>
                <c:pt idx="447">
                  <c:v>99.656156603245819</c:v>
                </c:pt>
                <c:pt idx="448">
                  <c:v>99.649006087000615</c:v>
                </c:pt>
                <c:pt idx="449">
                  <c:v>99.641857000715675</c:v>
                </c:pt>
                <c:pt idx="450">
                  <c:v>99.634709344105019</c:v>
                </c:pt>
                <c:pt idx="451">
                  <c:v>99.62756311688274</c:v>
                </c:pt>
                <c:pt idx="452">
                  <c:v>99.620418318763001</c:v>
                </c:pt>
                <c:pt idx="453">
                  <c:v>99.613274949459992</c:v>
                </c:pt>
                <c:pt idx="454">
                  <c:v>99.606133008687976</c:v>
                </c:pt>
                <c:pt idx="455">
                  <c:v>99.598992496161287</c:v>
                </c:pt>
                <c:pt idx="456">
                  <c:v>99.591853411594315</c:v>
                </c:pt>
                <c:pt idx="457">
                  <c:v>99.584715754701477</c:v>
                </c:pt>
                <c:pt idx="458">
                  <c:v>99.57757952519728</c:v>
                </c:pt>
                <c:pt idx="459">
                  <c:v>99.570444722796253</c:v>
                </c:pt>
                <c:pt idx="460">
                  <c:v>99.56331134721303</c:v>
                </c:pt>
                <c:pt idx="461">
                  <c:v>99.556179398162271</c:v>
                </c:pt>
                <c:pt idx="462">
                  <c:v>99.549048875358693</c:v>
                </c:pt>
                <c:pt idx="463">
                  <c:v>99.54191977851707</c:v>
                </c:pt>
                <c:pt idx="464">
                  <c:v>99.534792107352246</c:v>
                </c:pt>
                <c:pt idx="465">
                  <c:v>99.527665861579095</c:v>
                </c:pt>
                <c:pt idx="466">
                  <c:v>99.52054104091259</c:v>
                </c:pt>
                <c:pt idx="467">
                  <c:v>99.513417645067733</c:v>
                </c:pt>
                <c:pt idx="468">
                  <c:v>99.506295673759595</c:v>
                </c:pt>
                <c:pt idx="469">
                  <c:v>99.499175126703278</c:v>
                </c:pt>
                <c:pt idx="470">
                  <c:v>99.492056003613982</c:v>
                </c:pt>
                <c:pt idx="471">
                  <c:v>99.484938304206935</c:v>
                </c:pt>
                <c:pt idx="472">
                  <c:v>99.477822028197409</c:v>
                </c:pt>
                <c:pt idx="473">
                  <c:v>99.470707175300774</c:v>
                </c:pt>
                <c:pt idx="474">
                  <c:v>99.46359374523243</c:v>
                </c:pt>
                <c:pt idx="475">
                  <c:v>99.456481737707847</c:v>
                </c:pt>
                <c:pt idx="476">
                  <c:v>99.449371152442538</c:v>
                </c:pt>
                <c:pt idx="477">
                  <c:v>99.442261989152072</c:v>
                </c:pt>
                <c:pt idx="478">
                  <c:v>99.435154247552106</c:v>
                </c:pt>
                <c:pt idx="479">
                  <c:v>99.428047927358293</c:v>
                </c:pt>
                <c:pt idx="480">
                  <c:v>99.420943028286416</c:v>
                </c:pt>
                <c:pt idx="481">
                  <c:v>99.413839550052245</c:v>
                </c:pt>
                <c:pt idx="482">
                  <c:v>99.40673749237169</c:v>
                </c:pt>
                <c:pt idx="483">
                  <c:v>99.399636854960619</c:v>
                </c:pt>
                <c:pt idx="484">
                  <c:v>99.392537637535042</c:v>
                </c:pt>
                <c:pt idx="485">
                  <c:v>99.385439839810971</c:v>
                </c:pt>
                <c:pt idx="486">
                  <c:v>99.378343461504471</c:v>
                </c:pt>
                <c:pt idx="487">
                  <c:v>99.371248502331753</c:v>
                </c:pt>
                <c:pt idx="488">
                  <c:v>99.364154962008968</c:v>
                </c:pt>
                <c:pt idx="489">
                  <c:v>99.357062840252382</c:v>
                </c:pt>
                <c:pt idx="490">
                  <c:v>99.349972136778305</c:v>
                </c:pt>
                <c:pt idx="491">
                  <c:v>99.342882851303131</c:v>
                </c:pt>
                <c:pt idx="492">
                  <c:v>99.335794983543281</c:v>
                </c:pt>
                <c:pt idx="493">
                  <c:v>99.32870853321522</c:v>
                </c:pt>
                <c:pt idx="494">
                  <c:v>99.321623500035514</c:v>
                </c:pt>
                <c:pt idx="495">
                  <c:v>99.314539883720755</c:v>
                </c:pt>
                <c:pt idx="496">
                  <c:v>99.307457683987579</c:v>
                </c:pt>
                <c:pt idx="497">
                  <c:v>99.300376900552735</c:v>
                </c:pt>
                <c:pt idx="498">
                  <c:v>99.293297533132971</c:v>
                </c:pt>
                <c:pt idx="499">
                  <c:v>99.286219581445096</c:v>
                </c:pt>
                <c:pt idx="500">
                  <c:v>99.279143045206013</c:v>
                </c:pt>
                <c:pt idx="501">
                  <c:v>99.272067924132671</c:v>
                </c:pt>
                <c:pt idx="502">
                  <c:v>99.264994217942046</c:v>
                </c:pt>
                <c:pt idx="503">
                  <c:v>99.257921926351187</c:v>
                </c:pt>
                <c:pt idx="504">
                  <c:v>99.250851049077212</c:v>
                </c:pt>
                <c:pt idx="505">
                  <c:v>99.243781585837297</c:v>
                </c:pt>
                <c:pt idx="506">
                  <c:v>99.236713536348617</c:v>
                </c:pt>
                <c:pt idx="507">
                  <c:v>99.229646900328504</c:v>
                </c:pt>
                <c:pt idx="508">
                  <c:v>99.222581677494276</c:v>
                </c:pt>
                <c:pt idx="509">
                  <c:v>99.215517867563321</c:v>
                </c:pt>
                <c:pt idx="510">
                  <c:v>99.208455470253085</c:v>
                </c:pt>
                <c:pt idx="511">
                  <c:v>99.201394485281071</c:v>
                </c:pt>
                <c:pt idx="512">
                  <c:v>99.194334912364837</c:v>
                </c:pt>
                <c:pt idx="513">
                  <c:v>99.187276751222001</c:v>
                </c:pt>
                <c:pt idx="514">
                  <c:v>99.180220001570248</c:v>
                </c:pt>
                <c:pt idx="515">
                  <c:v>99.173164663127295</c:v>
                </c:pt>
                <c:pt idx="516">
                  <c:v>99.166110735610928</c:v>
                </c:pt>
                <c:pt idx="517">
                  <c:v>99.159058218739005</c:v>
                </c:pt>
                <c:pt idx="518">
                  <c:v>99.152007112229413</c:v>
                </c:pt>
                <c:pt idx="519">
                  <c:v>99.144957415800107</c:v>
                </c:pt>
                <c:pt idx="520">
                  <c:v>99.137909129169103</c:v>
                </c:pt>
                <c:pt idx="521">
                  <c:v>99.13086225205447</c:v>
                </c:pt>
                <c:pt idx="522">
                  <c:v>99.123816784174338</c:v>
                </c:pt>
                <c:pt idx="523">
                  <c:v>99.116772725246875</c:v>
                </c:pt>
                <c:pt idx="524">
                  <c:v>99.109730074990324</c:v>
                </c:pt>
                <c:pt idx="525">
                  <c:v>99.102688833122983</c:v>
                </c:pt>
                <c:pt idx="526">
                  <c:v>99.095648999363206</c:v>
                </c:pt>
                <c:pt idx="527">
                  <c:v>99.088610573429378</c:v>
                </c:pt>
                <c:pt idx="528">
                  <c:v>99.081573555039995</c:v>
                </c:pt>
                <c:pt idx="529">
                  <c:v>99.074537943913555</c:v>
                </c:pt>
                <c:pt idx="530">
                  <c:v>99.067503739768625</c:v>
                </c:pt>
                <c:pt idx="531">
                  <c:v>99.06047094232386</c:v>
                </c:pt>
                <c:pt idx="532">
                  <c:v>99.053439551297942</c:v>
                </c:pt>
                <c:pt idx="533">
                  <c:v>99.046409566409608</c:v>
                </c:pt>
                <c:pt idx="534">
                  <c:v>99.039380987377655</c:v>
                </c:pt>
                <c:pt idx="535">
                  <c:v>99.032353813920935</c:v>
                </c:pt>
                <c:pt idx="536">
                  <c:v>99.0253280457584</c:v>
                </c:pt>
                <c:pt idx="537">
                  <c:v>99.018303682608973</c:v>
                </c:pt>
                <c:pt idx="538">
                  <c:v>99.011280724191707</c:v>
                </c:pt>
                <c:pt idx="539">
                  <c:v>99.00425917022568</c:v>
                </c:pt>
                <c:pt idx="540">
                  <c:v>98.997239020430001</c:v>
                </c:pt>
                <c:pt idx="541">
                  <c:v>98.990220274523907</c:v>
                </c:pt>
                <c:pt idx="542">
                  <c:v>98.983202932226618</c:v>
                </c:pt>
                <c:pt idx="543">
                  <c:v>98.976186993257457</c:v>
                </c:pt>
                <c:pt idx="544">
                  <c:v>98.969172457335787</c:v>
                </c:pt>
                <c:pt idx="545">
                  <c:v>98.962159324181016</c:v>
                </c:pt>
                <c:pt idx="546">
                  <c:v>98.955147593512606</c:v>
                </c:pt>
                <c:pt idx="547">
                  <c:v>98.948137265050121</c:v>
                </c:pt>
                <c:pt idx="548">
                  <c:v>98.941128338513124</c:v>
                </c:pt>
                <c:pt idx="549">
                  <c:v>98.934120813621263</c:v>
                </c:pt>
                <c:pt idx="550">
                  <c:v>98.927114690094257</c:v>
                </c:pt>
                <c:pt idx="551">
                  <c:v>98.920109967651825</c:v>
                </c:pt>
                <c:pt idx="552">
                  <c:v>98.913106646013802</c:v>
                </c:pt>
                <c:pt idx="553">
                  <c:v>98.906104724900047</c:v>
                </c:pt>
                <c:pt idx="554">
                  <c:v>98.899104204030493</c:v>
                </c:pt>
                <c:pt idx="555">
                  <c:v>98.892105083125102</c:v>
                </c:pt>
                <c:pt idx="556">
                  <c:v>98.885107361903934</c:v>
                </c:pt>
                <c:pt idx="557">
                  <c:v>98.878111040087049</c:v>
                </c:pt>
                <c:pt idx="558">
                  <c:v>98.871116117394621</c:v>
                </c:pt>
                <c:pt idx="559">
                  <c:v>98.864122593546853</c:v>
                </c:pt>
                <c:pt idx="560">
                  <c:v>98.857130468263961</c:v>
                </c:pt>
                <c:pt idx="561">
                  <c:v>98.850139741266318</c:v>
                </c:pt>
                <c:pt idx="562">
                  <c:v>98.843150412274269</c:v>
                </c:pt>
                <c:pt idx="563">
                  <c:v>98.83616248100823</c:v>
                </c:pt>
                <c:pt idx="564">
                  <c:v>98.829175947188702</c:v>
                </c:pt>
                <c:pt idx="565">
                  <c:v>98.822190810536199</c:v>
                </c:pt>
                <c:pt idx="566">
                  <c:v>98.815207070771351</c:v>
                </c:pt>
                <c:pt idx="567">
                  <c:v>98.8082247276148</c:v>
                </c:pt>
                <c:pt idx="568">
                  <c:v>98.801243780787217</c:v>
                </c:pt>
                <c:pt idx="569">
                  <c:v>98.794264230009404</c:v>
                </c:pt>
                <c:pt idx="570">
                  <c:v>98.787286075002157</c:v>
                </c:pt>
                <c:pt idx="571">
                  <c:v>98.780309315486363</c:v>
                </c:pt>
                <c:pt idx="572">
                  <c:v>98.773333951182963</c:v>
                </c:pt>
                <c:pt idx="573">
                  <c:v>98.766359981812911</c:v>
                </c:pt>
                <c:pt idx="574">
                  <c:v>98.75938740709725</c:v>
                </c:pt>
                <c:pt idx="575">
                  <c:v>98.752416226757106</c:v>
                </c:pt>
                <c:pt idx="576">
                  <c:v>98.745446440513604</c:v>
                </c:pt>
                <c:pt idx="577">
                  <c:v>98.738478048087984</c:v>
                </c:pt>
                <c:pt idx="578">
                  <c:v>98.731511049201472</c:v>
                </c:pt>
                <c:pt idx="579">
                  <c:v>98.724545443575408</c:v>
                </c:pt>
                <c:pt idx="580">
                  <c:v>98.717581230931188</c:v>
                </c:pt>
                <c:pt idx="581">
                  <c:v>98.710618410990193</c:v>
                </c:pt>
                <c:pt idx="582">
                  <c:v>98.703656983473962</c:v>
                </c:pt>
                <c:pt idx="583">
                  <c:v>98.696696948104005</c:v>
                </c:pt>
                <c:pt idx="584">
                  <c:v>98.689738304601917</c:v>
                </c:pt>
                <c:pt idx="585">
                  <c:v>98.682781052689393</c:v>
                </c:pt>
                <c:pt idx="586">
                  <c:v>98.675825192088098</c:v>
                </c:pt>
                <c:pt idx="587">
                  <c:v>98.668870722519813</c:v>
                </c:pt>
                <c:pt idx="588">
                  <c:v>98.661917643706374</c:v>
                </c:pt>
                <c:pt idx="589">
                  <c:v>98.654965955369633</c:v>
                </c:pt>
                <c:pt idx="590">
                  <c:v>98.648015657231539</c:v>
                </c:pt>
                <c:pt idx="591">
                  <c:v>98.641066749014072</c:v>
                </c:pt>
                <c:pt idx="592">
                  <c:v>98.634119230439296</c:v>
                </c:pt>
                <c:pt idx="593">
                  <c:v>98.627173101229275</c:v>
                </c:pt>
                <c:pt idx="594">
                  <c:v>98.6202283611062</c:v>
                </c:pt>
                <c:pt idx="595">
                  <c:v>98.61328500979225</c:v>
                </c:pt>
                <c:pt idx="596">
                  <c:v>98.606343047009716</c:v>
                </c:pt>
                <c:pt idx="597">
                  <c:v>98.599402472480904</c:v>
                </c:pt>
                <c:pt idx="598">
                  <c:v>98.592463285928176</c:v>
                </c:pt>
                <c:pt idx="599">
                  <c:v>98.585525487074008</c:v>
                </c:pt>
                <c:pt idx="600">
                  <c:v>98.578589075640849</c:v>
                </c:pt>
                <c:pt idx="601">
                  <c:v>98.571654051351288</c:v>
                </c:pt>
                <c:pt idx="602">
                  <c:v>98.564720413927859</c:v>
                </c:pt>
                <c:pt idx="603">
                  <c:v>98.557788163093264</c:v>
                </c:pt>
                <c:pt idx="604">
                  <c:v>98.550857298570207</c:v>
                </c:pt>
                <c:pt idx="605">
                  <c:v>98.543927820081436</c:v>
                </c:pt>
                <c:pt idx="606">
                  <c:v>98.53699972734978</c:v>
                </c:pt>
                <c:pt idx="607">
                  <c:v>98.530073020098129</c:v>
                </c:pt>
                <c:pt idx="608">
                  <c:v>98.523147698049399</c:v>
                </c:pt>
                <c:pt idx="609">
                  <c:v>98.516223760926579</c:v>
                </c:pt>
                <c:pt idx="610">
                  <c:v>98.509301208452712</c:v>
                </c:pt>
                <c:pt idx="611">
                  <c:v>98.502380040350914</c:v>
                </c:pt>
                <c:pt idx="612">
                  <c:v>98.495460256344302</c:v>
                </c:pt>
                <c:pt idx="613">
                  <c:v>98.488541856156118</c:v>
                </c:pt>
                <c:pt idx="614">
                  <c:v>98.481624839509607</c:v>
                </c:pt>
                <c:pt idx="615">
                  <c:v>98.474709206128097</c:v>
                </c:pt>
                <c:pt idx="616">
                  <c:v>98.467794955734959</c:v>
                </c:pt>
                <c:pt idx="617">
                  <c:v>98.460882088053623</c:v>
                </c:pt>
                <c:pt idx="618">
                  <c:v>98.453970602807573</c:v>
                </c:pt>
                <c:pt idx="619">
                  <c:v>98.447060499720351</c:v>
                </c:pt>
                <c:pt idx="620">
                  <c:v>98.44015177851557</c:v>
                </c:pt>
                <c:pt idx="621">
                  <c:v>98.433244438916844</c:v>
                </c:pt>
                <c:pt idx="622">
                  <c:v>98.4263384806479</c:v>
                </c:pt>
                <c:pt idx="623">
                  <c:v>98.41943390343252</c:v>
                </c:pt>
                <c:pt idx="624">
                  <c:v>98.412530706994488</c:v>
                </c:pt>
                <c:pt idx="625">
                  <c:v>98.405628891057688</c:v>
                </c:pt>
                <c:pt idx="626">
                  <c:v>98.398728455346031</c:v>
                </c:pt>
                <c:pt idx="627">
                  <c:v>98.391829399583543</c:v>
                </c:pt>
                <c:pt idx="628">
                  <c:v>98.384931723494233</c:v>
                </c:pt>
                <c:pt idx="629">
                  <c:v>98.378035426802185</c:v>
                </c:pt>
                <c:pt idx="630">
                  <c:v>98.371140509231566</c:v>
                </c:pt>
                <c:pt idx="631">
                  <c:v>98.364246970506571</c:v>
                </c:pt>
                <c:pt idx="632">
                  <c:v>98.357354810351467</c:v>
                </c:pt>
                <c:pt idx="633">
                  <c:v>98.350464028490549</c:v>
                </c:pt>
                <c:pt idx="634">
                  <c:v>98.343574624648198</c:v>
                </c:pt>
                <c:pt idx="635">
                  <c:v>98.336686598548837</c:v>
                </c:pt>
                <c:pt idx="636">
                  <c:v>98.329799949916946</c:v>
                </c:pt>
                <c:pt idx="637">
                  <c:v>98.322914678477048</c:v>
                </c:pt>
                <c:pt idx="638">
                  <c:v>98.316030783953764</c:v>
                </c:pt>
                <c:pt idx="639">
                  <c:v>98.309148266071702</c:v>
                </c:pt>
                <c:pt idx="640">
                  <c:v>98.30226712455557</c:v>
                </c:pt>
                <c:pt idx="641">
                  <c:v>98.295387359130132</c:v>
                </c:pt>
                <c:pt idx="642">
                  <c:v>98.288508969520194</c:v>
                </c:pt>
                <c:pt idx="643">
                  <c:v>98.281631955450621</c:v>
                </c:pt>
                <c:pt idx="644">
                  <c:v>98.274756316646346</c:v>
                </c:pt>
                <c:pt idx="645">
                  <c:v>98.267882052832306</c:v>
                </c:pt>
                <c:pt idx="646">
                  <c:v>98.261009163733547</c:v>
                </c:pt>
                <c:pt idx="647">
                  <c:v>98.254137649075176</c:v>
                </c:pt>
                <c:pt idx="648">
                  <c:v>98.247267508582325</c:v>
                </c:pt>
                <c:pt idx="649">
                  <c:v>98.240398741980158</c:v>
                </c:pt>
                <c:pt idx="650">
                  <c:v>98.233531348993949</c:v>
                </c:pt>
                <c:pt idx="651">
                  <c:v>98.226665329349004</c:v>
                </c:pt>
                <c:pt idx="652">
                  <c:v>98.219800682770668</c:v>
                </c:pt>
                <c:pt idx="653">
                  <c:v>98.212937408984374</c:v>
                </c:pt>
                <c:pt idx="654">
                  <c:v>98.206075507715582</c:v>
                </c:pt>
                <c:pt idx="655">
                  <c:v>98.19921497868981</c:v>
                </c:pt>
                <c:pt idx="656">
                  <c:v>98.192355821632631</c:v>
                </c:pt>
                <c:pt idx="657">
                  <c:v>98.185498036269706</c:v>
                </c:pt>
                <c:pt idx="658">
                  <c:v>98.178641622326694</c:v>
                </c:pt>
                <c:pt idx="659">
                  <c:v>98.171786579529368</c:v>
                </c:pt>
                <c:pt idx="660">
                  <c:v>98.164932907603486</c:v>
                </c:pt>
                <c:pt idx="661">
                  <c:v>98.15808060627495</c:v>
                </c:pt>
                <c:pt idx="662">
                  <c:v>98.151229675269633</c:v>
                </c:pt>
                <c:pt idx="663">
                  <c:v>98.144380114313506</c:v>
                </c:pt>
                <c:pt idx="664">
                  <c:v>98.137531923132585</c:v>
                </c:pt>
                <c:pt idx="665">
                  <c:v>98.13068510145294</c:v>
                </c:pt>
                <c:pt idx="666">
                  <c:v>98.123839649000729</c:v>
                </c:pt>
                <c:pt idx="667">
                  <c:v>98.116995565502094</c:v>
                </c:pt>
                <c:pt idx="668">
                  <c:v>98.110152850683278</c:v>
                </c:pt>
                <c:pt idx="669">
                  <c:v>98.103311504270579</c:v>
                </c:pt>
                <c:pt idx="670">
                  <c:v>98.096471525990353</c:v>
                </c:pt>
                <c:pt idx="671">
                  <c:v>98.089632915568998</c:v>
                </c:pt>
                <c:pt idx="672">
                  <c:v>98.082795672732971</c:v>
                </c:pt>
                <c:pt idx="673">
                  <c:v>98.075959797208753</c:v>
                </c:pt>
                <c:pt idx="674">
                  <c:v>98.069125288722944</c:v>
                </c:pt>
                <c:pt idx="675">
                  <c:v>98.062292147002154</c:v>
                </c:pt>
                <c:pt idx="676">
                  <c:v>98.055460371773052</c:v>
                </c:pt>
                <c:pt idx="677">
                  <c:v>98.048629962762362</c:v>
                </c:pt>
                <c:pt idx="678">
                  <c:v>98.041800919696868</c:v>
                </c:pt>
                <c:pt idx="679">
                  <c:v>98.034973242303437</c:v>
                </c:pt>
                <c:pt idx="680">
                  <c:v>98.028146930308921</c:v>
                </c:pt>
                <c:pt idx="681">
                  <c:v>98.021321983440302</c:v>
                </c:pt>
                <c:pt idx="682">
                  <c:v>98.014498401424561</c:v>
                </c:pt>
                <c:pt idx="683">
                  <c:v>98.007676183988764</c:v>
                </c:pt>
                <c:pt idx="684">
                  <c:v>98.00085533086002</c:v>
                </c:pt>
                <c:pt idx="685">
                  <c:v>97.994035841765481</c:v>
                </c:pt>
                <c:pt idx="686">
                  <c:v>97.987217716432383</c:v>
                </c:pt>
                <c:pt idx="687">
                  <c:v>97.980400954588006</c:v>
                </c:pt>
                <c:pt idx="688">
                  <c:v>97.973585555959659</c:v>
                </c:pt>
                <c:pt idx="689">
                  <c:v>97.966771520274762</c:v>
                </c:pt>
                <c:pt idx="690">
                  <c:v>97.959958847260708</c:v>
                </c:pt>
                <c:pt idx="691">
                  <c:v>97.953147536645019</c:v>
                </c:pt>
                <c:pt idx="692">
                  <c:v>97.946337588155245</c:v>
                </c:pt>
                <c:pt idx="693">
                  <c:v>97.939529001518977</c:v>
                </c:pt>
                <c:pt idx="694">
                  <c:v>97.932721776463865</c:v>
                </c:pt>
                <c:pt idx="695">
                  <c:v>97.925915912717642</c:v>
                </c:pt>
                <c:pt idx="696">
                  <c:v>97.919111410008043</c:v>
                </c:pt>
                <c:pt idx="697">
                  <c:v>97.912308268062915</c:v>
                </c:pt>
                <c:pt idx="698">
                  <c:v>97.905506486610122</c:v>
                </c:pt>
                <c:pt idx="699">
                  <c:v>97.898706065377581</c:v>
                </c:pt>
                <c:pt idx="700">
                  <c:v>97.891907004093312</c:v>
                </c:pt>
                <c:pt idx="701">
                  <c:v>97.885109302485318</c:v>
                </c:pt>
                <c:pt idx="702">
                  <c:v>97.878312960281676</c:v>
                </c:pt>
                <c:pt idx="703">
                  <c:v>97.871517977210587</c:v>
                </c:pt>
                <c:pt idx="704">
                  <c:v>97.864724353000213</c:v>
                </c:pt>
                <c:pt idx="705">
                  <c:v>97.857932087378813</c:v>
                </c:pt>
                <c:pt idx="706">
                  <c:v>97.851141180074706</c:v>
                </c:pt>
                <c:pt idx="707">
                  <c:v>97.844351630816249</c:v>
                </c:pt>
                <c:pt idx="708">
                  <c:v>97.837563439331859</c:v>
                </c:pt>
                <c:pt idx="709">
                  <c:v>97.83077660535001</c:v>
                </c:pt>
                <c:pt idx="710">
                  <c:v>97.823991128599232</c:v>
                </c:pt>
                <c:pt idx="711">
                  <c:v>97.817207008808111</c:v>
                </c:pt>
                <c:pt idx="712">
                  <c:v>97.810424245705264</c:v>
                </c:pt>
                <c:pt idx="713">
                  <c:v>97.803642839019403</c:v>
                </c:pt>
                <c:pt idx="714">
                  <c:v>97.796862788479245</c:v>
                </c:pt>
                <c:pt idx="715">
                  <c:v>97.790084093813618</c:v>
                </c:pt>
                <c:pt idx="716">
                  <c:v>97.783306754751351</c:v>
                </c:pt>
                <c:pt idx="717">
                  <c:v>97.776530771021356</c:v>
                </c:pt>
                <c:pt idx="718">
                  <c:v>97.769756142352605</c:v>
                </c:pt>
                <c:pt idx="719">
                  <c:v>97.762982868474097</c:v>
                </c:pt>
                <c:pt idx="720">
                  <c:v>97.756210949114916</c:v>
                </c:pt>
                <c:pt idx="721">
                  <c:v>97.749440384004174</c:v>
                </c:pt>
                <c:pt idx="722">
                  <c:v>97.742671172871042</c:v>
                </c:pt>
                <c:pt idx="723">
                  <c:v>97.735903315444773</c:v>
                </c:pt>
                <c:pt idx="724">
                  <c:v>97.729136811454637</c:v>
                </c:pt>
                <c:pt idx="725">
                  <c:v>97.722371660629989</c:v>
                </c:pt>
                <c:pt idx="726">
                  <c:v>97.715607862700196</c:v>
                </c:pt>
                <c:pt idx="727">
                  <c:v>97.708845417394727</c:v>
                </c:pt>
                <c:pt idx="728">
                  <c:v>97.702084324443078</c:v>
                </c:pt>
                <c:pt idx="729">
                  <c:v>97.695324583574802</c:v>
                </c:pt>
                <c:pt idx="730">
                  <c:v>97.688566194519524</c:v>
                </c:pt>
                <c:pt idx="731">
                  <c:v>97.68180915700691</c:v>
                </c:pt>
                <c:pt idx="732">
                  <c:v>97.675053470766642</c:v>
                </c:pt>
                <c:pt idx="733">
                  <c:v>97.668299135528528</c:v>
                </c:pt>
                <c:pt idx="734">
                  <c:v>97.661546151022378</c:v>
                </c:pt>
                <c:pt idx="735">
                  <c:v>97.654794516978086</c:v>
                </c:pt>
                <c:pt idx="736">
                  <c:v>97.648044233125574</c:v>
                </c:pt>
                <c:pt idx="737">
                  <c:v>97.641295299194837</c:v>
                </c:pt>
                <c:pt idx="738">
                  <c:v>97.634547714915925</c:v>
                </c:pt>
                <c:pt idx="739">
                  <c:v>97.627801480018917</c:v>
                </c:pt>
                <c:pt idx="740">
                  <c:v>97.621056594233977</c:v>
                </c:pt>
                <c:pt idx="741">
                  <c:v>97.614313057291298</c:v>
                </c:pt>
                <c:pt idx="742">
                  <c:v>97.607570868921158</c:v>
                </c:pt>
                <c:pt idx="743">
                  <c:v>97.600830028853849</c:v>
                </c:pt>
                <c:pt idx="744">
                  <c:v>97.594090536819749</c:v>
                </c:pt>
                <c:pt idx="745">
                  <c:v>97.587352392549263</c:v>
                </c:pt>
                <c:pt idx="746">
                  <c:v>97.580615595772883</c:v>
                </c:pt>
                <c:pt idx="747">
                  <c:v>97.573880146221143</c:v>
                </c:pt>
                <c:pt idx="748">
                  <c:v>97.567146043624604</c:v>
                </c:pt>
                <c:pt idx="749">
                  <c:v>97.560413287713914</c:v>
                </c:pt>
                <c:pt idx="750">
                  <c:v>97.553681878219763</c:v>
                </c:pt>
              </c:numCache>
            </c:numRef>
          </c:yVal>
          <c:smooth val="0"/>
          <c:extLst>
            <c:ext xmlns:c16="http://schemas.microsoft.com/office/drawing/2014/chart" uri="{C3380CC4-5D6E-409C-BE32-E72D297353CC}">
              <c16:uniqueId val="{00000002-D988-4F7B-8CAF-3E43F52E176F}"/>
            </c:ext>
          </c:extLst>
        </c:ser>
        <c:ser>
          <c:idx val="3"/>
          <c:order val="3"/>
          <c:tx>
            <c:strRef>
              <c:f>Sheet1!$G$9</c:f>
              <c:strCache>
                <c:ptCount val="1"/>
                <c:pt idx="0">
                  <c:v>Coated Nanogard</c:v>
                </c:pt>
              </c:strCache>
            </c:strRef>
          </c:tx>
          <c:spPr>
            <a:ln w="19050" cap="rnd">
              <a:solidFill>
                <a:schemeClr val="accent4"/>
              </a:solidFill>
              <a:round/>
            </a:ln>
            <a:effectLst/>
          </c:spPr>
          <c:marker>
            <c:symbol val="none"/>
          </c:marker>
          <c:xVal>
            <c:numRef>
              <c:f>Sheet1!$C$10:$C$760</c:f>
              <c:numCache>
                <c:formatCode>General</c:formatCode>
                <c:ptCount val="751"/>
                <c:pt idx="0">
                  <c:v>0</c:v>
                </c:pt>
                <c:pt idx="1">
                  <c:v>0.08</c:v>
                </c:pt>
                <c:pt idx="2">
                  <c:v>0.16</c:v>
                </c:pt>
                <c:pt idx="3">
                  <c:v>0.24</c:v>
                </c:pt>
                <c:pt idx="4">
                  <c:v>0.32</c:v>
                </c:pt>
                <c:pt idx="5">
                  <c:v>0.4</c:v>
                </c:pt>
                <c:pt idx="6">
                  <c:v>0.48</c:v>
                </c:pt>
                <c:pt idx="7">
                  <c:v>0.56000000000000005</c:v>
                </c:pt>
                <c:pt idx="8">
                  <c:v>0.64</c:v>
                </c:pt>
                <c:pt idx="9">
                  <c:v>0.72</c:v>
                </c:pt>
                <c:pt idx="10">
                  <c:v>0.8</c:v>
                </c:pt>
                <c:pt idx="11">
                  <c:v>0.88</c:v>
                </c:pt>
                <c:pt idx="12">
                  <c:v>0.96</c:v>
                </c:pt>
                <c:pt idx="13">
                  <c:v>1.04</c:v>
                </c:pt>
                <c:pt idx="14">
                  <c:v>1.1200000000000001</c:v>
                </c:pt>
                <c:pt idx="15">
                  <c:v>1.2</c:v>
                </c:pt>
                <c:pt idx="16">
                  <c:v>1.28</c:v>
                </c:pt>
                <c:pt idx="17">
                  <c:v>1.36</c:v>
                </c:pt>
                <c:pt idx="18">
                  <c:v>1.44</c:v>
                </c:pt>
                <c:pt idx="19">
                  <c:v>1.52</c:v>
                </c:pt>
                <c:pt idx="20">
                  <c:v>1.6</c:v>
                </c:pt>
                <c:pt idx="21">
                  <c:v>1.68</c:v>
                </c:pt>
                <c:pt idx="22">
                  <c:v>1.76</c:v>
                </c:pt>
                <c:pt idx="23">
                  <c:v>1.84</c:v>
                </c:pt>
                <c:pt idx="24">
                  <c:v>1.92</c:v>
                </c:pt>
                <c:pt idx="25">
                  <c:v>2</c:v>
                </c:pt>
                <c:pt idx="26">
                  <c:v>2.08</c:v>
                </c:pt>
                <c:pt idx="27">
                  <c:v>2.16</c:v>
                </c:pt>
                <c:pt idx="28">
                  <c:v>2.2400000000000002</c:v>
                </c:pt>
                <c:pt idx="29">
                  <c:v>2.3199999999999998</c:v>
                </c:pt>
                <c:pt idx="30">
                  <c:v>2.4</c:v>
                </c:pt>
                <c:pt idx="31">
                  <c:v>2.48</c:v>
                </c:pt>
                <c:pt idx="32">
                  <c:v>2.56</c:v>
                </c:pt>
                <c:pt idx="33">
                  <c:v>2.64</c:v>
                </c:pt>
                <c:pt idx="34">
                  <c:v>2.72</c:v>
                </c:pt>
                <c:pt idx="35">
                  <c:v>2.8</c:v>
                </c:pt>
                <c:pt idx="36">
                  <c:v>2.88</c:v>
                </c:pt>
                <c:pt idx="37">
                  <c:v>2.96</c:v>
                </c:pt>
                <c:pt idx="38">
                  <c:v>3.04</c:v>
                </c:pt>
                <c:pt idx="39">
                  <c:v>3.12</c:v>
                </c:pt>
                <c:pt idx="40">
                  <c:v>3.2</c:v>
                </c:pt>
                <c:pt idx="41">
                  <c:v>3.28</c:v>
                </c:pt>
                <c:pt idx="42">
                  <c:v>3.36</c:v>
                </c:pt>
                <c:pt idx="43">
                  <c:v>3.44</c:v>
                </c:pt>
                <c:pt idx="44">
                  <c:v>3.52</c:v>
                </c:pt>
                <c:pt idx="45">
                  <c:v>3.6</c:v>
                </c:pt>
                <c:pt idx="46">
                  <c:v>3.68</c:v>
                </c:pt>
                <c:pt idx="47">
                  <c:v>3.76</c:v>
                </c:pt>
                <c:pt idx="48">
                  <c:v>3.84</c:v>
                </c:pt>
                <c:pt idx="49">
                  <c:v>3.92</c:v>
                </c:pt>
                <c:pt idx="50">
                  <c:v>4</c:v>
                </c:pt>
                <c:pt idx="51">
                  <c:v>4.08</c:v>
                </c:pt>
                <c:pt idx="52">
                  <c:v>4.16</c:v>
                </c:pt>
                <c:pt idx="53">
                  <c:v>4.24</c:v>
                </c:pt>
                <c:pt idx="54">
                  <c:v>4.32</c:v>
                </c:pt>
                <c:pt idx="55">
                  <c:v>4.4000000000000004</c:v>
                </c:pt>
                <c:pt idx="56">
                  <c:v>4.4800000000000004</c:v>
                </c:pt>
                <c:pt idx="57">
                  <c:v>4.5599999999999996</c:v>
                </c:pt>
                <c:pt idx="58">
                  <c:v>4.6399999999999997</c:v>
                </c:pt>
                <c:pt idx="59">
                  <c:v>4.72</c:v>
                </c:pt>
                <c:pt idx="60">
                  <c:v>4.8</c:v>
                </c:pt>
                <c:pt idx="61">
                  <c:v>4.88</c:v>
                </c:pt>
                <c:pt idx="62">
                  <c:v>4.96</c:v>
                </c:pt>
                <c:pt idx="63">
                  <c:v>5.04</c:v>
                </c:pt>
                <c:pt idx="64">
                  <c:v>5.12</c:v>
                </c:pt>
                <c:pt idx="65">
                  <c:v>5.2</c:v>
                </c:pt>
                <c:pt idx="66">
                  <c:v>5.28</c:v>
                </c:pt>
                <c:pt idx="67">
                  <c:v>5.36</c:v>
                </c:pt>
                <c:pt idx="68">
                  <c:v>5.44</c:v>
                </c:pt>
                <c:pt idx="69">
                  <c:v>5.52</c:v>
                </c:pt>
                <c:pt idx="70">
                  <c:v>5.6</c:v>
                </c:pt>
                <c:pt idx="71">
                  <c:v>5.68</c:v>
                </c:pt>
                <c:pt idx="72">
                  <c:v>5.76</c:v>
                </c:pt>
                <c:pt idx="73">
                  <c:v>5.84</c:v>
                </c:pt>
                <c:pt idx="74">
                  <c:v>5.92</c:v>
                </c:pt>
                <c:pt idx="75">
                  <c:v>6</c:v>
                </c:pt>
                <c:pt idx="76">
                  <c:v>6.08</c:v>
                </c:pt>
                <c:pt idx="77">
                  <c:v>6.16</c:v>
                </c:pt>
                <c:pt idx="78">
                  <c:v>6.24</c:v>
                </c:pt>
                <c:pt idx="79">
                  <c:v>6.32</c:v>
                </c:pt>
                <c:pt idx="80">
                  <c:v>6.4</c:v>
                </c:pt>
                <c:pt idx="81">
                  <c:v>6.48</c:v>
                </c:pt>
                <c:pt idx="82">
                  <c:v>6.56</c:v>
                </c:pt>
                <c:pt idx="83">
                  <c:v>6.64</c:v>
                </c:pt>
                <c:pt idx="84">
                  <c:v>6.72</c:v>
                </c:pt>
                <c:pt idx="85">
                  <c:v>6.8</c:v>
                </c:pt>
                <c:pt idx="86">
                  <c:v>6.88</c:v>
                </c:pt>
                <c:pt idx="87">
                  <c:v>6.96</c:v>
                </c:pt>
                <c:pt idx="88">
                  <c:v>7.04</c:v>
                </c:pt>
                <c:pt idx="89">
                  <c:v>7.12</c:v>
                </c:pt>
                <c:pt idx="90">
                  <c:v>7.2</c:v>
                </c:pt>
                <c:pt idx="91">
                  <c:v>7.28</c:v>
                </c:pt>
                <c:pt idx="92">
                  <c:v>7.36</c:v>
                </c:pt>
                <c:pt idx="93">
                  <c:v>7.44</c:v>
                </c:pt>
                <c:pt idx="94">
                  <c:v>7.52</c:v>
                </c:pt>
                <c:pt idx="95">
                  <c:v>7.6</c:v>
                </c:pt>
                <c:pt idx="96">
                  <c:v>7.68</c:v>
                </c:pt>
                <c:pt idx="97">
                  <c:v>7.76</c:v>
                </c:pt>
                <c:pt idx="98">
                  <c:v>7.84</c:v>
                </c:pt>
                <c:pt idx="99">
                  <c:v>7.92</c:v>
                </c:pt>
                <c:pt idx="100">
                  <c:v>8</c:v>
                </c:pt>
                <c:pt idx="101">
                  <c:v>8.08</c:v>
                </c:pt>
                <c:pt idx="102">
                  <c:v>8.16</c:v>
                </c:pt>
                <c:pt idx="103">
                  <c:v>8.24</c:v>
                </c:pt>
                <c:pt idx="104">
                  <c:v>8.32</c:v>
                </c:pt>
                <c:pt idx="105">
                  <c:v>8.4</c:v>
                </c:pt>
                <c:pt idx="106">
                  <c:v>8.48</c:v>
                </c:pt>
                <c:pt idx="107">
                  <c:v>8.56</c:v>
                </c:pt>
                <c:pt idx="108">
                  <c:v>8.64</c:v>
                </c:pt>
                <c:pt idx="109">
                  <c:v>8.7200000000000006</c:v>
                </c:pt>
                <c:pt idx="110">
                  <c:v>8.8000000000000007</c:v>
                </c:pt>
                <c:pt idx="111">
                  <c:v>8.8800000000000008</c:v>
                </c:pt>
                <c:pt idx="112">
                  <c:v>8.9600000000000009</c:v>
                </c:pt>
                <c:pt idx="113">
                  <c:v>9.0399999999999991</c:v>
                </c:pt>
                <c:pt idx="114">
                  <c:v>9.1199999999999992</c:v>
                </c:pt>
                <c:pt idx="115">
                  <c:v>9.1999999999999993</c:v>
                </c:pt>
                <c:pt idx="116">
                  <c:v>9.2799999999999994</c:v>
                </c:pt>
                <c:pt idx="117">
                  <c:v>9.36</c:v>
                </c:pt>
                <c:pt idx="118">
                  <c:v>9.44</c:v>
                </c:pt>
                <c:pt idx="119">
                  <c:v>9.52</c:v>
                </c:pt>
                <c:pt idx="120">
                  <c:v>9.6</c:v>
                </c:pt>
                <c:pt idx="121">
                  <c:v>9.68</c:v>
                </c:pt>
                <c:pt idx="122">
                  <c:v>9.76</c:v>
                </c:pt>
                <c:pt idx="123">
                  <c:v>9.84</c:v>
                </c:pt>
                <c:pt idx="124">
                  <c:v>9.92</c:v>
                </c:pt>
                <c:pt idx="125">
                  <c:v>10</c:v>
                </c:pt>
                <c:pt idx="126">
                  <c:v>10.08</c:v>
                </c:pt>
                <c:pt idx="127">
                  <c:v>10.16</c:v>
                </c:pt>
                <c:pt idx="128">
                  <c:v>10.24</c:v>
                </c:pt>
                <c:pt idx="129">
                  <c:v>10.32</c:v>
                </c:pt>
                <c:pt idx="130">
                  <c:v>10.4</c:v>
                </c:pt>
                <c:pt idx="131">
                  <c:v>10.48</c:v>
                </c:pt>
                <c:pt idx="132">
                  <c:v>10.56</c:v>
                </c:pt>
                <c:pt idx="133">
                  <c:v>10.64</c:v>
                </c:pt>
                <c:pt idx="134">
                  <c:v>10.72</c:v>
                </c:pt>
                <c:pt idx="135">
                  <c:v>10.8</c:v>
                </c:pt>
                <c:pt idx="136">
                  <c:v>10.88</c:v>
                </c:pt>
                <c:pt idx="137">
                  <c:v>10.96</c:v>
                </c:pt>
                <c:pt idx="138">
                  <c:v>11.04</c:v>
                </c:pt>
                <c:pt idx="139">
                  <c:v>11.12</c:v>
                </c:pt>
                <c:pt idx="140">
                  <c:v>11.2</c:v>
                </c:pt>
                <c:pt idx="141">
                  <c:v>11.28</c:v>
                </c:pt>
                <c:pt idx="142">
                  <c:v>11.36</c:v>
                </c:pt>
                <c:pt idx="143">
                  <c:v>11.44</c:v>
                </c:pt>
                <c:pt idx="144">
                  <c:v>11.52</c:v>
                </c:pt>
                <c:pt idx="145">
                  <c:v>11.6</c:v>
                </c:pt>
                <c:pt idx="146">
                  <c:v>11.68</c:v>
                </c:pt>
                <c:pt idx="147">
                  <c:v>11.76</c:v>
                </c:pt>
                <c:pt idx="148">
                  <c:v>11.84</c:v>
                </c:pt>
                <c:pt idx="149">
                  <c:v>11.92</c:v>
                </c:pt>
                <c:pt idx="150">
                  <c:v>12</c:v>
                </c:pt>
                <c:pt idx="151">
                  <c:v>12.08</c:v>
                </c:pt>
                <c:pt idx="152">
                  <c:v>12.16</c:v>
                </c:pt>
                <c:pt idx="153">
                  <c:v>12.24</c:v>
                </c:pt>
                <c:pt idx="154">
                  <c:v>12.32</c:v>
                </c:pt>
                <c:pt idx="155">
                  <c:v>12.4</c:v>
                </c:pt>
                <c:pt idx="156">
                  <c:v>12.48</c:v>
                </c:pt>
                <c:pt idx="157">
                  <c:v>12.56</c:v>
                </c:pt>
                <c:pt idx="158">
                  <c:v>12.64</c:v>
                </c:pt>
                <c:pt idx="159">
                  <c:v>12.72</c:v>
                </c:pt>
                <c:pt idx="160">
                  <c:v>12.8</c:v>
                </c:pt>
                <c:pt idx="161">
                  <c:v>12.88</c:v>
                </c:pt>
                <c:pt idx="162">
                  <c:v>12.96</c:v>
                </c:pt>
                <c:pt idx="163">
                  <c:v>13.04</c:v>
                </c:pt>
                <c:pt idx="164">
                  <c:v>13.12</c:v>
                </c:pt>
                <c:pt idx="165">
                  <c:v>13.2</c:v>
                </c:pt>
                <c:pt idx="166">
                  <c:v>13.28</c:v>
                </c:pt>
                <c:pt idx="167">
                  <c:v>13.36</c:v>
                </c:pt>
                <c:pt idx="168">
                  <c:v>13.44</c:v>
                </c:pt>
                <c:pt idx="169">
                  <c:v>13.52</c:v>
                </c:pt>
                <c:pt idx="170">
                  <c:v>13.6</c:v>
                </c:pt>
                <c:pt idx="171">
                  <c:v>13.68</c:v>
                </c:pt>
                <c:pt idx="172">
                  <c:v>13.76</c:v>
                </c:pt>
                <c:pt idx="173">
                  <c:v>13.84</c:v>
                </c:pt>
                <c:pt idx="174">
                  <c:v>13.92</c:v>
                </c:pt>
                <c:pt idx="175">
                  <c:v>14</c:v>
                </c:pt>
                <c:pt idx="176">
                  <c:v>14.08</c:v>
                </c:pt>
                <c:pt idx="177">
                  <c:v>14.16</c:v>
                </c:pt>
                <c:pt idx="178">
                  <c:v>14.24</c:v>
                </c:pt>
                <c:pt idx="179">
                  <c:v>14.32</c:v>
                </c:pt>
                <c:pt idx="180">
                  <c:v>14.4</c:v>
                </c:pt>
                <c:pt idx="181">
                  <c:v>14.48</c:v>
                </c:pt>
                <c:pt idx="182">
                  <c:v>14.56</c:v>
                </c:pt>
                <c:pt idx="183">
                  <c:v>14.64</c:v>
                </c:pt>
                <c:pt idx="184">
                  <c:v>14.72</c:v>
                </c:pt>
                <c:pt idx="185">
                  <c:v>14.8</c:v>
                </c:pt>
                <c:pt idx="186">
                  <c:v>14.88</c:v>
                </c:pt>
                <c:pt idx="187">
                  <c:v>14.96</c:v>
                </c:pt>
                <c:pt idx="188">
                  <c:v>15.04</c:v>
                </c:pt>
                <c:pt idx="189">
                  <c:v>15.12</c:v>
                </c:pt>
                <c:pt idx="190">
                  <c:v>15.2</c:v>
                </c:pt>
                <c:pt idx="191">
                  <c:v>15.28</c:v>
                </c:pt>
                <c:pt idx="192">
                  <c:v>15.36</c:v>
                </c:pt>
                <c:pt idx="193">
                  <c:v>15.44</c:v>
                </c:pt>
                <c:pt idx="194">
                  <c:v>15.52</c:v>
                </c:pt>
                <c:pt idx="195">
                  <c:v>15.6</c:v>
                </c:pt>
                <c:pt idx="196">
                  <c:v>15.68</c:v>
                </c:pt>
                <c:pt idx="197">
                  <c:v>15.76</c:v>
                </c:pt>
                <c:pt idx="198">
                  <c:v>15.84</c:v>
                </c:pt>
                <c:pt idx="199">
                  <c:v>15.92</c:v>
                </c:pt>
                <c:pt idx="200">
                  <c:v>16</c:v>
                </c:pt>
                <c:pt idx="201">
                  <c:v>16.079999999999998</c:v>
                </c:pt>
                <c:pt idx="202">
                  <c:v>16.16</c:v>
                </c:pt>
                <c:pt idx="203">
                  <c:v>16.239999999999998</c:v>
                </c:pt>
                <c:pt idx="204">
                  <c:v>16.32</c:v>
                </c:pt>
                <c:pt idx="205">
                  <c:v>16.399999999999999</c:v>
                </c:pt>
                <c:pt idx="206">
                  <c:v>16.48</c:v>
                </c:pt>
                <c:pt idx="207">
                  <c:v>16.559999999999999</c:v>
                </c:pt>
                <c:pt idx="208">
                  <c:v>16.64</c:v>
                </c:pt>
                <c:pt idx="209">
                  <c:v>16.72</c:v>
                </c:pt>
                <c:pt idx="210">
                  <c:v>16.8</c:v>
                </c:pt>
                <c:pt idx="211">
                  <c:v>16.88</c:v>
                </c:pt>
                <c:pt idx="212">
                  <c:v>16.96</c:v>
                </c:pt>
                <c:pt idx="213">
                  <c:v>17.04</c:v>
                </c:pt>
                <c:pt idx="214">
                  <c:v>17.12</c:v>
                </c:pt>
                <c:pt idx="215">
                  <c:v>17.2</c:v>
                </c:pt>
                <c:pt idx="216">
                  <c:v>17.28</c:v>
                </c:pt>
                <c:pt idx="217">
                  <c:v>17.36</c:v>
                </c:pt>
                <c:pt idx="218">
                  <c:v>17.440000000000001</c:v>
                </c:pt>
                <c:pt idx="219">
                  <c:v>17.52</c:v>
                </c:pt>
                <c:pt idx="220">
                  <c:v>17.600000000000001</c:v>
                </c:pt>
                <c:pt idx="221">
                  <c:v>17.68</c:v>
                </c:pt>
                <c:pt idx="222">
                  <c:v>17.760000000000002</c:v>
                </c:pt>
                <c:pt idx="223">
                  <c:v>17.84</c:v>
                </c:pt>
                <c:pt idx="224">
                  <c:v>17.920000000000002</c:v>
                </c:pt>
                <c:pt idx="225">
                  <c:v>18</c:v>
                </c:pt>
                <c:pt idx="226">
                  <c:v>18.079999999999998</c:v>
                </c:pt>
                <c:pt idx="227">
                  <c:v>18.16</c:v>
                </c:pt>
                <c:pt idx="228">
                  <c:v>18.239999999999998</c:v>
                </c:pt>
                <c:pt idx="229">
                  <c:v>18.32</c:v>
                </c:pt>
                <c:pt idx="230">
                  <c:v>18.399999999999999</c:v>
                </c:pt>
                <c:pt idx="231">
                  <c:v>18.48</c:v>
                </c:pt>
                <c:pt idx="232">
                  <c:v>18.559999999999999</c:v>
                </c:pt>
                <c:pt idx="233">
                  <c:v>18.64</c:v>
                </c:pt>
                <c:pt idx="234">
                  <c:v>18.72</c:v>
                </c:pt>
                <c:pt idx="235">
                  <c:v>18.8</c:v>
                </c:pt>
                <c:pt idx="236">
                  <c:v>18.88</c:v>
                </c:pt>
                <c:pt idx="237">
                  <c:v>18.96</c:v>
                </c:pt>
                <c:pt idx="238">
                  <c:v>19.04</c:v>
                </c:pt>
                <c:pt idx="239">
                  <c:v>19.12</c:v>
                </c:pt>
                <c:pt idx="240">
                  <c:v>19.2</c:v>
                </c:pt>
                <c:pt idx="241">
                  <c:v>19.28</c:v>
                </c:pt>
                <c:pt idx="242">
                  <c:v>19.36</c:v>
                </c:pt>
                <c:pt idx="243">
                  <c:v>19.440000000000001</c:v>
                </c:pt>
                <c:pt idx="244">
                  <c:v>19.52</c:v>
                </c:pt>
                <c:pt idx="245">
                  <c:v>19.600000000000001</c:v>
                </c:pt>
                <c:pt idx="246">
                  <c:v>19.68</c:v>
                </c:pt>
                <c:pt idx="247">
                  <c:v>19.760000000000002</c:v>
                </c:pt>
                <c:pt idx="248">
                  <c:v>19.84</c:v>
                </c:pt>
                <c:pt idx="249">
                  <c:v>19.920000000000002</c:v>
                </c:pt>
                <c:pt idx="250">
                  <c:v>20</c:v>
                </c:pt>
                <c:pt idx="251">
                  <c:v>20.079999999999998</c:v>
                </c:pt>
                <c:pt idx="252">
                  <c:v>20.16</c:v>
                </c:pt>
                <c:pt idx="253">
                  <c:v>20.239999999999998</c:v>
                </c:pt>
                <c:pt idx="254">
                  <c:v>20.32</c:v>
                </c:pt>
                <c:pt idx="255">
                  <c:v>20.399999999999999</c:v>
                </c:pt>
                <c:pt idx="256">
                  <c:v>20.48</c:v>
                </c:pt>
                <c:pt idx="257">
                  <c:v>20.56</c:v>
                </c:pt>
                <c:pt idx="258">
                  <c:v>20.64</c:v>
                </c:pt>
                <c:pt idx="259">
                  <c:v>20.72</c:v>
                </c:pt>
                <c:pt idx="260">
                  <c:v>20.8</c:v>
                </c:pt>
                <c:pt idx="261">
                  <c:v>20.88</c:v>
                </c:pt>
                <c:pt idx="262">
                  <c:v>20.96</c:v>
                </c:pt>
                <c:pt idx="263">
                  <c:v>21.04</c:v>
                </c:pt>
                <c:pt idx="264">
                  <c:v>21.12</c:v>
                </c:pt>
                <c:pt idx="265">
                  <c:v>21.2</c:v>
                </c:pt>
                <c:pt idx="266">
                  <c:v>21.28</c:v>
                </c:pt>
                <c:pt idx="267">
                  <c:v>21.36</c:v>
                </c:pt>
                <c:pt idx="268">
                  <c:v>21.44</c:v>
                </c:pt>
                <c:pt idx="269">
                  <c:v>21.52</c:v>
                </c:pt>
                <c:pt idx="270">
                  <c:v>21.6</c:v>
                </c:pt>
                <c:pt idx="271">
                  <c:v>21.68</c:v>
                </c:pt>
                <c:pt idx="272">
                  <c:v>21.76</c:v>
                </c:pt>
                <c:pt idx="273">
                  <c:v>21.84</c:v>
                </c:pt>
                <c:pt idx="274">
                  <c:v>21.92</c:v>
                </c:pt>
                <c:pt idx="275">
                  <c:v>22</c:v>
                </c:pt>
                <c:pt idx="276">
                  <c:v>22.08</c:v>
                </c:pt>
                <c:pt idx="277">
                  <c:v>22.16</c:v>
                </c:pt>
                <c:pt idx="278">
                  <c:v>22.24</c:v>
                </c:pt>
                <c:pt idx="279">
                  <c:v>22.32</c:v>
                </c:pt>
                <c:pt idx="280">
                  <c:v>22.4</c:v>
                </c:pt>
                <c:pt idx="281">
                  <c:v>22.48</c:v>
                </c:pt>
                <c:pt idx="282">
                  <c:v>22.56</c:v>
                </c:pt>
                <c:pt idx="283">
                  <c:v>22.64</c:v>
                </c:pt>
                <c:pt idx="284">
                  <c:v>22.72</c:v>
                </c:pt>
                <c:pt idx="285">
                  <c:v>22.8</c:v>
                </c:pt>
                <c:pt idx="286">
                  <c:v>22.88</c:v>
                </c:pt>
                <c:pt idx="287">
                  <c:v>22.96</c:v>
                </c:pt>
                <c:pt idx="288">
                  <c:v>23.04</c:v>
                </c:pt>
                <c:pt idx="289">
                  <c:v>23.12</c:v>
                </c:pt>
                <c:pt idx="290">
                  <c:v>23.2</c:v>
                </c:pt>
                <c:pt idx="291">
                  <c:v>23.28</c:v>
                </c:pt>
                <c:pt idx="292">
                  <c:v>23.36</c:v>
                </c:pt>
                <c:pt idx="293">
                  <c:v>23.44</c:v>
                </c:pt>
                <c:pt idx="294">
                  <c:v>23.52</c:v>
                </c:pt>
                <c:pt idx="295">
                  <c:v>23.6</c:v>
                </c:pt>
                <c:pt idx="296">
                  <c:v>23.68</c:v>
                </c:pt>
                <c:pt idx="297">
                  <c:v>23.76</c:v>
                </c:pt>
                <c:pt idx="298">
                  <c:v>23.84</c:v>
                </c:pt>
                <c:pt idx="299">
                  <c:v>23.92</c:v>
                </c:pt>
                <c:pt idx="300">
                  <c:v>24</c:v>
                </c:pt>
                <c:pt idx="301">
                  <c:v>24.08</c:v>
                </c:pt>
                <c:pt idx="302">
                  <c:v>24.16</c:v>
                </c:pt>
                <c:pt idx="303">
                  <c:v>24.24</c:v>
                </c:pt>
                <c:pt idx="304">
                  <c:v>24.32</c:v>
                </c:pt>
                <c:pt idx="305">
                  <c:v>24.4</c:v>
                </c:pt>
                <c:pt idx="306">
                  <c:v>24.48</c:v>
                </c:pt>
                <c:pt idx="307">
                  <c:v>24.56</c:v>
                </c:pt>
                <c:pt idx="308">
                  <c:v>24.64</c:v>
                </c:pt>
                <c:pt idx="309">
                  <c:v>24.72</c:v>
                </c:pt>
                <c:pt idx="310">
                  <c:v>24.8</c:v>
                </c:pt>
                <c:pt idx="311">
                  <c:v>24.88</c:v>
                </c:pt>
                <c:pt idx="312">
                  <c:v>24.96</c:v>
                </c:pt>
                <c:pt idx="313">
                  <c:v>25.04</c:v>
                </c:pt>
                <c:pt idx="314">
                  <c:v>25.12</c:v>
                </c:pt>
                <c:pt idx="315">
                  <c:v>25.2</c:v>
                </c:pt>
                <c:pt idx="316">
                  <c:v>25.28</c:v>
                </c:pt>
                <c:pt idx="317">
                  <c:v>25.36</c:v>
                </c:pt>
                <c:pt idx="318">
                  <c:v>25.44</c:v>
                </c:pt>
                <c:pt idx="319">
                  <c:v>25.52</c:v>
                </c:pt>
                <c:pt idx="320">
                  <c:v>25.6</c:v>
                </c:pt>
                <c:pt idx="321">
                  <c:v>25.68</c:v>
                </c:pt>
                <c:pt idx="322">
                  <c:v>25.76</c:v>
                </c:pt>
                <c:pt idx="323">
                  <c:v>25.84</c:v>
                </c:pt>
                <c:pt idx="324">
                  <c:v>25.92</c:v>
                </c:pt>
                <c:pt idx="325">
                  <c:v>26</c:v>
                </c:pt>
                <c:pt idx="326">
                  <c:v>26.08</c:v>
                </c:pt>
                <c:pt idx="327">
                  <c:v>26.16</c:v>
                </c:pt>
                <c:pt idx="328">
                  <c:v>26.24</c:v>
                </c:pt>
                <c:pt idx="329">
                  <c:v>26.32</c:v>
                </c:pt>
                <c:pt idx="330">
                  <c:v>26.4</c:v>
                </c:pt>
                <c:pt idx="331">
                  <c:v>26.48</c:v>
                </c:pt>
                <c:pt idx="332">
                  <c:v>26.56</c:v>
                </c:pt>
                <c:pt idx="333">
                  <c:v>26.64</c:v>
                </c:pt>
                <c:pt idx="334">
                  <c:v>26.72</c:v>
                </c:pt>
                <c:pt idx="335">
                  <c:v>26.8</c:v>
                </c:pt>
                <c:pt idx="336">
                  <c:v>26.88</c:v>
                </c:pt>
                <c:pt idx="337">
                  <c:v>26.96</c:v>
                </c:pt>
                <c:pt idx="338">
                  <c:v>27.04</c:v>
                </c:pt>
                <c:pt idx="339">
                  <c:v>27.12</c:v>
                </c:pt>
                <c:pt idx="340">
                  <c:v>27.2</c:v>
                </c:pt>
                <c:pt idx="341">
                  <c:v>27.28</c:v>
                </c:pt>
                <c:pt idx="342">
                  <c:v>27.36</c:v>
                </c:pt>
                <c:pt idx="343">
                  <c:v>27.44</c:v>
                </c:pt>
                <c:pt idx="344">
                  <c:v>27.52</c:v>
                </c:pt>
                <c:pt idx="345">
                  <c:v>27.6</c:v>
                </c:pt>
                <c:pt idx="346">
                  <c:v>27.68</c:v>
                </c:pt>
                <c:pt idx="347">
                  <c:v>27.76</c:v>
                </c:pt>
                <c:pt idx="348">
                  <c:v>27.84</c:v>
                </c:pt>
                <c:pt idx="349">
                  <c:v>27.92</c:v>
                </c:pt>
                <c:pt idx="350">
                  <c:v>28</c:v>
                </c:pt>
                <c:pt idx="351">
                  <c:v>28.08</c:v>
                </c:pt>
                <c:pt idx="352">
                  <c:v>28.16</c:v>
                </c:pt>
                <c:pt idx="353">
                  <c:v>28.24</c:v>
                </c:pt>
                <c:pt idx="354">
                  <c:v>28.32</c:v>
                </c:pt>
                <c:pt idx="355">
                  <c:v>28.4</c:v>
                </c:pt>
                <c:pt idx="356">
                  <c:v>28.48</c:v>
                </c:pt>
                <c:pt idx="357">
                  <c:v>28.56</c:v>
                </c:pt>
                <c:pt idx="358">
                  <c:v>28.64</c:v>
                </c:pt>
                <c:pt idx="359">
                  <c:v>28.72</c:v>
                </c:pt>
                <c:pt idx="360">
                  <c:v>28.8</c:v>
                </c:pt>
                <c:pt idx="361">
                  <c:v>28.88</c:v>
                </c:pt>
                <c:pt idx="362">
                  <c:v>28.96</c:v>
                </c:pt>
                <c:pt idx="363">
                  <c:v>29.04</c:v>
                </c:pt>
                <c:pt idx="364">
                  <c:v>29.12</c:v>
                </c:pt>
                <c:pt idx="365">
                  <c:v>29.2</c:v>
                </c:pt>
                <c:pt idx="366">
                  <c:v>29.28</c:v>
                </c:pt>
                <c:pt idx="367">
                  <c:v>29.36</c:v>
                </c:pt>
                <c:pt idx="368">
                  <c:v>29.44</c:v>
                </c:pt>
                <c:pt idx="369">
                  <c:v>29.52</c:v>
                </c:pt>
                <c:pt idx="370">
                  <c:v>29.6</c:v>
                </c:pt>
                <c:pt idx="371">
                  <c:v>29.68</c:v>
                </c:pt>
                <c:pt idx="372">
                  <c:v>29.76</c:v>
                </c:pt>
                <c:pt idx="373">
                  <c:v>29.84</c:v>
                </c:pt>
                <c:pt idx="374">
                  <c:v>29.92</c:v>
                </c:pt>
                <c:pt idx="375">
                  <c:v>30</c:v>
                </c:pt>
                <c:pt idx="376">
                  <c:v>30.08</c:v>
                </c:pt>
                <c:pt idx="377">
                  <c:v>30.16</c:v>
                </c:pt>
                <c:pt idx="378">
                  <c:v>30.24</c:v>
                </c:pt>
                <c:pt idx="379">
                  <c:v>30.32</c:v>
                </c:pt>
                <c:pt idx="380">
                  <c:v>30.4</c:v>
                </c:pt>
                <c:pt idx="381">
                  <c:v>30.48</c:v>
                </c:pt>
                <c:pt idx="382">
                  <c:v>30.56</c:v>
                </c:pt>
                <c:pt idx="383">
                  <c:v>30.64</c:v>
                </c:pt>
                <c:pt idx="384">
                  <c:v>30.72</c:v>
                </c:pt>
                <c:pt idx="385">
                  <c:v>30.8</c:v>
                </c:pt>
                <c:pt idx="386">
                  <c:v>30.88</c:v>
                </c:pt>
                <c:pt idx="387">
                  <c:v>30.96</c:v>
                </c:pt>
                <c:pt idx="388">
                  <c:v>31.04</c:v>
                </c:pt>
                <c:pt idx="389">
                  <c:v>31.12</c:v>
                </c:pt>
                <c:pt idx="390">
                  <c:v>31.2</c:v>
                </c:pt>
                <c:pt idx="391">
                  <c:v>31.28</c:v>
                </c:pt>
                <c:pt idx="392">
                  <c:v>31.36</c:v>
                </c:pt>
                <c:pt idx="393">
                  <c:v>31.44</c:v>
                </c:pt>
                <c:pt idx="394">
                  <c:v>31.52</c:v>
                </c:pt>
                <c:pt idx="395">
                  <c:v>31.6</c:v>
                </c:pt>
                <c:pt idx="396">
                  <c:v>31.68</c:v>
                </c:pt>
                <c:pt idx="397">
                  <c:v>31.76</c:v>
                </c:pt>
                <c:pt idx="398">
                  <c:v>31.84</c:v>
                </c:pt>
                <c:pt idx="399">
                  <c:v>31.92</c:v>
                </c:pt>
                <c:pt idx="400">
                  <c:v>32</c:v>
                </c:pt>
                <c:pt idx="401">
                  <c:v>32.08</c:v>
                </c:pt>
                <c:pt idx="402">
                  <c:v>32.159999999999997</c:v>
                </c:pt>
                <c:pt idx="403">
                  <c:v>32.24</c:v>
                </c:pt>
                <c:pt idx="404">
                  <c:v>32.32</c:v>
                </c:pt>
                <c:pt idx="405">
                  <c:v>32.4</c:v>
                </c:pt>
                <c:pt idx="406">
                  <c:v>32.479999999999997</c:v>
                </c:pt>
                <c:pt idx="407">
                  <c:v>32.56</c:v>
                </c:pt>
                <c:pt idx="408">
                  <c:v>32.64</c:v>
                </c:pt>
                <c:pt idx="409">
                  <c:v>32.72</c:v>
                </c:pt>
                <c:pt idx="410">
                  <c:v>32.799999999999997</c:v>
                </c:pt>
                <c:pt idx="411">
                  <c:v>32.880000000000003</c:v>
                </c:pt>
                <c:pt idx="412">
                  <c:v>32.96</c:v>
                </c:pt>
                <c:pt idx="413">
                  <c:v>33.04</c:v>
                </c:pt>
                <c:pt idx="414">
                  <c:v>33.119999999999997</c:v>
                </c:pt>
                <c:pt idx="415">
                  <c:v>33.200000000000003</c:v>
                </c:pt>
                <c:pt idx="416">
                  <c:v>33.28</c:v>
                </c:pt>
                <c:pt idx="417">
                  <c:v>33.36</c:v>
                </c:pt>
                <c:pt idx="418">
                  <c:v>33.44</c:v>
                </c:pt>
                <c:pt idx="419">
                  <c:v>33.520000000000003</c:v>
                </c:pt>
                <c:pt idx="420">
                  <c:v>33.6</c:v>
                </c:pt>
                <c:pt idx="421">
                  <c:v>33.68</c:v>
                </c:pt>
                <c:pt idx="422">
                  <c:v>33.76</c:v>
                </c:pt>
                <c:pt idx="423">
                  <c:v>33.840000000000003</c:v>
                </c:pt>
                <c:pt idx="424">
                  <c:v>33.92</c:v>
                </c:pt>
                <c:pt idx="425">
                  <c:v>34</c:v>
                </c:pt>
                <c:pt idx="426">
                  <c:v>34.08</c:v>
                </c:pt>
                <c:pt idx="427">
                  <c:v>34.159999999999997</c:v>
                </c:pt>
                <c:pt idx="428">
                  <c:v>34.24</c:v>
                </c:pt>
                <c:pt idx="429">
                  <c:v>34.32</c:v>
                </c:pt>
                <c:pt idx="430">
                  <c:v>34.4</c:v>
                </c:pt>
                <c:pt idx="431">
                  <c:v>34.479999999999997</c:v>
                </c:pt>
                <c:pt idx="432">
                  <c:v>34.56</c:v>
                </c:pt>
                <c:pt idx="433">
                  <c:v>34.64</c:v>
                </c:pt>
                <c:pt idx="434">
                  <c:v>34.72</c:v>
                </c:pt>
                <c:pt idx="435">
                  <c:v>34.799999999999997</c:v>
                </c:pt>
                <c:pt idx="436">
                  <c:v>34.880000000000003</c:v>
                </c:pt>
                <c:pt idx="437">
                  <c:v>34.96</c:v>
                </c:pt>
                <c:pt idx="438">
                  <c:v>35.04</c:v>
                </c:pt>
                <c:pt idx="439">
                  <c:v>35.119999999999997</c:v>
                </c:pt>
                <c:pt idx="440">
                  <c:v>35.200000000000003</c:v>
                </c:pt>
                <c:pt idx="441">
                  <c:v>35.28</c:v>
                </c:pt>
                <c:pt idx="442">
                  <c:v>35.36</c:v>
                </c:pt>
                <c:pt idx="443">
                  <c:v>35.44</c:v>
                </c:pt>
                <c:pt idx="444">
                  <c:v>35.520000000000003</c:v>
                </c:pt>
                <c:pt idx="445">
                  <c:v>35.6</c:v>
                </c:pt>
                <c:pt idx="446">
                  <c:v>35.68</c:v>
                </c:pt>
                <c:pt idx="447">
                  <c:v>35.76</c:v>
                </c:pt>
                <c:pt idx="448">
                  <c:v>35.840000000000003</c:v>
                </c:pt>
                <c:pt idx="449">
                  <c:v>35.92</c:v>
                </c:pt>
                <c:pt idx="450">
                  <c:v>36</c:v>
                </c:pt>
                <c:pt idx="451">
                  <c:v>36.08</c:v>
                </c:pt>
                <c:pt idx="452">
                  <c:v>36.159999999999997</c:v>
                </c:pt>
                <c:pt idx="453">
                  <c:v>36.24</c:v>
                </c:pt>
                <c:pt idx="454">
                  <c:v>36.32</c:v>
                </c:pt>
                <c:pt idx="455">
                  <c:v>36.4</c:v>
                </c:pt>
                <c:pt idx="456">
                  <c:v>36.479999999999997</c:v>
                </c:pt>
                <c:pt idx="457">
                  <c:v>36.56</c:v>
                </c:pt>
                <c:pt idx="458">
                  <c:v>36.64</c:v>
                </c:pt>
                <c:pt idx="459">
                  <c:v>36.72</c:v>
                </c:pt>
                <c:pt idx="460">
                  <c:v>36.799999999999997</c:v>
                </c:pt>
                <c:pt idx="461">
                  <c:v>36.880000000000003</c:v>
                </c:pt>
                <c:pt idx="462">
                  <c:v>36.96</c:v>
                </c:pt>
                <c:pt idx="463">
                  <c:v>37.04</c:v>
                </c:pt>
                <c:pt idx="464">
                  <c:v>37.119999999999997</c:v>
                </c:pt>
                <c:pt idx="465">
                  <c:v>37.200000000000003</c:v>
                </c:pt>
                <c:pt idx="466">
                  <c:v>37.28</c:v>
                </c:pt>
                <c:pt idx="467">
                  <c:v>37.36</c:v>
                </c:pt>
                <c:pt idx="468">
                  <c:v>37.44</c:v>
                </c:pt>
                <c:pt idx="469">
                  <c:v>37.520000000000003</c:v>
                </c:pt>
                <c:pt idx="470">
                  <c:v>37.6</c:v>
                </c:pt>
                <c:pt idx="471">
                  <c:v>37.68</c:v>
                </c:pt>
                <c:pt idx="472">
                  <c:v>37.76</c:v>
                </c:pt>
                <c:pt idx="473">
                  <c:v>37.840000000000003</c:v>
                </c:pt>
                <c:pt idx="474">
                  <c:v>37.92</c:v>
                </c:pt>
                <c:pt idx="475">
                  <c:v>38</c:v>
                </c:pt>
                <c:pt idx="476">
                  <c:v>38.08</c:v>
                </c:pt>
                <c:pt idx="477">
                  <c:v>38.159999999999997</c:v>
                </c:pt>
                <c:pt idx="478">
                  <c:v>38.24</c:v>
                </c:pt>
                <c:pt idx="479">
                  <c:v>38.32</c:v>
                </c:pt>
                <c:pt idx="480">
                  <c:v>38.4</c:v>
                </c:pt>
                <c:pt idx="481">
                  <c:v>38.479999999999997</c:v>
                </c:pt>
                <c:pt idx="482">
                  <c:v>38.56</c:v>
                </c:pt>
                <c:pt idx="483">
                  <c:v>38.64</c:v>
                </c:pt>
                <c:pt idx="484">
                  <c:v>38.72</c:v>
                </c:pt>
                <c:pt idx="485">
                  <c:v>38.799999999999997</c:v>
                </c:pt>
                <c:pt idx="486">
                  <c:v>38.880000000000003</c:v>
                </c:pt>
                <c:pt idx="487">
                  <c:v>38.96</c:v>
                </c:pt>
                <c:pt idx="488">
                  <c:v>39.04</c:v>
                </c:pt>
                <c:pt idx="489">
                  <c:v>39.119999999999997</c:v>
                </c:pt>
                <c:pt idx="490">
                  <c:v>39.200000000000003</c:v>
                </c:pt>
                <c:pt idx="491">
                  <c:v>39.28</c:v>
                </c:pt>
                <c:pt idx="492">
                  <c:v>39.36</c:v>
                </c:pt>
                <c:pt idx="493">
                  <c:v>39.44</c:v>
                </c:pt>
                <c:pt idx="494">
                  <c:v>39.520000000000003</c:v>
                </c:pt>
                <c:pt idx="495">
                  <c:v>39.6</c:v>
                </c:pt>
                <c:pt idx="496">
                  <c:v>39.68</c:v>
                </c:pt>
                <c:pt idx="497">
                  <c:v>39.76</c:v>
                </c:pt>
                <c:pt idx="498">
                  <c:v>39.840000000000003</c:v>
                </c:pt>
                <c:pt idx="499">
                  <c:v>39.92</c:v>
                </c:pt>
                <c:pt idx="500">
                  <c:v>40</c:v>
                </c:pt>
                <c:pt idx="501">
                  <c:v>40.08</c:v>
                </c:pt>
                <c:pt idx="502">
                  <c:v>40.159999999999997</c:v>
                </c:pt>
                <c:pt idx="503">
                  <c:v>40.24</c:v>
                </c:pt>
                <c:pt idx="504">
                  <c:v>40.32</c:v>
                </c:pt>
                <c:pt idx="505">
                  <c:v>40.4</c:v>
                </c:pt>
                <c:pt idx="506">
                  <c:v>40.479999999999997</c:v>
                </c:pt>
                <c:pt idx="507">
                  <c:v>40.56</c:v>
                </c:pt>
                <c:pt idx="508">
                  <c:v>40.64</c:v>
                </c:pt>
                <c:pt idx="509">
                  <c:v>40.72</c:v>
                </c:pt>
                <c:pt idx="510">
                  <c:v>40.799999999999997</c:v>
                </c:pt>
                <c:pt idx="511">
                  <c:v>40.880000000000003</c:v>
                </c:pt>
                <c:pt idx="512">
                  <c:v>40.96</c:v>
                </c:pt>
                <c:pt idx="513">
                  <c:v>41.04</c:v>
                </c:pt>
                <c:pt idx="514">
                  <c:v>41.12</c:v>
                </c:pt>
                <c:pt idx="515">
                  <c:v>41.2</c:v>
                </c:pt>
                <c:pt idx="516">
                  <c:v>41.28</c:v>
                </c:pt>
                <c:pt idx="517">
                  <c:v>41.36</c:v>
                </c:pt>
                <c:pt idx="518">
                  <c:v>41.44</c:v>
                </c:pt>
                <c:pt idx="519">
                  <c:v>41.52</c:v>
                </c:pt>
                <c:pt idx="520">
                  <c:v>41.6</c:v>
                </c:pt>
                <c:pt idx="521">
                  <c:v>41.68</c:v>
                </c:pt>
                <c:pt idx="522">
                  <c:v>41.76</c:v>
                </c:pt>
                <c:pt idx="523">
                  <c:v>41.84</c:v>
                </c:pt>
                <c:pt idx="524">
                  <c:v>41.92</c:v>
                </c:pt>
                <c:pt idx="525">
                  <c:v>42</c:v>
                </c:pt>
                <c:pt idx="526">
                  <c:v>42.08</c:v>
                </c:pt>
                <c:pt idx="527">
                  <c:v>42.16</c:v>
                </c:pt>
                <c:pt idx="528">
                  <c:v>42.24</c:v>
                </c:pt>
                <c:pt idx="529">
                  <c:v>42.32</c:v>
                </c:pt>
                <c:pt idx="530">
                  <c:v>42.4</c:v>
                </c:pt>
                <c:pt idx="531">
                  <c:v>42.48</c:v>
                </c:pt>
                <c:pt idx="532">
                  <c:v>42.56</c:v>
                </c:pt>
                <c:pt idx="533">
                  <c:v>42.64</c:v>
                </c:pt>
                <c:pt idx="534">
                  <c:v>42.72</c:v>
                </c:pt>
                <c:pt idx="535">
                  <c:v>42.8</c:v>
                </c:pt>
                <c:pt idx="536">
                  <c:v>42.88</c:v>
                </c:pt>
                <c:pt idx="537">
                  <c:v>42.96</c:v>
                </c:pt>
                <c:pt idx="538">
                  <c:v>43.04</c:v>
                </c:pt>
                <c:pt idx="539">
                  <c:v>43.12</c:v>
                </c:pt>
                <c:pt idx="540">
                  <c:v>43.2</c:v>
                </c:pt>
                <c:pt idx="541">
                  <c:v>43.28</c:v>
                </c:pt>
                <c:pt idx="542">
                  <c:v>43.36</c:v>
                </c:pt>
                <c:pt idx="543">
                  <c:v>43.44</c:v>
                </c:pt>
                <c:pt idx="544">
                  <c:v>43.52</c:v>
                </c:pt>
                <c:pt idx="545">
                  <c:v>43.6</c:v>
                </c:pt>
                <c:pt idx="546">
                  <c:v>43.68</c:v>
                </c:pt>
                <c:pt idx="547">
                  <c:v>43.76</c:v>
                </c:pt>
                <c:pt idx="548">
                  <c:v>43.84</c:v>
                </c:pt>
                <c:pt idx="549">
                  <c:v>43.92</c:v>
                </c:pt>
                <c:pt idx="550">
                  <c:v>44</c:v>
                </c:pt>
                <c:pt idx="551">
                  <c:v>44.08</c:v>
                </c:pt>
                <c:pt idx="552">
                  <c:v>44.16</c:v>
                </c:pt>
                <c:pt idx="553">
                  <c:v>44.24</c:v>
                </c:pt>
                <c:pt idx="554">
                  <c:v>44.32</c:v>
                </c:pt>
                <c:pt idx="555">
                  <c:v>44.4</c:v>
                </c:pt>
                <c:pt idx="556">
                  <c:v>44.48</c:v>
                </c:pt>
                <c:pt idx="557">
                  <c:v>44.56</c:v>
                </c:pt>
                <c:pt idx="558">
                  <c:v>44.64</c:v>
                </c:pt>
                <c:pt idx="559">
                  <c:v>44.72</c:v>
                </c:pt>
                <c:pt idx="560">
                  <c:v>44.8</c:v>
                </c:pt>
                <c:pt idx="561">
                  <c:v>44.88</c:v>
                </c:pt>
                <c:pt idx="562">
                  <c:v>44.96</c:v>
                </c:pt>
                <c:pt idx="563">
                  <c:v>45.04</c:v>
                </c:pt>
                <c:pt idx="564">
                  <c:v>45.12</c:v>
                </c:pt>
                <c:pt idx="565">
                  <c:v>45.2</c:v>
                </c:pt>
                <c:pt idx="566">
                  <c:v>45.28</c:v>
                </c:pt>
                <c:pt idx="567">
                  <c:v>45.36</c:v>
                </c:pt>
                <c:pt idx="568">
                  <c:v>45.44</c:v>
                </c:pt>
                <c:pt idx="569">
                  <c:v>45.52</c:v>
                </c:pt>
                <c:pt idx="570">
                  <c:v>45.6</c:v>
                </c:pt>
                <c:pt idx="571">
                  <c:v>45.68</c:v>
                </c:pt>
                <c:pt idx="572">
                  <c:v>45.76</c:v>
                </c:pt>
                <c:pt idx="573">
                  <c:v>45.84</c:v>
                </c:pt>
                <c:pt idx="574">
                  <c:v>45.92</c:v>
                </c:pt>
                <c:pt idx="575">
                  <c:v>46</c:v>
                </c:pt>
                <c:pt idx="576">
                  <c:v>46.08</c:v>
                </c:pt>
                <c:pt idx="577">
                  <c:v>46.16</c:v>
                </c:pt>
                <c:pt idx="578">
                  <c:v>46.24</c:v>
                </c:pt>
                <c:pt idx="579">
                  <c:v>46.32</c:v>
                </c:pt>
                <c:pt idx="580">
                  <c:v>46.4</c:v>
                </c:pt>
                <c:pt idx="581">
                  <c:v>46.48</c:v>
                </c:pt>
                <c:pt idx="582">
                  <c:v>46.56</c:v>
                </c:pt>
                <c:pt idx="583">
                  <c:v>46.64</c:v>
                </c:pt>
                <c:pt idx="584">
                  <c:v>46.72</c:v>
                </c:pt>
                <c:pt idx="585">
                  <c:v>46.8</c:v>
                </c:pt>
                <c:pt idx="586">
                  <c:v>46.88</c:v>
                </c:pt>
                <c:pt idx="587">
                  <c:v>46.96</c:v>
                </c:pt>
                <c:pt idx="588">
                  <c:v>47.04</c:v>
                </c:pt>
                <c:pt idx="589">
                  <c:v>47.12</c:v>
                </c:pt>
                <c:pt idx="590">
                  <c:v>47.2</c:v>
                </c:pt>
                <c:pt idx="591">
                  <c:v>47.28</c:v>
                </c:pt>
                <c:pt idx="592">
                  <c:v>47.36</c:v>
                </c:pt>
                <c:pt idx="593">
                  <c:v>47.44</c:v>
                </c:pt>
                <c:pt idx="594">
                  <c:v>47.52</c:v>
                </c:pt>
                <c:pt idx="595">
                  <c:v>47.6</c:v>
                </c:pt>
                <c:pt idx="596">
                  <c:v>47.68</c:v>
                </c:pt>
                <c:pt idx="597">
                  <c:v>47.76</c:v>
                </c:pt>
                <c:pt idx="598">
                  <c:v>47.84</c:v>
                </c:pt>
                <c:pt idx="599">
                  <c:v>47.92</c:v>
                </c:pt>
                <c:pt idx="600">
                  <c:v>48</c:v>
                </c:pt>
                <c:pt idx="601">
                  <c:v>48.08</c:v>
                </c:pt>
                <c:pt idx="602">
                  <c:v>48.16</c:v>
                </c:pt>
                <c:pt idx="603">
                  <c:v>48.24</c:v>
                </c:pt>
                <c:pt idx="604">
                  <c:v>48.32</c:v>
                </c:pt>
                <c:pt idx="605">
                  <c:v>48.4</c:v>
                </c:pt>
                <c:pt idx="606">
                  <c:v>48.48</c:v>
                </c:pt>
                <c:pt idx="607">
                  <c:v>48.56</c:v>
                </c:pt>
                <c:pt idx="608">
                  <c:v>48.64</c:v>
                </c:pt>
                <c:pt idx="609">
                  <c:v>48.72</c:v>
                </c:pt>
                <c:pt idx="610">
                  <c:v>48.8</c:v>
                </c:pt>
                <c:pt idx="611">
                  <c:v>48.88</c:v>
                </c:pt>
                <c:pt idx="612">
                  <c:v>48.96</c:v>
                </c:pt>
                <c:pt idx="613">
                  <c:v>49.04</c:v>
                </c:pt>
                <c:pt idx="614">
                  <c:v>49.12</c:v>
                </c:pt>
                <c:pt idx="615">
                  <c:v>49.2</c:v>
                </c:pt>
                <c:pt idx="616">
                  <c:v>49.28</c:v>
                </c:pt>
                <c:pt idx="617">
                  <c:v>49.36</c:v>
                </c:pt>
                <c:pt idx="618">
                  <c:v>49.44</c:v>
                </c:pt>
                <c:pt idx="619">
                  <c:v>49.52</c:v>
                </c:pt>
                <c:pt idx="620">
                  <c:v>49.6</c:v>
                </c:pt>
                <c:pt idx="621">
                  <c:v>49.68</c:v>
                </c:pt>
                <c:pt idx="622">
                  <c:v>49.76</c:v>
                </c:pt>
                <c:pt idx="623">
                  <c:v>49.84</c:v>
                </c:pt>
                <c:pt idx="624">
                  <c:v>49.92</c:v>
                </c:pt>
                <c:pt idx="625">
                  <c:v>50</c:v>
                </c:pt>
                <c:pt idx="626">
                  <c:v>50.08</c:v>
                </c:pt>
                <c:pt idx="627">
                  <c:v>50.16</c:v>
                </c:pt>
                <c:pt idx="628">
                  <c:v>50.24</c:v>
                </c:pt>
                <c:pt idx="629">
                  <c:v>50.32</c:v>
                </c:pt>
                <c:pt idx="630">
                  <c:v>50.4</c:v>
                </c:pt>
                <c:pt idx="631">
                  <c:v>50.48</c:v>
                </c:pt>
                <c:pt idx="632">
                  <c:v>50.56</c:v>
                </c:pt>
                <c:pt idx="633">
                  <c:v>50.64</c:v>
                </c:pt>
                <c:pt idx="634">
                  <c:v>50.72</c:v>
                </c:pt>
                <c:pt idx="635">
                  <c:v>50.8</c:v>
                </c:pt>
                <c:pt idx="636">
                  <c:v>50.88</c:v>
                </c:pt>
                <c:pt idx="637">
                  <c:v>50.96</c:v>
                </c:pt>
                <c:pt idx="638">
                  <c:v>51.04</c:v>
                </c:pt>
                <c:pt idx="639">
                  <c:v>51.12</c:v>
                </c:pt>
                <c:pt idx="640">
                  <c:v>51.2</c:v>
                </c:pt>
                <c:pt idx="641">
                  <c:v>51.28</c:v>
                </c:pt>
                <c:pt idx="642">
                  <c:v>51.36</c:v>
                </c:pt>
                <c:pt idx="643">
                  <c:v>51.44</c:v>
                </c:pt>
                <c:pt idx="644">
                  <c:v>51.52</c:v>
                </c:pt>
                <c:pt idx="645">
                  <c:v>51.6</c:v>
                </c:pt>
                <c:pt idx="646">
                  <c:v>51.68</c:v>
                </c:pt>
                <c:pt idx="647">
                  <c:v>51.76</c:v>
                </c:pt>
                <c:pt idx="648">
                  <c:v>51.84</c:v>
                </c:pt>
                <c:pt idx="649">
                  <c:v>51.92</c:v>
                </c:pt>
                <c:pt idx="650">
                  <c:v>52</c:v>
                </c:pt>
                <c:pt idx="651">
                  <c:v>52.08</c:v>
                </c:pt>
                <c:pt idx="652">
                  <c:v>52.16</c:v>
                </c:pt>
                <c:pt idx="653">
                  <c:v>52.24</c:v>
                </c:pt>
                <c:pt idx="654">
                  <c:v>52.32</c:v>
                </c:pt>
                <c:pt idx="655">
                  <c:v>52.4</c:v>
                </c:pt>
                <c:pt idx="656">
                  <c:v>52.48</c:v>
                </c:pt>
                <c:pt idx="657">
                  <c:v>52.56</c:v>
                </c:pt>
                <c:pt idx="658">
                  <c:v>52.64</c:v>
                </c:pt>
                <c:pt idx="659">
                  <c:v>52.72</c:v>
                </c:pt>
                <c:pt idx="660">
                  <c:v>52.8</c:v>
                </c:pt>
                <c:pt idx="661">
                  <c:v>52.88</c:v>
                </c:pt>
                <c:pt idx="662">
                  <c:v>52.96</c:v>
                </c:pt>
                <c:pt idx="663">
                  <c:v>53.04</c:v>
                </c:pt>
                <c:pt idx="664">
                  <c:v>53.12</c:v>
                </c:pt>
                <c:pt idx="665">
                  <c:v>53.2</c:v>
                </c:pt>
                <c:pt idx="666">
                  <c:v>53.28</c:v>
                </c:pt>
                <c:pt idx="667">
                  <c:v>53.36</c:v>
                </c:pt>
                <c:pt idx="668">
                  <c:v>53.44</c:v>
                </c:pt>
                <c:pt idx="669">
                  <c:v>53.52</c:v>
                </c:pt>
                <c:pt idx="670">
                  <c:v>53.6</c:v>
                </c:pt>
                <c:pt idx="671">
                  <c:v>53.68</c:v>
                </c:pt>
                <c:pt idx="672">
                  <c:v>53.76</c:v>
                </c:pt>
                <c:pt idx="673">
                  <c:v>53.84</c:v>
                </c:pt>
                <c:pt idx="674">
                  <c:v>53.92</c:v>
                </c:pt>
                <c:pt idx="675">
                  <c:v>54</c:v>
                </c:pt>
                <c:pt idx="676">
                  <c:v>54.08</c:v>
                </c:pt>
                <c:pt idx="677">
                  <c:v>54.16</c:v>
                </c:pt>
                <c:pt idx="678">
                  <c:v>54.24</c:v>
                </c:pt>
                <c:pt idx="679">
                  <c:v>54.32</c:v>
                </c:pt>
                <c:pt idx="680">
                  <c:v>54.4</c:v>
                </c:pt>
                <c:pt idx="681">
                  <c:v>54.48</c:v>
                </c:pt>
                <c:pt idx="682">
                  <c:v>54.56</c:v>
                </c:pt>
                <c:pt idx="683">
                  <c:v>54.64</c:v>
                </c:pt>
                <c:pt idx="684">
                  <c:v>54.72</c:v>
                </c:pt>
                <c:pt idx="685">
                  <c:v>54.8</c:v>
                </c:pt>
                <c:pt idx="686">
                  <c:v>54.88</c:v>
                </c:pt>
                <c:pt idx="687">
                  <c:v>54.96</c:v>
                </c:pt>
                <c:pt idx="688">
                  <c:v>55.04</c:v>
                </c:pt>
                <c:pt idx="689">
                  <c:v>55.12</c:v>
                </c:pt>
                <c:pt idx="690">
                  <c:v>55.2</c:v>
                </c:pt>
                <c:pt idx="691">
                  <c:v>55.28</c:v>
                </c:pt>
                <c:pt idx="692">
                  <c:v>55.36</c:v>
                </c:pt>
                <c:pt idx="693">
                  <c:v>55.44</c:v>
                </c:pt>
                <c:pt idx="694">
                  <c:v>55.52</c:v>
                </c:pt>
                <c:pt idx="695">
                  <c:v>55.6</c:v>
                </c:pt>
                <c:pt idx="696">
                  <c:v>55.68</c:v>
                </c:pt>
                <c:pt idx="697">
                  <c:v>55.76</c:v>
                </c:pt>
                <c:pt idx="698">
                  <c:v>55.84</c:v>
                </c:pt>
                <c:pt idx="699">
                  <c:v>55.92</c:v>
                </c:pt>
                <c:pt idx="700">
                  <c:v>56</c:v>
                </c:pt>
                <c:pt idx="701">
                  <c:v>56.08</c:v>
                </c:pt>
                <c:pt idx="702">
                  <c:v>56.16</c:v>
                </c:pt>
                <c:pt idx="703">
                  <c:v>56.24</c:v>
                </c:pt>
                <c:pt idx="704">
                  <c:v>56.32</c:v>
                </c:pt>
                <c:pt idx="705">
                  <c:v>56.4</c:v>
                </c:pt>
                <c:pt idx="706">
                  <c:v>56.48</c:v>
                </c:pt>
                <c:pt idx="707">
                  <c:v>56.56</c:v>
                </c:pt>
                <c:pt idx="708">
                  <c:v>56.64</c:v>
                </c:pt>
                <c:pt idx="709">
                  <c:v>56.72</c:v>
                </c:pt>
                <c:pt idx="710">
                  <c:v>56.8</c:v>
                </c:pt>
                <c:pt idx="711">
                  <c:v>56.88</c:v>
                </c:pt>
                <c:pt idx="712">
                  <c:v>56.96</c:v>
                </c:pt>
                <c:pt idx="713">
                  <c:v>57.04</c:v>
                </c:pt>
                <c:pt idx="714">
                  <c:v>57.12</c:v>
                </c:pt>
                <c:pt idx="715">
                  <c:v>57.2</c:v>
                </c:pt>
                <c:pt idx="716">
                  <c:v>57.28</c:v>
                </c:pt>
                <c:pt idx="717">
                  <c:v>57.36</c:v>
                </c:pt>
                <c:pt idx="718">
                  <c:v>57.44</c:v>
                </c:pt>
                <c:pt idx="719">
                  <c:v>57.52</c:v>
                </c:pt>
                <c:pt idx="720">
                  <c:v>57.6</c:v>
                </c:pt>
                <c:pt idx="721">
                  <c:v>57.68</c:v>
                </c:pt>
                <c:pt idx="722">
                  <c:v>57.76</c:v>
                </c:pt>
                <c:pt idx="723">
                  <c:v>57.84</c:v>
                </c:pt>
                <c:pt idx="724">
                  <c:v>57.92</c:v>
                </c:pt>
                <c:pt idx="725">
                  <c:v>58</c:v>
                </c:pt>
                <c:pt idx="726">
                  <c:v>58.08</c:v>
                </c:pt>
                <c:pt idx="727">
                  <c:v>58.16</c:v>
                </c:pt>
                <c:pt idx="728">
                  <c:v>58.24</c:v>
                </c:pt>
                <c:pt idx="729">
                  <c:v>58.32</c:v>
                </c:pt>
                <c:pt idx="730">
                  <c:v>58.4</c:v>
                </c:pt>
                <c:pt idx="731">
                  <c:v>58.48</c:v>
                </c:pt>
                <c:pt idx="732">
                  <c:v>58.56</c:v>
                </c:pt>
                <c:pt idx="733">
                  <c:v>58.64</c:v>
                </c:pt>
                <c:pt idx="734">
                  <c:v>58.72</c:v>
                </c:pt>
                <c:pt idx="735">
                  <c:v>58.8</c:v>
                </c:pt>
                <c:pt idx="736">
                  <c:v>58.88</c:v>
                </c:pt>
                <c:pt idx="737">
                  <c:v>58.96</c:v>
                </c:pt>
                <c:pt idx="738">
                  <c:v>59.04</c:v>
                </c:pt>
                <c:pt idx="739">
                  <c:v>59.12</c:v>
                </c:pt>
                <c:pt idx="740">
                  <c:v>59.2</c:v>
                </c:pt>
                <c:pt idx="741">
                  <c:v>59.28</c:v>
                </c:pt>
                <c:pt idx="742">
                  <c:v>59.36</c:v>
                </c:pt>
                <c:pt idx="743">
                  <c:v>59.44</c:v>
                </c:pt>
                <c:pt idx="744">
                  <c:v>59.52</c:v>
                </c:pt>
                <c:pt idx="745">
                  <c:v>59.6</c:v>
                </c:pt>
                <c:pt idx="746">
                  <c:v>59.68</c:v>
                </c:pt>
                <c:pt idx="747">
                  <c:v>59.76</c:v>
                </c:pt>
                <c:pt idx="748">
                  <c:v>59.84</c:v>
                </c:pt>
                <c:pt idx="749">
                  <c:v>59.92</c:v>
                </c:pt>
                <c:pt idx="750">
                  <c:v>60</c:v>
                </c:pt>
              </c:numCache>
            </c:numRef>
          </c:xVal>
          <c:yVal>
            <c:numRef>
              <c:f>Sheet1!$G$10:$G$760</c:f>
              <c:numCache>
                <c:formatCode>0.00</c:formatCode>
                <c:ptCount val="751"/>
                <c:pt idx="0">
                  <c:v>74.2</c:v>
                </c:pt>
                <c:pt idx="1">
                  <c:v>74.198331572216844</c:v>
                </c:pt>
                <c:pt idx="2">
                  <c:v>74.196663330010423</c:v>
                </c:pt>
                <c:pt idx="3">
                  <c:v>74.194995273360121</c:v>
                </c:pt>
                <c:pt idx="4">
                  <c:v>74.193327402245288</c:v>
                </c:pt>
                <c:pt idx="5">
                  <c:v>74.19165971664529</c:v>
                </c:pt>
                <c:pt idx="6">
                  <c:v>74.189992216539494</c:v>
                </c:pt>
                <c:pt idx="7">
                  <c:v>74.188324901907265</c:v>
                </c:pt>
                <c:pt idx="8">
                  <c:v>74.186657772727969</c:v>
                </c:pt>
                <c:pt idx="9">
                  <c:v>74.184990828980986</c:v>
                </c:pt>
                <c:pt idx="10">
                  <c:v>74.183324070645682</c:v>
                </c:pt>
                <c:pt idx="11">
                  <c:v>74.181657497701437</c:v>
                </c:pt>
                <c:pt idx="12">
                  <c:v>74.179991110127631</c:v>
                </c:pt>
                <c:pt idx="13">
                  <c:v>74.178324907903658</c:v>
                </c:pt>
                <c:pt idx="14">
                  <c:v>74.176658891008884</c:v>
                </c:pt>
                <c:pt idx="15">
                  <c:v>74.174993059422704</c:v>
                </c:pt>
                <c:pt idx="16">
                  <c:v>74.173327413124497</c:v>
                </c:pt>
                <c:pt idx="17">
                  <c:v>74.171661952093672</c:v>
                </c:pt>
                <c:pt idx="18">
                  <c:v>74.169996676309609</c:v>
                </c:pt>
                <c:pt idx="19">
                  <c:v>74.168331585751702</c:v>
                </c:pt>
                <c:pt idx="20">
                  <c:v>74.166666680399345</c:v>
                </c:pt>
                <c:pt idx="21">
                  <c:v>74.165001960231947</c:v>
                </c:pt>
                <c:pt idx="22">
                  <c:v>74.163337425228917</c:v>
                </c:pt>
                <c:pt idx="23">
                  <c:v>74.161673075369634</c:v>
                </c:pt>
                <c:pt idx="24">
                  <c:v>74.160008910633536</c:v>
                </c:pt>
                <c:pt idx="25">
                  <c:v>74.158344931000002</c:v>
                </c:pt>
                <c:pt idx="26">
                  <c:v>74.156681136448469</c:v>
                </c:pt>
                <c:pt idx="27">
                  <c:v>74.155017526958346</c:v>
                </c:pt>
                <c:pt idx="28">
                  <c:v>74.153354102509027</c:v>
                </c:pt>
                <c:pt idx="29">
                  <c:v>74.151690863079949</c:v>
                </c:pt>
                <c:pt idx="30">
                  <c:v>74.150027808650535</c:v>
                </c:pt>
                <c:pt idx="31">
                  <c:v>74.148364939200206</c:v>
                </c:pt>
                <c:pt idx="32">
                  <c:v>74.146702254708373</c:v>
                </c:pt>
                <c:pt idx="33">
                  <c:v>74.145039755154471</c:v>
                </c:pt>
                <c:pt idx="34">
                  <c:v>74.143377440517952</c:v>
                </c:pt>
                <c:pt idx="35">
                  <c:v>74.14171531077821</c:v>
                </c:pt>
                <c:pt idx="36">
                  <c:v>74.140053365914696</c:v>
                </c:pt>
                <c:pt idx="37">
                  <c:v>74.138391605906861</c:v>
                </c:pt>
                <c:pt idx="38">
                  <c:v>74.136730030734114</c:v>
                </c:pt>
                <c:pt idx="39">
                  <c:v>74.13506864037592</c:v>
                </c:pt>
                <c:pt idx="40">
                  <c:v>74.133407434811716</c:v>
                </c:pt>
                <c:pt idx="41">
                  <c:v>74.131746414020952</c:v>
                </c:pt>
                <c:pt idx="42">
                  <c:v>74.130085577983067</c:v>
                </c:pt>
                <c:pt idx="43">
                  <c:v>74.128424926677511</c:v>
                </c:pt>
                <c:pt idx="44">
                  <c:v>74.126764460083734</c:v>
                </c:pt>
                <c:pt idx="45">
                  <c:v>74.125104178181203</c:v>
                </c:pt>
                <c:pt idx="46">
                  <c:v>74.123444080949383</c:v>
                </c:pt>
                <c:pt idx="47">
                  <c:v>74.121784168367697</c:v>
                </c:pt>
                <c:pt idx="48">
                  <c:v>74.120124440415651</c:v>
                </c:pt>
                <c:pt idx="49">
                  <c:v>74.11846489707267</c:v>
                </c:pt>
                <c:pt idx="50">
                  <c:v>74.116805538318232</c:v>
                </c:pt>
                <c:pt idx="51">
                  <c:v>74.115146364131817</c:v>
                </c:pt>
                <c:pt idx="52">
                  <c:v>74.113487374492905</c:v>
                </c:pt>
                <c:pt idx="53">
                  <c:v>74.111828569380933</c:v>
                </c:pt>
                <c:pt idx="54">
                  <c:v>74.110169948775408</c:v>
                </c:pt>
                <c:pt idx="55">
                  <c:v>74.108511512655795</c:v>
                </c:pt>
                <c:pt idx="56">
                  <c:v>74.106853261001575</c:v>
                </c:pt>
                <c:pt idx="57">
                  <c:v>74.105195193792227</c:v>
                </c:pt>
                <c:pt idx="58">
                  <c:v>74.10353731100723</c:v>
                </c:pt>
                <c:pt idx="59">
                  <c:v>74.101879612626092</c:v>
                </c:pt>
                <c:pt idx="60">
                  <c:v>74.100222098628294</c:v>
                </c:pt>
                <c:pt idx="61">
                  <c:v>74.098564768993313</c:v>
                </c:pt>
                <c:pt idx="62">
                  <c:v>74.096907623700659</c:v>
                </c:pt>
                <c:pt idx="63">
                  <c:v>74.095250662729825</c:v>
                </c:pt>
                <c:pt idx="64">
                  <c:v>74.09359388606029</c:v>
                </c:pt>
                <c:pt idx="65">
                  <c:v>74.091937293671577</c:v>
                </c:pt>
                <c:pt idx="66">
                  <c:v>74.090280885543194</c:v>
                </c:pt>
                <c:pt idx="67">
                  <c:v>74.08862466165462</c:v>
                </c:pt>
                <c:pt idx="68">
                  <c:v>74.086968621985378</c:v>
                </c:pt>
                <c:pt idx="69">
                  <c:v>74.085312766514974</c:v>
                </c:pt>
                <c:pt idx="70">
                  <c:v>74.083657095222918</c:v>
                </c:pt>
                <c:pt idx="71">
                  <c:v>74.082001608088746</c:v>
                </c:pt>
                <c:pt idx="72">
                  <c:v>74.080346305091936</c:v>
                </c:pt>
                <c:pt idx="73">
                  <c:v>74.078691186212041</c:v>
                </c:pt>
                <c:pt idx="74">
                  <c:v>74.077036251428567</c:v>
                </c:pt>
                <c:pt idx="75">
                  <c:v>74.075381500721022</c:v>
                </c:pt>
                <c:pt idx="76">
                  <c:v>74.073726934068958</c:v>
                </c:pt>
                <c:pt idx="77">
                  <c:v>74.072072551451896</c:v>
                </c:pt>
                <c:pt idx="78">
                  <c:v>74.070418352849359</c:v>
                </c:pt>
                <c:pt idx="79">
                  <c:v>74.068764338240882</c:v>
                </c:pt>
                <c:pt idx="80">
                  <c:v>74.067110507606003</c:v>
                </c:pt>
                <c:pt idx="81">
                  <c:v>74.065456860924243</c:v>
                </c:pt>
                <c:pt idx="82">
                  <c:v>74.063803398175168</c:v>
                </c:pt>
                <c:pt idx="83">
                  <c:v>74.062150119338298</c:v>
                </c:pt>
                <c:pt idx="84">
                  <c:v>74.060497024393186</c:v>
                </c:pt>
                <c:pt idx="85">
                  <c:v>74.058844113319381</c:v>
                </c:pt>
                <c:pt idx="86">
                  <c:v>74.05719138609642</c:v>
                </c:pt>
                <c:pt idx="87">
                  <c:v>74.055538842703868</c:v>
                </c:pt>
                <c:pt idx="88">
                  <c:v>74.053886483121261</c:v>
                </c:pt>
                <c:pt idx="89">
                  <c:v>74.052234307328177</c:v>
                </c:pt>
                <c:pt idx="90">
                  <c:v>74.05058231530414</c:v>
                </c:pt>
                <c:pt idx="91">
                  <c:v>74.048930507028743</c:v>
                </c:pt>
                <c:pt idx="92">
                  <c:v>74.047278882481535</c:v>
                </c:pt>
                <c:pt idx="93">
                  <c:v>74.045627441642068</c:v>
                </c:pt>
                <c:pt idx="94">
                  <c:v>74.043976184489935</c:v>
                </c:pt>
                <c:pt idx="95">
                  <c:v>74.042325111004672</c:v>
                </c:pt>
                <c:pt idx="96">
                  <c:v>74.040674221165872</c:v>
                </c:pt>
                <c:pt idx="97">
                  <c:v>74.039023514953115</c:v>
                </c:pt>
                <c:pt idx="98">
                  <c:v>74.037372992345951</c:v>
                </c:pt>
                <c:pt idx="99">
                  <c:v>74.035722653323987</c:v>
                </c:pt>
                <c:pt idx="100">
                  <c:v>74.034072497866774</c:v>
                </c:pt>
                <c:pt idx="101">
                  <c:v>74.032422525953905</c:v>
                </c:pt>
                <c:pt idx="102">
                  <c:v>74.030772737564988</c:v>
                </c:pt>
                <c:pt idx="103">
                  <c:v>74.029123132679572</c:v>
                </c:pt>
                <c:pt idx="104">
                  <c:v>74.027473711277281</c:v>
                </c:pt>
                <c:pt idx="105">
                  <c:v>74.025824473337678</c:v>
                </c:pt>
                <c:pt idx="106">
                  <c:v>74.024175418840372</c:v>
                </c:pt>
                <c:pt idx="107">
                  <c:v>74.02252654776494</c:v>
                </c:pt>
                <c:pt idx="108">
                  <c:v>74.020877860091019</c:v>
                </c:pt>
                <c:pt idx="109">
                  <c:v>74.019229355798174</c:v>
                </c:pt>
                <c:pt idx="110">
                  <c:v>74.017581034866012</c:v>
                </c:pt>
                <c:pt idx="111">
                  <c:v>74.015932897274155</c:v>
                </c:pt>
                <c:pt idx="112">
                  <c:v>74.01428494300221</c:v>
                </c:pt>
                <c:pt idx="113">
                  <c:v>74.01263717202977</c:v>
                </c:pt>
                <c:pt idx="114">
                  <c:v>74.010989584336443</c:v>
                </c:pt>
                <c:pt idx="115">
                  <c:v>74.009342179901864</c:v>
                </c:pt>
                <c:pt idx="116">
                  <c:v>74.007694958705656</c:v>
                </c:pt>
                <c:pt idx="117">
                  <c:v>74.006047920727397</c:v>
                </c:pt>
                <c:pt idx="118">
                  <c:v>74.004401065946752</c:v>
                </c:pt>
                <c:pt idx="119">
                  <c:v>74.002754394343313</c:v>
                </c:pt>
                <c:pt idx="120">
                  <c:v>74.001107905896717</c:v>
                </c:pt>
                <c:pt idx="121">
                  <c:v>73.999461600586599</c:v>
                </c:pt>
                <c:pt idx="122">
                  <c:v>73.997815478392582</c:v>
                </c:pt>
                <c:pt idx="123">
                  <c:v>73.9961695392943</c:v>
                </c:pt>
                <c:pt idx="124">
                  <c:v>73.994523783271376</c:v>
                </c:pt>
                <c:pt idx="125">
                  <c:v>73.992878210303473</c:v>
                </c:pt>
                <c:pt idx="126">
                  <c:v>73.9912328203702</c:v>
                </c:pt>
                <c:pt idx="127">
                  <c:v>73.989587613451221</c:v>
                </c:pt>
                <c:pt idx="128">
                  <c:v>73.987942589526156</c:v>
                </c:pt>
                <c:pt idx="129">
                  <c:v>73.986297748574685</c:v>
                </c:pt>
                <c:pt idx="130">
                  <c:v>73.98465309057643</c:v>
                </c:pt>
                <c:pt idx="131">
                  <c:v>73.983008615511039</c:v>
                </c:pt>
                <c:pt idx="132">
                  <c:v>73.981364323358179</c:v>
                </c:pt>
                <c:pt idx="133">
                  <c:v>73.979720214097512</c:v>
                </c:pt>
                <c:pt idx="134">
                  <c:v>73.97807628770866</c:v>
                </c:pt>
                <c:pt idx="135">
                  <c:v>73.976432544171331</c:v>
                </c:pt>
                <c:pt idx="136">
                  <c:v>73.974788983465146</c:v>
                </c:pt>
                <c:pt idx="137">
                  <c:v>73.973145605569783</c:v>
                </c:pt>
                <c:pt idx="138">
                  <c:v>73.971502410464907</c:v>
                </c:pt>
                <c:pt idx="139">
                  <c:v>73.969859398130197</c:v>
                </c:pt>
                <c:pt idx="140">
                  <c:v>73.968216568545316</c:v>
                </c:pt>
                <c:pt idx="141">
                  <c:v>73.966573921689928</c:v>
                </c:pt>
                <c:pt idx="142">
                  <c:v>73.964931457543727</c:v>
                </c:pt>
                <c:pt idx="143">
                  <c:v>73.963289176086377</c:v>
                </c:pt>
                <c:pt idx="144">
                  <c:v>73.961647077297556</c:v>
                </c:pt>
                <c:pt idx="145">
                  <c:v>73.960005161156957</c:v>
                </c:pt>
                <c:pt idx="146">
                  <c:v>73.958363427644258</c:v>
                </c:pt>
                <c:pt idx="147">
                  <c:v>73.956721876739138</c:v>
                </c:pt>
                <c:pt idx="148">
                  <c:v>73.955080508421304</c:v>
                </c:pt>
                <c:pt idx="149">
                  <c:v>73.953439322670434</c:v>
                </c:pt>
                <c:pt idx="150">
                  <c:v>73.951798319466221</c:v>
                </c:pt>
                <c:pt idx="151">
                  <c:v>73.950157498788371</c:v>
                </c:pt>
                <c:pt idx="152">
                  <c:v>73.948516860616564</c:v>
                </c:pt>
                <c:pt idx="153">
                  <c:v>73.946876404930521</c:v>
                </c:pt>
                <c:pt idx="154">
                  <c:v>73.945236131709919</c:v>
                </c:pt>
                <c:pt idx="155">
                  <c:v>73.943596040934494</c:v>
                </c:pt>
                <c:pt idx="156">
                  <c:v>73.941956132583925</c:v>
                </c:pt>
                <c:pt idx="157">
                  <c:v>73.940316406637947</c:v>
                </c:pt>
                <c:pt idx="158">
                  <c:v>73.938676863076253</c:v>
                </c:pt>
                <c:pt idx="159">
                  <c:v>73.93703750187855</c:v>
                </c:pt>
                <c:pt idx="160">
                  <c:v>73.935398323024572</c:v>
                </c:pt>
                <c:pt idx="161">
                  <c:v>73.933759326494027</c:v>
                </c:pt>
                <c:pt idx="162">
                  <c:v>73.93212051226665</c:v>
                </c:pt>
                <c:pt idx="163">
                  <c:v>73.930481880322148</c:v>
                </c:pt>
                <c:pt idx="164">
                  <c:v>73.928843430640242</c:v>
                </c:pt>
                <c:pt idx="165">
                  <c:v>73.927205163200668</c:v>
                </c:pt>
                <c:pt idx="166">
                  <c:v>73.92556707798316</c:v>
                </c:pt>
                <c:pt idx="167">
                  <c:v>73.923929174967441</c:v>
                </c:pt>
                <c:pt idx="168">
                  <c:v>73.922291454133259</c:v>
                </c:pt>
                <c:pt idx="169">
                  <c:v>73.920653915460335</c:v>
                </c:pt>
                <c:pt idx="170">
                  <c:v>73.919016558928405</c:v>
                </c:pt>
                <c:pt idx="171">
                  <c:v>73.917379384517218</c:v>
                </c:pt>
                <c:pt idx="172">
                  <c:v>73.915742392206525</c:v>
                </c:pt>
                <c:pt idx="173">
                  <c:v>73.914105581976045</c:v>
                </c:pt>
                <c:pt idx="174">
                  <c:v>73.912468953805558</c:v>
                </c:pt>
                <c:pt idx="175">
                  <c:v>73.910832507674797</c:v>
                </c:pt>
                <c:pt idx="176">
                  <c:v>73.909196243563514</c:v>
                </c:pt>
                <c:pt idx="177">
                  <c:v>73.907560161451457</c:v>
                </c:pt>
                <c:pt idx="178">
                  <c:v>73.90592426131839</c:v>
                </c:pt>
                <c:pt idx="179">
                  <c:v>73.904288543144077</c:v>
                </c:pt>
                <c:pt idx="180">
                  <c:v>73.902653006908281</c:v>
                </c:pt>
                <c:pt idx="181">
                  <c:v>73.901017652590753</c:v>
                </c:pt>
                <c:pt idx="182">
                  <c:v>73.899382480171255</c:v>
                </c:pt>
                <c:pt idx="183">
                  <c:v>73.89774748962958</c:v>
                </c:pt>
                <c:pt idx="184">
                  <c:v>73.896112680945464</c:v>
                </c:pt>
                <c:pt idx="185">
                  <c:v>73.894478054098713</c:v>
                </c:pt>
                <c:pt idx="186">
                  <c:v>73.892843609069075</c:v>
                </c:pt>
                <c:pt idx="187">
                  <c:v>73.89120934583633</c:v>
                </c:pt>
                <c:pt idx="188">
                  <c:v>73.889575264380284</c:v>
                </c:pt>
                <c:pt idx="189">
                  <c:v>73.887941364680671</c:v>
                </c:pt>
                <c:pt idx="190">
                  <c:v>73.886307646717327</c:v>
                </c:pt>
                <c:pt idx="191">
                  <c:v>73.884674110470002</c:v>
                </c:pt>
                <c:pt idx="192">
                  <c:v>73.883040755918486</c:v>
                </c:pt>
                <c:pt idx="193">
                  <c:v>73.881407583042588</c:v>
                </c:pt>
                <c:pt idx="194">
                  <c:v>73.879774591822098</c:v>
                </c:pt>
                <c:pt idx="195">
                  <c:v>73.878141782236781</c:v>
                </c:pt>
                <c:pt idx="196">
                  <c:v>73.876509154266472</c:v>
                </c:pt>
                <c:pt idx="197">
                  <c:v>73.874876707890948</c:v>
                </c:pt>
                <c:pt idx="198">
                  <c:v>73.873244443090016</c:v>
                </c:pt>
                <c:pt idx="199">
                  <c:v>73.871612359843482</c:v>
                </c:pt>
                <c:pt idx="200">
                  <c:v>73.869980458131153</c:v>
                </c:pt>
                <c:pt idx="201">
                  <c:v>73.868348737932834</c:v>
                </c:pt>
                <c:pt idx="202">
                  <c:v>73.866717199228333</c:v>
                </c:pt>
                <c:pt idx="203">
                  <c:v>73.86508584199747</c:v>
                </c:pt>
                <c:pt idx="204">
                  <c:v>73.863454666220051</c:v>
                </c:pt>
                <c:pt idx="205">
                  <c:v>73.861823671875896</c:v>
                </c:pt>
                <c:pt idx="206">
                  <c:v>73.860192858944828</c:v>
                </c:pt>
                <c:pt idx="207">
                  <c:v>73.858562227406665</c:v>
                </c:pt>
                <c:pt idx="208">
                  <c:v>73.856931777241243</c:v>
                </c:pt>
                <c:pt idx="209">
                  <c:v>73.855301508428369</c:v>
                </c:pt>
                <c:pt idx="210">
                  <c:v>73.853671420947876</c:v>
                </c:pt>
                <c:pt idx="211">
                  <c:v>73.852041514779614</c:v>
                </c:pt>
                <c:pt idx="212">
                  <c:v>73.85041178990339</c:v>
                </c:pt>
                <c:pt idx="213">
                  <c:v>73.848782246299052</c:v>
                </c:pt>
                <c:pt idx="214">
                  <c:v>73.847152883946436</c:v>
                </c:pt>
                <c:pt idx="215">
                  <c:v>73.845523702825375</c:v>
                </c:pt>
                <c:pt idx="216">
                  <c:v>73.843894702915719</c:v>
                </c:pt>
                <c:pt idx="217">
                  <c:v>73.842265884197317</c:v>
                </c:pt>
                <c:pt idx="218">
                  <c:v>73.840637246650004</c:v>
                </c:pt>
                <c:pt idx="219">
                  <c:v>73.839008790253644</c:v>
                </c:pt>
                <c:pt idx="220">
                  <c:v>73.83738051498807</c:v>
                </c:pt>
                <c:pt idx="221">
                  <c:v>73.835752420833131</c:v>
                </c:pt>
                <c:pt idx="222">
                  <c:v>73.834124507768706</c:v>
                </c:pt>
                <c:pt idx="223">
                  <c:v>73.832496775774644</c:v>
                </c:pt>
                <c:pt idx="224">
                  <c:v>73.830869224830792</c:v>
                </c:pt>
                <c:pt idx="225">
                  <c:v>73.829241854917015</c:v>
                </c:pt>
                <c:pt idx="226">
                  <c:v>73.82761466601319</c:v>
                </c:pt>
                <c:pt idx="227">
                  <c:v>73.82598765809918</c:v>
                </c:pt>
                <c:pt idx="228">
                  <c:v>73.824360831154848</c:v>
                </c:pt>
                <c:pt idx="229">
                  <c:v>73.822734185160073</c:v>
                </c:pt>
                <c:pt idx="230">
                  <c:v>73.821107720094716</c:v>
                </c:pt>
                <c:pt idx="231">
                  <c:v>73.819481435938656</c:v>
                </c:pt>
                <c:pt idx="232">
                  <c:v>73.817855332671783</c:v>
                </c:pt>
                <c:pt idx="233">
                  <c:v>73.816229410273962</c:v>
                </c:pt>
                <c:pt idx="234">
                  <c:v>73.814603668725084</c:v>
                </c:pt>
                <c:pt idx="235">
                  <c:v>73.812978108005026</c:v>
                </c:pt>
                <c:pt idx="236">
                  <c:v>73.811352728093681</c:v>
                </c:pt>
                <c:pt idx="237">
                  <c:v>73.809727528970939</c:v>
                </c:pt>
                <c:pt idx="238">
                  <c:v>73.808102510616692</c:v>
                </c:pt>
                <c:pt idx="239">
                  <c:v>73.806477673010818</c:v>
                </c:pt>
                <c:pt idx="240">
                  <c:v>73.804853016133222</c:v>
                </c:pt>
                <c:pt idx="241">
                  <c:v>73.803228539963811</c:v>
                </c:pt>
                <c:pt idx="242">
                  <c:v>73.80160424448249</c:v>
                </c:pt>
                <c:pt idx="243">
                  <c:v>73.799980129669137</c:v>
                </c:pt>
                <c:pt idx="244">
                  <c:v>73.798356195503672</c:v>
                </c:pt>
                <c:pt idx="245">
                  <c:v>73.796732441966</c:v>
                </c:pt>
                <c:pt idx="246">
                  <c:v>73.795108869036028</c:v>
                </c:pt>
                <c:pt idx="247">
                  <c:v>73.793485476693661</c:v>
                </c:pt>
                <c:pt idx="248">
                  <c:v>73.791862264918834</c:v>
                </c:pt>
                <c:pt idx="249">
                  <c:v>73.790239233691437</c:v>
                </c:pt>
                <c:pt idx="250">
                  <c:v>73.788616382991407</c:v>
                </c:pt>
                <c:pt idx="251">
                  <c:v>73.786993712798647</c:v>
                </c:pt>
                <c:pt idx="252">
                  <c:v>73.785371223093108</c:v>
                </c:pt>
                <c:pt idx="253">
                  <c:v>73.78374891385468</c:v>
                </c:pt>
                <c:pt idx="254">
                  <c:v>73.782126785063312</c:v>
                </c:pt>
                <c:pt idx="255">
                  <c:v>73.780504836698924</c:v>
                </c:pt>
                <c:pt idx="256">
                  <c:v>73.77888306874145</c:v>
                </c:pt>
                <c:pt idx="257">
                  <c:v>73.777261481170825</c:v>
                </c:pt>
                <c:pt idx="258">
                  <c:v>73.775640073966983</c:v>
                </c:pt>
                <c:pt idx="259">
                  <c:v>73.774018847109858</c:v>
                </c:pt>
                <c:pt idx="260">
                  <c:v>73.772397800579398</c:v>
                </c:pt>
                <c:pt idx="261">
                  <c:v>73.770776934355553</c:v>
                </c:pt>
                <c:pt idx="262">
                  <c:v>73.769156248418241</c:v>
                </c:pt>
                <c:pt idx="263">
                  <c:v>73.767535742747441</c:v>
                </c:pt>
                <c:pt idx="264">
                  <c:v>73.765915417323072</c:v>
                </c:pt>
                <c:pt idx="265">
                  <c:v>73.764295272125111</c:v>
                </c:pt>
                <c:pt idx="266">
                  <c:v>73.762675307133492</c:v>
                </c:pt>
                <c:pt idx="267">
                  <c:v>73.761055522328178</c:v>
                </c:pt>
                <c:pt idx="268">
                  <c:v>73.759435917689146</c:v>
                </c:pt>
                <c:pt idx="269">
                  <c:v>73.75781649319633</c:v>
                </c:pt>
                <c:pt idx="270">
                  <c:v>73.756197248829693</c:v>
                </c:pt>
                <c:pt idx="271">
                  <c:v>73.754578184569212</c:v>
                </c:pt>
                <c:pt idx="272">
                  <c:v>73.752959300394863</c:v>
                </c:pt>
                <c:pt idx="273">
                  <c:v>73.751340596286596</c:v>
                </c:pt>
                <c:pt idx="274">
                  <c:v>73.749722072224387</c:v>
                </c:pt>
                <c:pt idx="275">
                  <c:v>73.748103728188212</c:v>
                </c:pt>
                <c:pt idx="276">
                  <c:v>73.74648556415805</c:v>
                </c:pt>
                <c:pt idx="277">
                  <c:v>73.744867580113862</c:v>
                </c:pt>
                <c:pt idx="278">
                  <c:v>73.743249776035668</c:v>
                </c:pt>
                <c:pt idx="279">
                  <c:v>73.741632151903403</c:v>
                </c:pt>
                <c:pt idx="280">
                  <c:v>73.740014707697085</c:v>
                </c:pt>
                <c:pt idx="281">
                  <c:v>73.738397443396693</c:v>
                </c:pt>
                <c:pt idx="282">
                  <c:v>73.736780358982202</c:v>
                </c:pt>
                <c:pt idx="283">
                  <c:v>73.735163454433632</c:v>
                </c:pt>
                <c:pt idx="284">
                  <c:v>73.733546729730946</c:v>
                </c:pt>
                <c:pt idx="285">
                  <c:v>73.731930184854164</c:v>
                </c:pt>
                <c:pt idx="286">
                  <c:v>73.730313819783277</c:v>
                </c:pt>
                <c:pt idx="287">
                  <c:v>73.728697634498275</c:v>
                </c:pt>
                <c:pt idx="288">
                  <c:v>73.727081628979164</c:v>
                </c:pt>
                <c:pt idx="289">
                  <c:v>73.725465803205964</c:v>
                </c:pt>
                <c:pt idx="290">
                  <c:v>73.723850157158665</c:v>
                </c:pt>
                <c:pt idx="291">
                  <c:v>73.722234690817288</c:v>
                </c:pt>
                <c:pt idx="292">
                  <c:v>73.720619404161823</c:v>
                </c:pt>
                <c:pt idx="293">
                  <c:v>73.719004297172319</c:v>
                </c:pt>
                <c:pt idx="294">
                  <c:v>73.717389369828766</c:v>
                </c:pt>
                <c:pt idx="295">
                  <c:v>73.715774622111184</c:v>
                </c:pt>
                <c:pt idx="296">
                  <c:v>73.714160053999606</c:v>
                </c:pt>
                <c:pt idx="297">
                  <c:v>73.712545665474053</c:v>
                </c:pt>
                <c:pt idx="298">
                  <c:v>73.710931456514544</c:v>
                </c:pt>
                <c:pt idx="299">
                  <c:v>73.709317427101098</c:v>
                </c:pt>
                <c:pt idx="300">
                  <c:v>73.707703577213749</c:v>
                </c:pt>
                <c:pt idx="301">
                  <c:v>73.706089906832545</c:v>
                </c:pt>
                <c:pt idx="302">
                  <c:v>73.704476415937506</c:v>
                </c:pt>
                <c:pt idx="303">
                  <c:v>73.702863104508666</c:v>
                </c:pt>
                <c:pt idx="304">
                  <c:v>73.701249972526071</c:v>
                </c:pt>
                <c:pt idx="305">
                  <c:v>73.699637019969742</c:v>
                </c:pt>
                <c:pt idx="306">
                  <c:v>73.698024246819756</c:v>
                </c:pt>
                <c:pt idx="307">
                  <c:v>73.696411653056131</c:v>
                </c:pt>
                <c:pt idx="308">
                  <c:v>73.694799238658916</c:v>
                </c:pt>
                <c:pt idx="309">
                  <c:v>73.693187003608173</c:v>
                </c:pt>
                <c:pt idx="310">
                  <c:v>73.69157494788395</c:v>
                </c:pt>
                <c:pt idx="311">
                  <c:v>73.689963071466295</c:v>
                </c:pt>
                <c:pt idx="312">
                  <c:v>73.688351374335269</c:v>
                </c:pt>
                <c:pt idx="313">
                  <c:v>73.686739856470922</c:v>
                </c:pt>
                <c:pt idx="314">
                  <c:v>73.685128517853315</c:v>
                </c:pt>
                <c:pt idx="315">
                  <c:v>73.683517358462524</c:v>
                </c:pt>
                <c:pt idx="316">
                  <c:v>73.681906378278597</c:v>
                </c:pt>
                <c:pt idx="317">
                  <c:v>73.680295577281626</c:v>
                </c:pt>
                <c:pt idx="318">
                  <c:v>73.678684955451658</c:v>
                </c:pt>
                <c:pt idx="319">
                  <c:v>73.677074512768769</c:v>
                </c:pt>
                <c:pt idx="320">
                  <c:v>73.675464249213036</c:v>
                </c:pt>
                <c:pt idx="321">
                  <c:v>73.673854164764521</c:v>
                </c:pt>
                <c:pt idx="322">
                  <c:v>73.672244259403328</c:v>
                </c:pt>
                <c:pt idx="323">
                  <c:v>73.670634533109521</c:v>
                </c:pt>
                <c:pt idx="324">
                  <c:v>73.669024985863189</c:v>
                </c:pt>
                <c:pt idx="325">
                  <c:v>73.667415617644394</c:v>
                </c:pt>
                <c:pt idx="326">
                  <c:v>73.665806428433257</c:v>
                </c:pt>
                <c:pt idx="327">
                  <c:v>73.664197418209852</c:v>
                </c:pt>
                <c:pt idx="328">
                  <c:v>73.662588586954286</c:v>
                </c:pt>
                <c:pt idx="329">
                  <c:v>73.660979934646619</c:v>
                </c:pt>
                <c:pt idx="330">
                  <c:v>73.659371461266971</c:v>
                </c:pt>
                <c:pt idx="331">
                  <c:v>73.657763166795434</c:v>
                </c:pt>
                <c:pt idx="332">
                  <c:v>73.65615505121211</c:v>
                </c:pt>
                <c:pt idx="333">
                  <c:v>73.654547114497092</c:v>
                </c:pt>
                <c:pt idx="334">
                  <c:v>73.652939356630498</c:v>
                </c:pt>
                <c:pt idx="335">
                  <c:v>73.651331777592432</c:v>
                </c:pt>
                <c:pt idx="336">
                  <c:v>73.649724377363</c:v>
                </c:pt>
                <c:pt idx="337">
                  <c:v>73.648117155922321</c:v>
                </c:pt>
                <c:pt idx="338">
                  <c:v>73.6465101132505</c:v>
                </c:pt>
                <c:pt idx="339">
                  <c:v>73.644903249327655</c:v>
                </c:pt>
                <c:pt idx="340">
                  <c:v>73.643296564133891</c:v>
                </c:pt>
                <c:pt idx="341">
                  <c:v>73.641690057649356</c:v>
                </c:pt>
                <c:pt idx="342">
                  <c:v>73.640083729854155</c:v>
                </c:pt>
                <c:pt idx="343">
                  <c:v>73.63847758072842</c:v>
                </c:pt>
                <c:pt idx="344">
                  <c:v>73.636871610252271</c:v>
                </c:pt>
                <c:pt idx="345">
                  <c:v>73.635265818405827</c:v>
                </c:pt>
                <c:pt idx="346">
                  <c:v>73.633660205169249</c:v>
                </c:pt>
                <c:pt idx="347">
                  <c:v>73.632054770522643</c:v>
                </c:pt>
                <c:pt idx="348">
                  <c:v>73.630449514446155</c:v>
                </c:pt>
                <c:pt idx="349">
                  <c:v>73.628844436919934</c:v>
                </c:pt>
                <c:pt idx="350">
                  <c:v>73.627239537924098</c:v>
                </c:pt>
                <c:pt idx="351">
                  <c:v>73.625634817438794</c:v>
                </c:pt>
                <c:pt idx="352">
                  <c:v>73.624030275444184</c:v>
                </c:pt>
                <c:pt idx="353">
                  <c:v>73.622425911920402</c:v>
                </c:pt>
                <c:pt idx="354">
                  <c:v>73.620821726847595</c:v>
                </c:pt>
                <c:pt idx="355">
                  <c:v>73.619217720205924</c:v>
                </c:pt>
                <c:pt idx="356">
                  <c:v>73.617613891975537</c:v>
                </c:pt>
                <c:pt idx="357">
                  <c:v>73.616010242136582</c:v>
                </c:pt>
                <c:pt idx="358">
                  <c:v>73.61440677066922</c:v>
                </c:pt>
                <c:pt idx="359">
                  <c:v>73.612803477553626</c:v>
                </c:pt>
                <c:pt idx="360">
                  <c:v>73.611200362769935</c:v>
                </c:pt>
                <c:pt idx="361">
                  <c:v>73.609597426298336</c:v>
                </c:pt>
                <c:pt idx="362">
                  <c:v>73.607994668118991</c:v>
                </c:pt>
                <c:pt idx="363">
                  <c:v>73.606392088212061</c:v>
                </c:pt>
                <c:pt idx="364">
                  <c:v>73.604789686557723</c:v>
                </c:pt>
                <c:pt idx="365">
                  <c:v>73.603187463136138</c:v>
                </c:pt>
                <c:pt idx="366">
                  <c:v>73.601585417927495</c:v>
                </c:pt>
                <c:pt idx="367">
                  <c:v>73.599983550911972</c:v>
                </c:pt>
                <c:pt idx="368">
                  <c:v>73.598381862069743</c:v>
                </c:pt>
                <c:pt idx="369">
                  <c:v>73.596780351380986</c:v>
                </c:pt>
                <c:pt idx="370">
                  <c:v>73.595179018825903</c:v>
                </c:pt>
                <c:pt idx="371">
                  <c:v>73.593577864384656</c:v>
                </c:pt>
                <c:pt idx="372">
                  <c:v>73.591976888037451</c:v>
                </c:pt>
                <c:pt idx="373">
                  <c:v>73.590376089764476</c:v>
                </c:pt>
                <c:pt idx="374">
                  <c:v>73.588775469545922</c:v>
                </c:pt>
                <c:pt idx="375">
                  <c:v>73.58717502736198</c:v>
                </c:pt>
                <c:pt idx="376">
                  <c:v>73.585574763192852</c:v>
                </c:pt>
                <c:pt idx="377">
                  <c:v>73.583974677018745</c:v>
                </c:pt>
                <c:pt idx="378">
                  <c:v>73.582374768819847</c:v>
                </c:pt>
                <c:pt idx="379">
                  <c:v>73.580775038576363</c:v>
                </c:pt>
                <c:pt idx="380">
                  <c:v>73.579175486268511</c:v>
                </c:pt>
                <c:pt idx="381">
                  <c:v>73.577576111876496</c:v>
                </c:pt>
                <c:pt idx="382">
                  <c:v>73.575976915380522</c:v>
                </c:pt>
                <c:pt idx="383">
                  <c:v>73.574377896760808</c:v>
                </c:pt>
                <c:pt idx="384">
                  <c:v>73.572779055997557</c:v>
                </c:pt>
                <c:pt idx="385">
                  <c:v>73.571180393071018</c:v>
                </c:pt>
                <c:pt idx="386">
                  <c:v>73.569581907961364</c:v>
                </c:pt>
                <c:pt idx="387">
                  <c:v>73.567983600648859</c:v>
                </c:pt>
                <c:pt idx="388">
                  <c:v>73.566385471113691</c:v>
                </c:pt>
                <c:pt idx="389">
                  <c:v>73.564787519336122</c:v>
                </c:pt>
                <c:pt idx="390">
                  <c:v>73.563189745296356</c:v>
                </c:pt>
                <c:pt idx="391">
                  <c:v>73.561592148974626</c:v>
                </c:pt>
                <c:pt idx="392">
                  <c:v>73.559994730351164</c:v>
                </c:pt>
                <c:pt idx="393">
                  <c:v>73.558397489406218</c:v>
                </c:pt>
                <c:pt idx="394">
                  <c:v>73.55680042612002</c:v>
                </c:pt>
                <c:pt idx="395">
                  <c:v>73.555203540472803</c:v>
                </c:pt>
                <c:pt idx="396">
                  <c:v>73.553606832444814</c:v>
                </c:pt>
                <c:pt idx="397">
                  <c:v>73.552010302016285</c:v>
                </c:pt>
                <c:pt idx="398">
                  <c:v>73.550413949167478</c:v>
                </c:pt>
                <c:pt idx="399">
                  <c:v>73.548817773878625</c:v>
                </c:pt>
                <c:pt idx="400">
                  <c:v>73.547221776130002</c:v>
                </c:pt>
                <c:pt idx="401">
                  <c:v>73.545625955901826</c:v>
                </c:pt>
                <c:pt idx="402">
                  <c:v>73.544030313174375</c:v>
                </c:pt>
                <c:pt idx="403">
                  <c:v>73.542434847927908</c:v>
                </c:pt>
                <c:pt idx="404">
                  <c:v>73.540839560142672</c:v>
                </c:pt>
                <c:pt idx="405">
                  <c:v>73.539244449798943</c:v>
                </c:pt>
                <c:pt idx="406">
                  <c:v>73.537649516876968</c:v>
                </c:pt>
                <c:pt idx="407">
                  <c:v>73.536054761357022</c:v>
                </c:pt>
                <c:pt idx="408">
                  <c:v>73.534460183219366</c:v>
                </c:pt>
                <c:pt idx="409">
                  <c:v>73.532865782444276</c:v>
                </c:pt>
                <c:pt idx="410">
                  <c:v>73.531271559012026</c:v>
                </c:pt>
                <c:pt idx="411">
                  <c:v>73.529677512902879</c:v>
                </c:pt>
                <c:pt idx="412">
                  <c:v>73.528083644097137</c:v>
                </c:pt>
                <c:pt idx="413">
                  <c:v>73.526489952575048</c:v>
                </c:pt>
                <c:pt idx="414">
                  <c:v>73.524896438316901</c:v>
                </c:pt>
                <c:pt idx="415">
                  <c:v>73.523303101302986</c:v>
                </c:pt>
                <c:pt idx="416">
                  <c:v>73.521709941513606</c:v>
                </c:pt>
                <c:pt idx="417">
                  <c:v>73.520116958929009</c:v>
                </c:pt>
                <c:pt idx="418">
                  <c:v>73.518524153529512</c:v>
                </c:pt>
                <c:pt idx="419">
                  <c:v>73.516931525295405</c:v>
                </c:pt>
                <c:pt idx="420">
                  <c:v>73.515339074206977</c:v>
                </c:pt>
                <c:pt idx="421">
                  <c:v>73.513746800244519</c:v>
                </c:pt>
                <c:pt idx="422">
                  <c:v>73.512154703388347</c:v>
                </c:pt>
                <c:pt idx="423">
                  <c:v>73.510562783618738</c:v>
                </c:pt>
                <c:pt idx="424">
                  <c:v>73.508971040916009</c:v>
                </c:pt>
                <c:pt idx="425">
                  <c:v>73.507379475260464</c:v>
                </c:pt>
                <c:pt idx="426">
                  <c:v>73.505788086632407</c:v>
                </c:pt>
                <c:pt idx="427">
                  <c:v>73.504196875012155</c:v>
                </c:pt>
                <c:pt idx="428">
                  <c:v>73.502605840380028</c:v>
                </c:pt>
                <c:pt idx="429">
                  <c:v>73.501014982716299</c:v>
                </c:pt>
                <c:pt idx="430">
                  <c:v>73.49942430200133</c:v>
                </c:pt>
                <c:pt idx="431">
                  <c:v>73.497833798215424</c:v>
                </c:pt>
                <c:pt idx="432">
                  <c:v>73.496243471338886</c:v>
                </c:pt>
                <c:pt idx="433">
                  <c:v>73.494653321352047</c:v>
                </c:pt>
                <c:pt idx="434">
                  <c:v>73.493063348235253</c:v>
                </c:pt>
                <c:pt idx="435">
                  <c:v>73.491473551968809</c:v>
                </c:pt>
                <c:pt idx="436">
                  <c:v>73.489883932533047</c:v>
                </c:pt>
                <c:pt idx="437">
                  <c:v>73.488294489908299</c:v>
                </c:pt>
                <c:pt idx="438">
                  <c:v>73.486705224074896</c:v>
                </c:pt>
                <c:pt idx="439">
                  <c:v>73.485116135013172</c:v>
                </c:pt>
                <c:pt idx="440">
                  <c:v>73.483527222703486</c:v>
                </c:pt>
                <c:pt idx="441">
                  <c:v>73.481938487126158</c:v>
                </c:pt>
                <c:pt idx="442">
                  <c:v>73.480349928261532</c:v>
                </c:pt>
                <c:pt idx="443">
                  <c:v>73.478761546089956</c:v>
                </c:pt>
                <c:pt idx="444">
                  <c:v>73.477173340591776</c:v>
                </c:pt>
                <c:pt idx="445">
                  <c:v>73.475585311747352</c:v>
                </c:pt>
                <c:pt idx="446">
                  <c:v>73.473997459537017</c:v>
                </c:pt>
                <c:pt idx="447">
                  <c:v>73.472409783941117</c:v>
                </c:pt>
                <c:pt idx="448">
                  <c:v>73.470822284940041</c:v>
                </c:pt>
                <c:pt idx="449">
                  <c:v>73.469234962514122</c:v>
                </c:pt>
                <c:pt idx="450">
                  <c:v>73.467647816643733</c:v>
                </c:pt>
                <c:pt idx="451">
                  <c:v>73.466060847309222</c:v>
                </c:pt>
                <c:pt idx="452">
                  <c:v>73.46447405449095</c:v>
                </c:pt>
                <c:pt idx="453">
                  <c:v>73.462887438169304</c:v>
                </c:pt>
                <c:pt idx="454">
                  <c:v>73.461300998324631</c:v>
                </c:pt>
                <c:pt idx="455">
                  <c:v>73.459714734937322</c:v>
                </c:pt>
                <c:pt idx="456">
                  <c:v>73.458128647987735</c:v>
                </c:pt>
                <c:pt idx="457">
                  <c:v>73.45654273745626</c:v>
                </c:pt>
                <c:pt idx="458">
                  <c:v>73.454957003323258</c:v>
                </c:pt>
                <c:pt idx="459">
                  <c:v>73.453371445569118</c:v>
                </c:pt>
                <c:pt idx="460">
                  <c:v>73.451786064174215</c:v>
                </c:pt>
                <c:pt idx="461">
                  <c:v>73.450200859118937</c:v>
                </c:pt>
                <c:pt idx="462">
                  <c:v>73.448615830383659</c:v>
                </c:pt>
                <c:pt idx="463">
                  <c:v>73.447030977948799</c:v>
                </c:pt>
                <c:pt idx="464">
                  <c:v>73.445446301794718</c:v>
                </c:pt>
                <c:pt idx="465">
                  <c:v>73.443861801901818</c:v>
                </c:pt>
                <c:pt idx="466">
                  <c:v>73.442277478250489</c:v>
                </c:pt>
                <c:pt idx="467">
                  <c:v>73.440693330821148</c:v>
                </c:pt>
                <c:pt idx="468">
                  <c:v>73.43910935959417</c:v>
                </c:pt>
                <c:pt idx="469">
                  <c:v>73.437525564549958</c:v>
                </c:pt>
                <c:pt idx="470">
                  <c:v>73.435941945668944</c:v>
                </c:pt>
                <c:pt idx="471">
                  <c:v>73.434358502931488</c:v>
                </c:pt>
                <c:pt idx="472">
                  <c:v>73.432775236318037</c:v>
                </c:pt>
                <c:pt idx="473">
                  <c:v>73.431192145808978</c:v>
                </c:pt>
                <c:pt idx="474">
                  <c:v>73.429609231384745</c:v>
                </c:pt>
                <c:pt idx="475">
                  <c:v>73.428026493025726</c:v>
                </c:pt>
                <c:pt idx="476">
                  <c:v>73.426443930712367</c:v>
                </c:pt>
                <c:pt idx="477">
                  <c:v>73.424861544425056</c:v>
                </c:pt>
                <c:pt idx="478">
                  <c:v>73.423279334144226</c:v>
                </c:pt>
                <c:pt idx="479">
                  <c:v>73.421697299850308</c:v>
                </c:pt>
                <c:pt idx="480">
                  <c:v>73.42011544152372</c:v>
                </c:pt>
                <c:pt idx="481">
                  <c:v>73.418533759144893</c:v>
                </c:pt>
                <c:pt idx="482">
                  <c:v>73.416952252694244</c:v>
                </c:pt>
                <c:pt idx="483">
                  <c:v>73.415370922152235</c:v>
                </c:pt>
                <c:pt idx="484">
                  <c:v>73.413789767499267</c:v>
                </c:pt>
                <c:pt idx="485">
                  <c:v>73.412208788715787</c:v>
                </c:pt>
                <c:pt idx="486">
                  <c:v>73.410627985782241</c:v>
                </c:pt>
                <c:pt idx="487">
                  <c:v>73.409047358679061</c:v>
                </c:pt>
                <c:pt idx="488">
                  <c:v>73.407466907386691</c:v>
                </c:pt>
                <c:pt idx="489">
                  <c:v>73.405886631885579</c:v>
                </c:pt>
                <c:pt idx="490">
                  <c:v>73.40430653215617</c:v>
                </c:pt>
                <c:pt idx="491">
                  <c:v>73.402726608178924</c:v>
                </c:pt>
                <c:pt idx="492">
                  <c:v>73.401146859934272</c:v>
                </c:pt>
                <c:pt idx="493">
                  <c:v>73.399567287402675</c:v>
                </c:pt>
                <c:pt idx="494">
                  <c:v>73.397987890564593</c:v>
                </c:pt>
                <c:pt idx="495">
                  <c:v>73.396408669400486</c:v>
                </c:pt>
                <c:pt idx="496">
                  <c:v>73.394829623890814</c:v>
                </c:pt>
                <c:pt idx="497">
                  <c:v>73.393250754016023</c:v>
                </c:pt>
                <c:pt idx="498">
                  <c:v>73.391672059756587</c:v>
                </c:pt>
                <c:pt idx="499">
                  <c:v>73.390093541092995</c:v>
                </c:pt>
                <c:pt idx="500">
                  <c:v>73.388515198005678</c:v>
                </c:pt>
                <c:pt idx="501">
                  <c:v>73.386937030475138</c:v>
                </c:pt>
                <c:pt idx="502">
                  <c:v>73.385359038481823</c:v>
                </c:pt>
                <c:pt idx="503">
                  <c:v>73.383781222006235</c:v>
                </c:pt>
                <c:pt idx="504">
                  <c:v>73.382203581028818</c:v>
                </c:pt>
                <c:pt idx="505">
                  <c:v>73.380626115530077</c:v>
                </c:pt>
                <c:pt idx="506">
                  <c:v>73.3790488254905</c:v>
                </c:pt>
                <c:pt idx="507">
                  <c:v>73.377471710890546</c:v>
                </c:pt>
                <c:pt idx="508">
                  <c:v>73.375894771710705</c:v>
                </c:pt>
                <c:pt idx="509">
                  <c:v>73.374318007931493</c:v>
                </c:pt>
                <c:pt idx="510">
                  <c:v>73.372741419533369</c:v>
                </c:pt>
                <c:pt idx="511">
                  <c:v>73.371165006496838</c:v>
                </c:pt>
                <c:pt idx="512">
                  <c:v>73.369588768802402</c:v>
                </c:pt>
                <c:pt idx="513">
                  <c:v>73.368012706430534</c:v>
                </c:pt>
                <c:pt idx="514">
                  <c:v>73.366436819361766</c:v>
                </c:pt>
                <c:pt idx="515">
                  <c:v>73.364861107576573</c:v>
                </c:pt>
                <c:pt idx="516">
                  <c:v>73.363285571055471</c:v>
                </c:pt>
                <c:pt idx="517">
                  <c:v>73.361710209778963</c:v>
                </c:pt>
                <c:pt idx="518">
                  <c:v>73.360135023727551</c:v>
                </c:pt>
                <c:pt idx="519">
                  <c:v>73.358560012881753</c:v>
                </c:pt>
                <c:pt idx="520">
                  <c:v>73.356985177222086</c:v>
                </c:pt>
                <c:pt idx="521">
                  <c:v>73.355410516729052</c:v>
                </c:pt>
                <c:pt idx="522">
                  <c:v>73.353836031383167</c:v>
                </c:pt>
                <c:pt idx="523">
                  <c:v>73.352261721164965</c:v>
                </c:pt>
                <c:pt idx="524">
                  <c:v>73.350687586054946</c:v>
                </c:pt>
                <c:pt idx="525">
                  <c:v>73.349113626033656</c:v>
                </c:pt>
                <c:pt idx="526">
                  <c:v>73.347539841081598</c:v>
                </c:pt>
                <c:pt idx="527">
                  <c:v>73.345966231179318</c:v>
                </c:pt>
                <c:pt idx="528">
                  <c:v>73.344392796307332</c:v>
                </c:pt>
                <c:pt idx="529">
                  <c:v>73.342819536446171</c:v>
                </c:pt>
                <c:pt idx="530">
                  <c:v>73.341246451576382</c:v>
                </c:pt>
                <c:pt idx="531">
                  <c:v>73.339673541678494</c:v>
                </c:pt>
                <c:pt idx="532">
                  <c:v>73.338100806733038</c:v>
                </c:pt>
                <c:pt idx="533">
                  <c:v>73.336528246720562</c:v>
                </c:pt>
                <c:pt idx="534">
                  <c:v>73.334955861621609</c:v>
                </c:pt>
                <c:pt idx="535">
                  <c:v>73.33338365141671</c:v>
                </c:pt>
                <c:pt idx="536">
                  <c:v>73.331811616086441</c:v>
                </c:pt>
                <c:pt idx="537">
                  <c:v>73.330239755611331</c:v>
                </c:pt>
                <c:pt idx="538">
                  <c:v>73.328668069971926</c:v>
                </c:pt>
                <c:pt idx="539">
                  <c:v>73.327096559148785</c:v>
                </c:pt>
                <c:pt idx="540">
                  <c:v>73.325525223122469</c:v>
                </c:pt>
                <c:pt idx="541">
                  <c:v>73.323954061873536</c:v>
                </c:pt>
                <c:pt idx="542">
                  <c:v>73.322383075382547</c:v>
                </c:pt>
                <c:pt idx="543">
                  <c:v>73.320812263630046</c:v>
                </c:pt>
                <c:pt idx="544">
                  <c:v>73.319241626596607</c:v>
                </c:pt>
                <c:pt idx="545">
                  <c:v>73.317671164262805</c:v>
                </c:pt>
                <c:pt idx="546">
                  <c:v>73.316100876609212</c:v>
                </c:pt>
                <c:pt idx="547">
                  <c:v>73.314530763616375</c:v>
                </c:pt>
                <c:pt idx="548">
                  <c:v>73.312960825264895</c:v>
                </c:pt>
                <c:pt idx="549">
                  <c:v>73.311391061535318</c:v>
                </c:pt>
                <c:pt idx="550">
                  <c:v>73.309821472408245</c:v>
                </c:pt>
                <c:pt idx="551">
                  <c:v>73.308252057864237</c:v>
                </c:pt>
                <c:pt idx="552">
                  <c:v>73.306682817883882</c:v>
                </c:pt>
                <c:pt idx="553">
                  <c:v>73.305113752447781</c:v>
                </c:pt>
                <c:pt idx="554">
                  <c:v>73.303544861536494</c:v>
                </c:pt>
                <c:pt idx="555">
                  <c:v>73.301976145130624</c:v>
                </c:pt>
                <c:pt idx="556">
                  <c:v>73.300407603210758</c:v>
                </c:pt>
                <c:pt idx="557">
                  <c:v>73.29883923575747</c:v>
                </c:pt>
                <c:pt idx="558">
                  <c:v>73.29727104275139</c:v>
                </c:pt>
                <c:pt idx="559">
                  <c:v>73.295703024173093</c:v>
                </c:pt>
                <c:pt idx="560">
                  <c:v>73.294135180003167</c:v>
                </c:pt>
                <c:pt idx="561">
                  <c:v>73.292567510222241</c:v>
                </c:pt>
                <c:pt idx="562">
                  <c:v>73.291000014810891</c:v>
                </c:pt>
                <c:pt idx="563">
                  <c:v>73.289432693749745</c:v>
                </c:pt>
                <c:pt idx="564">
                  <c:v>73.287865547019393</c:v>
                </c:pt>
                <c:pt idx="565">
                  <c:v>73.286298574600451</c:v>
                </c:pt>
                <c:pt idx="566">
                  <c:v>73.284731776473535</c:v>
                </c:pt>
                <c:pt idx="567">
                  <c:v>73.283165152619247</c:v>
                </c:pt>
                <c:pt idx="568">
                  <c:v>73.281598703018204</c:v>
                </c:pt>
                <c:pt idx="569">
                  <c:v>73.280032427651051</c:v>
                </c:pt>
                <c:pt idx="570">
                  <c:v>73.278466326498375</c:v>
                </c:pt>
                <c:pt idx="571">
                  <c:v>73.276900399540807</c:v>
                </c:pt>
                <c:pt idx="572">
                  <c:v>73.275334646758978</c:v>
                </c:pt>
                <c:pt idx="573">
                  <c:v>73.273769068133518</c:v>
                </c:pt>
                <c:pt idx="574">
                  <c:v>73.272203663645044</c:v>
                </c:pt>
                <c:pt idx="575">
                  <c:v>73.270638433274186</c:v>
                </c:pt>
                <c:pt idx="576">
                  <c:v>73.26907337700159</c:v>
                </c:pt>
                <c:pt idx="577">
                  <c:v>73.267508494807885</c:v>
                </c:pt>
                <c:pt idx="578">
                  <c:v>73.265943786673716</c:v>
                </c:pt>
                <c:pt idx="579">
                  <c:v>73.264379252579701</c:v>
                </c:pt>
                <c:pt idx="580">
                  <c:v>73.262814892506512</c:v>
                </c:pt>
                <c:pt idx="581">
                  <c:v>73.261250706434765</c:v>
                </c:pt>
                <c:pt idx="582">
                  <c:v>73.25968669434512</c:v>
                </c:pt>
                <c:pt idx="583">
                  <c:v>73.258122856218222</c:v>
                </c:pt>
                <c:pt idx="584">
                  <c:v>73.256559192034729</c:v>
                </c:pt>
                <c:pt idx="585">
                  <c:v>73.254995701775286</c:v>
                </c:pt>
                <c:pt idx="586">
                  <c:v>73.253432385420552</c:v>
                </c:pt>
                <c:pt idx="587">
                  <c:v>73.251869242951173</c:v>
                </c:pt>
                <c:pt idx="588">
                  <c:v>73.250306274347821</c:v>
                </c:pt>
                <c:pt idx="589">
                  <c:v>73.248743479591141</c:v>
                </c:pt>
                <c:pt idx="590">
                  <c:v>73.247180858661821</c:v>
                </c:pt>
                <c:pt idx="591">
                  <c:v>73.245618411540505</c:v>
                </c:pt>
                <c:pt idx="592">
                  <c:v>73.244056138207867</c:v>
                </c:pt>
                <c:pt idx="593">
                  <c:v>73.24249403864458</c:v>
                </c:pt>
                <c:pt idx="594">
                  <c:v>73.240932112831317</c:v>
                </c:pt>
                <c:pt idx="595">
                  <c:v>73.239370360748751</c:v>
                </c:pt>
                <c:pt idx="596">
                  <c:v>73.237808782377542</c:v>
                </c:pt>
                <c:pt idx="597">
                  <c:v>73.23624737769839</c:v>
                </c:pt>
                <c:pt idx="598">
                  <c:v>73.234686146691971</c:v>
                </c:pt>
                <c:pt idx="599">
                  <c:v>73.233125089338955</c:v>
                </c:pt>
                <c:pt idx="600">
                  <c:v>73.231564205620046</c:v>
                </c:pt>
                <c:pt idx="601">
                  <c:v>73.23000349551593</c:v>
                </c:pt>
                <c:pt idx="602">
                  <c:v>73.228442959007268</c:v>
                </c:pt>
                <c:pt idx="603">
                  <c:v>73.226882596074788</c:v>
                </c:pt>
                <c:pt idx="604">
                  <c:v>73.225322406699149</c:v>
                </c:pt>
                <c:pt idx="605">
                  <c:v>73.223762390861069</c:v>
                </c:pt>
                <c:pt idx="606">
                  <c:v>73.222202548541247</c:v>
                </c:pt>
                <c:pt idx="607">
                  <c:v>73.220642879720373</c:v>
                </c:pt>
                <c:pt idx="608">
                  <c:v>73.219083384379147</c:v>
                </c:pt>
                <c:pt idx="609">
                  <c:v>73.217524062498285</c:v>
                </c:pt>
                <c:pt idx="610">
                  <c:v>73.215964914058475</c:v>
                </c:pt>
                <c:pt idx="611">
                  <c:v>73.214405939040446</c:v>
                </c:pt>
                <c:pt idx="612">
                  <c:v>73.212847137424902</c:v>
                </c:pt>
                <c:pt idx="613">
                  <c:v>73.211288509192542</c:v>
                </c:pt>
                <c:pt idx="614">
                  <c:v>73.209730054324098</c:v>
                </c:pt>
                <c:pt idx="615">
                  <c:v>73.208171772800284</c:v>
                </c:pt>
                <c:pt idx="616">
                  <c:v>73.206613664601818</c:v>
                </c:pt>
                <c:pt idx="617">
                  <c:v>73.205055729709414</c:v>
                </c:pt>
                <c:pt idx="618">
                  <c:v>73.20349796810379</c:v>
                </c:pt>
                <c:pt idx="619">
                  <c:v>73.201940379765702</c:v>
                </c:pt>
                <c:pt idx="620">
                  <c:v>73.200382964675839</c:v>
                </c:pt>
                <c:pt idx="621">
                  <c:v>73.198825722814959</c:v>
                </c:pt>
                <c:pt idx="622">
                  <c:v>73.197268654163793</c:v>
                </c:pt>
                <c:pt idx="623">
                  <c:v>73.195711758703055</c:v>
                </c:pt>
                <c:pt idx="624">
                  <c:v>73.194155036413491</c:v>
                </c:pt>
                <c:pt idx="625">
                  <c:v>73.192598487275859</c:v>
                </c:pt>
                <c:pt idx="626">
                  <c:v>73.19104211127086</c:v>
                </c:pt>
                <c:pt idx="627">
                  <c:v>73.189485908379268</c:v>
                </c:pt>
                <c:pt idx="628">
                  <c:v>73.187929878581826</c:v>
                </c:pt>
                <c:pt idx="629">
                  <c:v>73.186374021859265</c:v>
                </c:pt>
                <c:pt idx="630">
                  <c:v>73.184818338192343</c:v>
                </c:pt>
                <c:pt idx="631">
                  <c:v>73.183262827561819</c:v>
                </c:pt>
                <c:pt idx="632">
                  <c:v>73.181707489948437</c:v>
                </c:pt>
                <c:pt idx="633">
                  <c:v>73.180152325332955</c:v>
                </c:pt>
                <c:pt idx="634">
                  <c:v>73.178597333696118</c:v>
                </c:pt>
                <c:pt idx="635">
                  <c:v>73.177042515018712</c:v>
                </c:pt>
                <c:pt idx="636">
                  <c:v>73.175487869281469</c:v>
                </c:pt>
                <c:pt idx="637">
                  <c:v>73.173933396465173</c:v>
                </c:pt>
                <c:pt idx="638">
                  <c:v>73.1723790965506</c:v>
                </c:pt>
                <c:pt idx="639">
                  <c:v>73.170824969518492</c:v>
                </c:pt>
                <c:pt idx="640">
                  <c:v>73.169271015349636</c:v>
                </c:pt>
                <c:pt idx="641">
                  <c:v>73.167717234024792</c:v>
                </c:pt>
                <c:pt idx="642">
                  <c:v>73.166163625524746</c:v>
                </c:pt>
                <c:pt idx="643">
                  <c:v>73.164610189830285</c:v>
                </c:pt>
                <c:pt idx="644">
                  <c:v>73.163056926922167</c:v>
                </c:pt>
                <c:pt idx="645">
                  <c:v>73.161503836781179</c:v>
                </c:pt>
                <c:pt idx="646">
                  <c:v>73.159950919388109</c:v>
                </c:pt>
                <c:pt idx="647">
                  <c:v>73.158398174723743</c:v>
                </c:pt>
                <c:pt idx="648">
                  <c:v>73.156845602768868</c:v>
                </c:pt>
                <c:pt idx="649">
                  <c:v>73.155293203504272</c:v>
                </c:pt>
                <c:pt idx="650">
                  <c:v>73.15374097691074</c:v>
                </c:pt>
                <c:pt idx="651">
                  <c:v>73.152188922969074</c:v>
                </c:pt>
                <c:pt idx="652">
                  <c:v>73.150637041660076</c:v>
                </c:pt>
                <c:pt idx="653">
                  <c:v>73.149085332964532</c:v>
                </c:pt>
                <c:pt idx="654">
                  <c:v>73.147533796863243</c:v>
                </c:pt>
                <c:pt idx="655">
                  <c:v>73.145982433337025</c:v>
                </c:pt>
                <c:pt idx="656">
                  <c:v>73.144431242366679</c:v>
                </c:pt>
                <c:pt idx="657">
                  <c:v>73.142880223932991</c:v>
                </c:pt>
                <c:pt idx="658">
                  <c:v>73.141329378016806</c:v>
                </c:pt>
                <c:pt idx="659">
                  <c:v>73.139778704598896</c:v>
                </c:pt>
                <c:pt idx="660">
                  <c:v>73.138228203660105</c:v>
                </c:pt>
                <c:pt idx="661">
                  <c:v>73.136677875181235</c:v>
                </c:pt>
                <c:pt idx="662">
                  <c:v>73.1351277191431</c:v>
                </c:pt>
                <c:pt idx="663">
                  <c:v>73.133577735526529</c:v>
                </c:pt>
                <c:pt idx="664">
                  <c:v>73.132027924312354</c:v>
                </c:pt>
                <c:pt idx="665">
                  <c:v>73.13047828548136</c:v>
                </c:pt>
                <c:pt idx="666">
                  <c:v>73.128928819014419</c:v>
                </c:pt>
                <c:pt idx="667">
                  <c:v>73.127379524892319</c:v>
                </c:pt>
                <c:pt idx="668">
                  <c:v>73.125830403095918</c:v>
                </c:pt>
                <c:pt idx="669">
                  <c:v>73.124281453606045</c:v>
                </c:pt>
                <c:pt idx="670">
                  <c:v>73.12273267640353</c:v>
                </c:pt>
                <c:pt idx="671">
                  <c:v>73.121184071469202</c:v>
                </c:pt>
                <c:pt idx="672">
                  <c:v>73.119635638783905</c:v>
                </c:pt>
                <c:pt idx="673">
                  <c:v>73.118087378328497</c:v>
                </c:pt>
                <c:pt idx="674">
                  <c:v>73.116539290083793</c:v>
                </c:pt>
                <c:pt idx="675">
                  <c:v>73.114991374030652</c:v>
                </c:pt>
                <c:pt idx="676">
                  <c:v>73.113443630149931</c:v>
                </c:pt>
                <c:pt idx="677">
                  <c:v>73.11189605842246</c:v>
                </c:pt>
                <c:pt idx="678">
                  <c:v>73.110348658829096</c:v>
                </c:pt>
                <c:pt idx="679">
                  <c:v>73.108801431350713</c:v>
                </c:pt>
                <c:pt idx="680">
                  <c:v>73.107254375968139</c:v>
                </c:pt>
                <c:pt idx="681">
                  <c:v>73.105707492662248</c:v>
                </c:pt>
                <c:pt idx="682">
                  <c:v>73.104160781413896</c:v>
                </c:pt>
                <c:pt idx="683">
                  <c:v>73.102614242203941</c:v>
                </c:pt>
                <c:pt idx="684">
                  <c:v>73.101067875013257</c:v>
                </c:pt>
                <c:pt idx="685">
                  <c:v>73.099521679822701</c:v>
                </c:pt>
                <c:pt idx="686">
                  <c:v>73.097975656613144</c:v>
                </c:pt>
                <c:pt idx="687">
                  <c:v>73.09642980536546</c:v>
                </c:pt>
                <c:pt idx="688">
                  <c:v>73.094884126060521</c:v>
                </c:pt>
                <c:pt idx="689">
                  <c:v>73.093338618679212</c:v>
                </c:pt>
                <c:pt idx="690">
                  <c:v>73.091793283202378</c:v>
                </c:pt>
                <c:pt idx="691">
                  <c:v>73.090248119610948</c:v>
                </c:pt>
                <c:pt idx="692">
                  <c:v>73.088703127885751</c:v>
                </c:pt>
                <c:pt idx="693">
                  <c:v>73.087158308007702</c:v>
                </c:pt>
                <c:pt idx="694">
                  <c:v>73.085613659957687</c:v>
                </c:pt>
                <c:pt idx="695">
                  <c:v>73.084069183716593</c:v>
                </c:pt>
                <c:pt idx="696">
                  <c:v>73.082524879265293</c:v>
                </c:pt>
                <c:pt idx="697">
                  <c:v>73.080980746584686</c:v>
                </c:pt>
                <c:pt idx="698">
                  <c:v>73.079436785655673</c:v>
                </c:pt>
                <c:pt idx="699">
                  <c:v>73.077892996459155</c:v>
                </c:pt>
                <c:pt idx="700">
                  <c:v>73.076349378976019</c:v>
                </c:pt>
                <c:pt idx="701">
                  <c:v>73.074805933187164</c:v>
                </c:pt>
                <c:pt idx="702">
                  <c:v>73.073262659073492</c:v>
                </c:pt>
                <c:pt idx="703">
                  <c:v>73.071719556615932</c:v>
                </c:pt>
                <c:pt idx="704">
                  <c:v>73.070176625795369</c:v>
                </c:pt>
                <c:pt idx="705">
                  <c:v>73.068633866592705</c:v>
                </c:pt>
                <c:pt idx="706">
                  <c:v>73.067091278988869</c:v>
                </c:pt>
                <c:pt idx="707">
                  <c:v>73.065548862964761</c:v>
                </c:pt>
                <c:pt idx="708">
                  <c:v>73.06400661850131</c:v>
                </c:pt>
                <c:pt idx="709">
                  <c:v>73.062464545579431</c:v>
                </c:pt>
                <c:pt idx="710">
                  <c:v>73.060922644180039</c:v>
                </c:pt>
                <c:pt idx="711">
                  <c:v>73.059380914284048</c:v>
                </c:pt>
                <c:pt idx="712">
                  <c:v>73.057839355872389</c:v>
                </c:pt>
                <c:pt idx="713">
                  <c:v>73.056297968925989</c:v>
                </c:pt>
                <c:pt idx="714">
                  <c:v>73.054756753425778</c:v>
                </c:pt>
                <c:pt idx="715">
                  <c:v>73.053215709352685</c:v>
                </c:pt>
                <c:pt idx="716">
                  <c:v>73.051674836687639</c:v>
                </c:pt>
                <c:pt idx="717">
                  <c:v>73.050134135411582</c:v>
                </c:pt>
                <c:pt idx="718">
                  <c:v>73.048593605505445</c:v>
                </c:pt>
                <c:pt idx="719">
                  <c:v>73.047053246950171</c:v>
                </c:pt>
                <c:pt idx="720">
                  <c:v>73.045513059726687</c:v>
                </c:pt>
                <c:pt idx="721">
                  <c:v>73.043973043815953</c:v>
                </c:pt>
                <c:pt idx="722">
                  <c:v>73.042433199198911</c:v>
                </c:pt>
                <c:pt idx="723">
                  <c:v>73.040893525856504</c:v>
                </c:pt>
                <c:pt idx="724">
                  <c:v>73.039354023769675</c:v>
                </c:pt>
                <c:pt idx="725">
                  <c:v>73.037814692919397</c:v>
                </c:pt>
                <c:pt idx="726">
                  <c:v>73.036275533286599</c:v>
                </c:pt>
                <c:pt idx="727">
                  <c:v>73.034736544852251</c:v>
                </c:pt>
                <c:pt idx="728">
                  <c:v>73.033197727597297</c:v>
                </c:pt>
                <c:pt idx="729">
                  <c:v>73.031659081502724</c:v>
                </c:pt>
                <c:pt idx="730">
                  <c:v>73.030120606549474</c:v>
                </c:pt>
                <c:pt idx="731">
                  <c:v>73.028582302718505</c:v>
                </c:pt>
                <c:pt idx="732">
                  <c:v>73.027044169990788</c:v>
                </c:pt>
                <c:pt idx="733">
                  <c:v>73.025506208347309</c:v>
                </c:pt>
                <c:pt idx="734">
                  <c:v>73.023968417769026</c:v>
                </c:pt>
                <c:pt idx="735">
                  <c:v>73.022430798236911</c:v>
                </c:pt>
                <c:pt idx="736">
                  <c:v>73.020893349731921</c:v>
                </c:pt>
                <c:pt idx="737">
                  <c:v>73.01935607223507</c:v>
                </c:pt>
                <c:pt idx="738">
                  <c:v>73.017818965727315</c:v>
                </c:pt>
                <c:pt idx="739">
                  <c:v>73.016282030189643</c:v>
                </c:pt>
                <c:pt idx="740">
                  <c:v>73.014745265603025</c:v>
                </c:pt>
                <c:pt idx="741">
                  <c:v>73.013208671948462</c:v>
                </c:pt>
                <c:pt idx="742">
                  <c:v>73.011672249206939</c:v>
                </c:pt>
                <c:pt idx="743">
                  <c:v>73.010135997359427</c:v>
                </c:pt>
                <c:pt idx="744">
                  <c:v>73.008599916386942</c:v>
                </c:pt>
                <c:pt idx="745">
                  <c:v>73.007064006270468</c:v>
                </c:pt>
                <c:pt idx="746">
                  <c:v>73.005528266991007</c:v>
                </c:pt>
                <c:pt idx="747">
                  <c:v>73.003992698529544</c:v>
                </c:pt>
                <c:pt idx="748">
                  <c:v>73.002457300867093</c:v>
                </c:pt>
                <c:pt idx="749">
                  <c:v>73.00092207398464</c:v>
                </c:pt>
                <c:pt idx="750">
                  <c:v>72.999387017863214</c:v>
                </c:pt>
              </c:numCache>
            </c:numRef>
          </c:yVal>
          <c:smooth val="0"/>
          <c:extLst>
            <c:ext xmlns:c16="http://schemas.microsoft.com/office/drawing/2014/chart" uri="{C3380CC4-5D6E-409C-BE32-E72D297353CC}">
              <c16:uniqueId val="{00000003-D988-4F7B-8CAF-3E43F52E176F}"/>
            </c:ext>
          </c:extLst>
        </c:ser>
        <c:ser>
          <c:idx val="4"/>
          <c:order val="4"/>
          <c:tx>
            <c:strRef>
              <c:f>Sheet1!$H$9</c:f>
              <c:strCache>
                <c:ptCount val="1"/>
                <c:pt idx="0">
                  <c:v>Coated NanoTeK</c:v>
                </c:pt>
              </c:strCache>
            </c:strRef>
          </c:tx>
          <c:spPr>
            <a:ln w="19050" cap="rnd">
              <a:solidFill>
                <a:srgbClr val="7030A0"/>
              </a:solidFill>
              <a:round/>
            </a:ln>
            <a:effectLst/>
          </c:spPr>
          <c:marker>
            <c:symbol val="none"/>
          </c:marker>
          <c:xVal>
            <c:numRef>
              <c:f>Sheet1!$C$10:$C$760</c:f>
              <c:numCache>
                <c:formatCode>General</c:formatCode>
                <c:ptCount val="751"/>
                <c:pt idx="0">
                  <c:v>0</c:v>
                </c:pt>
                <c:pt idx="1">
                  <c:v>0.08</c:v>
                </c:pt>
                <c:pt idx="2">
                  <c:v>0.16</c:v>
                </c:pt>
                <c:pt idx="3">
                  <c:v>0.24</c:v>
                </c:pt>
                <c:pt idx="4">
                  <c:v>0.32</c:v>
                </c:pt>
                <c:pt idx="5">
                  <c:v>0.4</c:v>
                </c:pt>
                <c:pt idx="6">
                  <c:v>0.48</c:v>
                </c:pt>
                <c:pt idx="7">
                  <c:v>0.56000000000000005</c:v>
                </c:pt>
                <c:pt idx="8">
                  <c:v>0.64</c:v>
                </c:pt>
                <c:pt idx="9">
                  <c:v>0.72</c:v>
                </c:pt>
                <c:pt idx="10">
                  <c:v>0.8</c:v>
                </c:pt>
                <c:pt idx="11">
                  <c:v>0.88</c:v>
                </c:pt>
                <c:pt idx="12">
                  <c:v>0.96</c:v>
                </c:pt>
                <c:pt idx="13">
                  <c:v>1.04</c:v>
                </c:pt>
                <c:pt idx="14">
                  <c:v>1.1200000000000001</c:v>
                </c:pt>
                <c:pt idx="15">
                  <c:v>1.2</c:v>
                </c:pt>
                <c:pt idx="16">
                  <c:v>1.28</c:v>
                </c:pt>
                <c:pt idx="17">
                  <c:v>1.36</c:v>
                </c:pt>
                <c:pt idx="18">
                  <c:v>1.44</c:v>
                </c:pt>
                <c:pt idx="19">
                  <c:v>1.52</c:v>
                </c:pt>
                <c:pt idx="20">
                  <c:v>1.6</c:v>
                </c:pt>
                <c:pt idx="21">
                  <c:v>1.68</c:v>
                </c:pt>
                <c:pt idx="22">
                  <c:v>1.76</c:v>
                </c:pt>
                <c:pt idx="23">
                  <c:v>1.84</c:v>
                </c:pt>
                <c:pt idx="24">
                  <c:v>1.92</c:v>
                </c:pt>
                <c:pt idx="25">
                  <c:v>2</c:v>
                </c:pt>
                <c:pt idx="26">
                  <c:v>2.08</c:v>
                </c:pt>
                <c:pt idx="27">
                  <c:v>2.16</c:v>
                </c:pt>
                <c:pt idx="28">
                  <c:v>2.2400000000000002</c:v>
                </c:pt>
                <c:pt idx="29">
                  <c:v>2.3199999999999998</c:v>
                </c:pt>
                <c:pt idx="30">
                  <c:v>2.4</c:v>
                </c:pt>
                <c:pt idx="31">
                  <c:v>2.48</c:v>
                </c:pt>
                <c:pt idx="32">
                  <c:v>2.56</c:v>
                </c:pt>
                <c:pt idx="33">
                  <c:v>2.64</c:v>
                </c:pt>
                <c:pt idx="34">
                  <c:v>2.72</c:v>
                </c:pt>
                <c:pt idx="35">
                  <c:v>2.8</c:v>
                </c:pt>
                <c:pt idx="36">
                  <c:v>2.88</c:v>
                </c:pt>
                <c:pt idx="37">
                  <c:v>2.96</c:v>
                </c:pt>
                <c:pt idx="38">
                  <c:v>3.04</c:v>
                </c:pt>
                <c:pt idx="39">
                  <c:v>3.12</c:v>
                </c:pt>
                <c:pt idx="40">
                  <c:v>3.2</c:v>
                </c:pt>
                <c:pt idx="41">
                  <c:v>3.28</c:v>
                </c:pt>
                <c:pt idx="42">
                  <c:v>3.36</c:v>
                </c:pt>
                <c:pt idx="43">
                  <c:v>3.44</c:v>
                </c:pt>
                <c:pt idx="44">
                  <c:v>3.52</c:v>
                </c:pt>
                <c:pt idx="45">
                  <c:v>3.6</c:v>
                </c:pt>
                <c:pt idx="46">
                  <c:v>3.68</c:v>
                </c:pt>
                <c:pt idx="47">
                  <c:v>3.76</c:v>
                </c:pt>
                <c:pt idx="48">
                  <c:v>3.84</c:v>
                </c:pt>
                <c:pt idx="49">
                  <c:v>3.92</c:v>
                </c:pt>
                <c:pt idx="50">
                  <c:v>4</c:v>
                </c:pt>
                <c:pt idx="51">
                  <c:v>4.08</c:v>
                </c:pt>
                <c:pt idx="52">
                  <c:v>4.16</c:v>
                </c:pt>
                <c:pt idx="53">
                  <c:v>4.24</c:v>
                </c:pt>
                <c:pt idx="54">
                  <c:v>4.32</c:v>
                </c:pt>
                <c:pt idx="55">
                  <c:v>4.4000000000000004</c:v>
                </c:pt>
                <c:pt idx="56">
                  <c:v>4.4800000000000004</c:v>
                </c:pt>
                <c:pt idx="57">
                  <c:v>4.5599999999999996</c:v>
                </c:pt>
                <c:pt idx="58">
                  <c:v>4.6399999999999997</c:v>
                </c:pt>
                <c:pt idx="59">
                  <c:v>4.72</c:v>
                </c:pt>
                <c:pt idx="60">
                  <c:v>4.8</c:v>
                </c:pt>
                <c:pt idx="61">
                  <c:v>4.88</c:v>
                </c:pt>
                <c:pt idx="62">
                  <c:v>4.96</c:v>
                </c:pt>
                <c:pt idx="63">
                  <c:v>5.04</c:v>
                </c:pt>
                <c:pt idx="64">
                  <c:v>5.12</c:v>
                </c:pt>
                <c:pt idx="65">
                  <c:v>5.2</c:v>
                </c:pt>
                <c:pt idx="66">
                  <c:v>5.28</c:v>
                </c:pt>
                <c:pt idx="67">
                  <c:v>5.36</c:v>
                </c:pt>
                <c:pt idx="68">
                  <c:v>5.44</c:v>
                </c:pt>
                <c:pt idx="69">
                  <c:v>5.52</c:v>
                </c:pt>
                <c:pt idx="70">
                  <c:v>5.6</c:v>
                </c:pt>
                <c:pt idx="71">
                  <c:v>5.68</c:v>
                </c:pt>
                <c:pt idx="72">
                  <c:v>5.76</c:v>
                </c:pt>
                <c:pt idx="73">
                  <c:v>5.84</c:v>
                </c:pt>
                <c:pt idx="74">
                  <c:v>5.92</c:v>
                </c:pt>
                <c:pt idx="75">
                  <c:v>6</c:v>
                </c:pt>
                <c:pt idx="76">
                  <c:v>6.08</c:v>
                </c:pt>
                <c:pt idx="77">
                  <c:v>6.16</c:v>
                </c:pt>
                <c:pt idx="78">
                  <c:v>6.24</c:v>
                </c:pt>
                <c:pt idx="79">
                  <c:v>6.32</c:v>
                </c:pt>
                <c:pt idx="80">
                  <c:v>6.4</c:v>
                </c:pt>
                <c:pt idx="81">
                  <c:v>6.48</c:v>
                </c:pt>
                <c:pt idx="82">
                  <c:v>6.56</c:v>
                </c:pt>
                <c:pt idx="83">
                  <c:v>6.64</c:v>
                </c:pt>
                <c:pt idx="84">
                  <c:v>6.72</c:v>
                </c:pt>
                <c:pt idx="85">
                  <c:v>6.8</c:v>
                </c:pt>
                <c:pt idx="86">
                  <c:v>6.88</c:v>
                </c:pt>
                <c:pt idx="87">
                  <c:v>6.96</c:v>
                </c:pt>
                <c:pt idx="88">
                  <c:v>7.04</c:v>
                </c:pt>
                <c:pt idx="89">
                  <c:v>7.12</c:v>
                </c:pt>
                <c:pt idx="90">
                  <c:v>7.2</c:v>
                </c:pt>
                <c:pt idx="91">
                  <c:v>7.28</c:v>
                </c:pt>
                <c:pt idx="92">
                  <c:v>7.36</c:v>
                </c:pt>
                <c:pt idx="93">
                  <c:v>7.44</c:v>
                </c:pt>
                <c:pt idx="94">
                  <c:v>7.52</c:v>
                </c:pt>
                <c:pt idx="95">
                  <c:v>7.6</c:v>
                </c:pt>
                <c:pt idx="96">
                  <c:v>7.68</c:v>
                </c:pt>
                <c:pt idx="97">
                  <c:v>7.76</c:v>
                </c:pt>
                <c:pt idx="98">
                  <c:v>7.84</c:v>
                </c:pt>
                <c:pt idx="99">
                  <c:v>7.92</c:v>
                </c:pt>
                <c:pt idx="100">
                  <c:v>8</c:v>
                </c:pt>
                <c:pt idx="101">
                  <c:v>8.08</c:v>
                </c:pt>
                <c:pt idx="102">
                  <c:v>8.16</c:v>
                </c:pt>
                <c:pt idx="103">
                  <c:v>8.24</c:v>
                </c:pt>
                <c:pt idx="104">
                  <c:v>8.32</c:v>
                </c:pt>
                <c:pt idx="105">
                  <c:v>8.4</c:v>
                </c:pt>
                <c:pt idx="106">
                  <c:v>8.48</c:v>
                </c:pt>
                <c:pt idx="107">
                  <c:v>8.56</c:v>
                </c:pt>
                <c:pt idx="108">
                  <c:v>8.64</c:v>
                </c:pt>
                <c:pt idx="109">
                  <c:v>8.7200000000000006</c:v>
                </c:pt>
                <c:pt idx="110">
                  <c:v>8.8000000000000007</c:v>
                </c:pt>
                <c:pt idx="111">
                  <c:v>8.8800000000000008</c:v>
                </c:pt>
                <c:pt idx="112">
                  <c:v>8.9600000000000009</c:v>
                </c:pt>
                <c:pt idx="113">
                  <c:v>9.0399999999999991</c:v>
                </c:pt>
                <c:pt idx="114">
                  <c:v>9.1199999999999992</c:v>
                </c:pt>
                <c:pt idx="115">
                  <c:v>9.1999999999999993</c:v>
                </c:pt>
                <c:pt idx="116">
                  <c:v>9.2799999999999994</c:v>
                </c:pt>
                <c:pt idx="117">
                  <c:v>9.36</c:v>
                </c:pt>
                <c:pt idx="118">
                  <c:v>9.44</c:v>
                </c:pt>
                <c:pt idx="119">
                  <c:v>9.52</c:v>
                </c:pt>
                <c:pt idx="120">
                  <c:v>9.6</c:v>
                </c:pt>
                <c:pt idx="121">
                  <c:v>9.68</c:v>
                </c:pt>
                <c:pt idx="122">
                  <c:v>9.76</c:v>
                </c:pt>
                <c:pt idx="123">
                  <c:v>9.84</c:v>
                </c:pt>
                <c:pt idx="124">
                  <c:v>9.92</c:v>
                </c:pt>
                <c:pt idx="125">
                  <c:v>10</c:v>
                </c:pt>
                <c:pt idx="126">
                  <c:v>10.08</c:v>
                </c:pt>
                <c:pt idx="127">
                  <c:v>10.16</c:v>
                </c:pt>
                <c:pt idx="128">
                  <c:v>10.24</c:v>
                </c:pt>
                <c:pt idx="129">
                  <c:v>10.32</c:v>
                </c:pt>
                <c:pt idx="130">
                  <c:v>10.4</c:v>
                </c:pt>
                <c:pt idx="131">
                  <c:v>10.48</c:v>
                </c:pt>
                <c:pt idx="132">
                  <c:v>10.56</c:v>
                </c:pt>
                <c:pt idx="133">
                  <c:v>10.64</c:v>
                </c:pt>
                <c:pt idx="134">
                  <c:v>10.72</c:v>
                </c:pt>
                <c:pt idx="135">
                  <c:v>10.8</c:v>
                </c:pt>
                <c:pt idx="136">
                  <c:v>10.88</c:v>
                </c:pt>
                <c:pt idx="137">
                  <c:v>10.96</c:v>
                </c:pt>
                <c:pt idx="138">
                  <c:v>11.04</c:v>
                </c:pt>
                <c:pt idx="139">
                  <c:v>11.12</c:v>
                </c:pt>
                <c:pt idx="140">
                  <c:v>11.2</c:v>
                </c:pt>
                <c:pt idx="141">
                  <c:v>11.28</c:v>
                </c:pt>
                <c:pt idx="142">
                  <c:v>11.36</c:v>
                </c:pt>
                <c:pt idx="143">
                  <c:v>11.44</c:v>
                </c:pt>
                <c:pt idx="144">
                  <c:v>11.52</c:v>
                </c:pt>
                <c:pt idx="145">
                  <c:v>11.6</c:v>
                </c:pt>
                <c:pt idx="146">
                  <c:v>11.68</c:v>
                </c:pt>
                <c:pt idx="147">
                  <c:v>11.76</c:v>
                </c:pt>
                <c:pt idx="148">
                  <c:v>11.84</c:v>
                </c:pt>
                <c:pt idx="149">
                  <c:v>11.92</c:v>
                </c:pt>
                <c:pt idx="150">
                  <c:v>12</c:v>
                </c:pt>
                <c:pt idx="151">
                  <c:v>12.08</c:v>
                </c:pt>
                <c:pt idx="152">
                  <c:v>12.16</c:v>
                </c:pt>
                <c:pt idx="153">
                  <c:v>12.24</c:v>
                </c:pt>
                <c:pt idx="154">
                  <c:v>12.32</c:v>
                </c:pt>
                <c:pt idx="155">
                  <c:v>12.4</c:v>
                </c:pt>
                <c:pt idx="156">
                  <c:v>12.48</c:v>
                </c:pt>
                <c:pt idx="157">
                  <c:v>12.56</c:v>
                </c:pt>
                <c:pt idx="158">
                  <c:v>12.64</c:v>
                </c:pt>
                <c:pt idx="159">
                  <c:v>12.72</c:v>
                </c:pt>
                <c:pt idx="160">
                  <c:v>12.8</c:v>
                </c:pt>
                <c:pt idx="161">
                  <c:v>12.88</c:v>
                </c:pt>
                <c:pt idx="162">
                  <c:v>12.96</c:v>
                </c:pt>
                <c:pt idx="163">
                  <c:v>13.04</c:v>
                </c:pt>
                <c:pt idx="164">
                  <c:v>13.12</c:v>
                </c:pt>
                <c:pt idx="165">
                  <c:v>13.2</c:v>
                </c:pt>
                <c:pt idx="166">
                  <c:v>13.28</c:v>
                </c:pt>
                <c:pt idx="167">
                  <c:v>13.36</c:v>
                </c:pt>
                <c:pt idx="168">
                  <c:v>13.44</c:v>
                </c:pt>
                <c:pt idx="169">
                  <c:v>13.52</c:v>
                </c:pt>
                <c:pt idx="170">
                  <c:v>13.6</c:v>
                </c:pt>
                <c:pt idx="171">
                  <c:v>13.68</c:v>
                </c:pt>
                <c:pt idx="172">
                  <c:v>13.76</c:v>
                </c:pt>
                <c:pt idx="173">
                  <c:v>13.84</c:v>
                </c:pt>
                <c:pt idx="174">
                  <c:v>13.92</c:v>
                </c:pt>
                <c:pt idx="175">
                  <c:v>14</c:v>
                </c:pt>
                <c:pt idx="176">
                  <c:v>14.08</c:v>
                </c:pt>
                <c:pt idx="177">
                  <c:v>14.16</c:v>
                </c:pt>
                <c:pt idx="178">
                  <c:v>14.24</c:v>
                </c:pt>
                <c:pt idx="179">
                  <c:v>14.32</c:v>
                </c:pt>
                <c:pt idx="180">
                  <c:v>14.4</c:v>
                </c:pt>
                <c:pt idx="181">
                  <c:v>14.48</c:v>
                </c:pt>
                <c:pt idx="182">
                  <c:v>14.56</c:v>
                </c:pt>
                <c:pt idx="183">
                  <c:v>14.64</c:v>
                </c:pt>
                <c:pt idx="184">
                  <c:v>14.72</c:v>
                </c:pt>
                <c:pt idx="185">
                  <c:v>14.8</c:v>
                </c:pt>
                <c:pt idx="186">
                  <c:v>14.88</c:v>
                </c:pt>
                <c:pt idx="187">
                  <c:v>14.96</c:v>
                </c:pt>
                <c:pt idx="188">
                  <c:v>15.04</c:v>
                </c:pt>
                <c:pt idx="189">
                  <c:v>15.12</c:v>
                </c:pt>
                <c:pt idx="190">
                  <c:v>15.2</c:v>
                </c:pt>
                <c:pt idx="191">
                  <c:v>15.28</c:v>
                </c:pt>
                <c:pt idx="192">
                  <c:v>15.36</c:v>
                </c:pt>
                <c:pt idx="193">
                  <c:v>15.44</c:v>
                </c:pt>
                <c:pt idx="194">
                  <c:v>15.52</c:v>
                </c:pt>
                <c:pt idx="195">
                  <c:v>15.6</c:v>
                </c:pt>
                <c:pt idx="196">
                  <c:v>15.68</c:v>
                </c:pt>
                <c:pt idx="197">
                  <c:v>15.76</c:v>
                </c:pt>
                <c:pt idx="198">
                  <c:v>15.84</c:v>
                </c:pt>
                <c:pt idx="199">
                  <c:v>15.92</c:v>
                </c:pt>
                <c:pt idx="200">
                  <c:v>16</c:v>
                </c:pt>
                <c:pt idx="201">
                  <c:v>16.079999999999998</c:v>
                </c:pt>
                <c:pt idx="202">
                  <c:v>16.16</c:v>
                </c:pt>
                <c:pt idx="203">
                  <c:v>16.239999999999998</c:v>
                </c:pt>
                <c:pt idx="204">
                  <c:v>16.32</c:v>
                </c:pt>
                <c:pt idx="205">
                  <c:v>16.399999999999999</c:v>
                </c:pt>
                <c:pt idx="206">
                  <c:v>16.48</c:v>
                </c:pt>
                <c:pt idx="207">
                  <c:v>16.559999999999999</c:v>
                </c:pt>
                <c:pt idx="208">
                  <c:v>16.64</c:v>
                </c:pt>
                <c:pt idx="209">
                  <c:v>16.72</c:v>
                </c:pt>
                <c:pt idx="210">
                  <c:v>16.8</c:v>
                </c:pt>
                <c:pt idx="211">
                  <c:v>16.88</c:v>
                </c:pt>
                <c:pt idx="212">
                  <c:v>16.96</c:v>
                </c:pt>
                <c:pt idx="213">
                  <c:v>17.04</c:v>
                </c:pt>
                <c:pt idx="214">
                  <c:v>17.12</c:v>
                </c:pt>
                <c:pt idx="215">
                  <c:v>17.2</c:v>
                </c:pt>
                <c:pt idx="216">
                  <c:v>17.28</c:v>
                </c:pt>
                <c:pt idx="217">
                  <c:v>17.36</c:v>
                </c:pt>
                <c:pt idx="218">
                  <c:v>17.440000000000001</c:v>
                </c:pt>
                <c:pt idx="219">
                  <c:v>17.52</c:v>
                </c:pt>
                <c:pt idx="220">
                  <c:v>17.600000000000001</c:v>
                </c:pt>
                <c:pt idx="221">
                  <c:v>17.68</c:v>
                </c:pt>
                <c:pt idx="222">
                  <c:v>17.760000000000002</c:v>
                </c:pt>
                <c:pt idx="223">
                  <c:v>17.84</c:v>
                </c:pt>
                <c:pt idx="224">
                  <c:v>17.920000000000002</c:v>
                </c:pt>
                <c:pt idx="225">
                  <c:v>18</c:v>
                </c:pt>
                <c:pt idx="226">
                  <c:v>18.079999999999998</c:v>
                </c:pt>
                <c:pt idx="227">
                  <c:v>18.16</c:v>
                </c:pt>
                <c:pt idx="228">
                  <c:v>18.239999999999998</c:v>
                </c:pt>
                <c:pt idx="229">
                  <c:v>18.32</c:v>
                </c:pt>
                <c:pt idx="230">
                  <c:v>18.399999999999999</c:v>
                </c:pt>
                <c:pt idx="231">
                  <c:v>18.48</c:v>
                </c:pt>
                <c:pt idx="232">
                  <c:v>18.559999999999999</c:v>
                </c:pt>
                <c:pt idx="233">
                  <c:v>18.64</c:v>
                </c:pt>
                <c:pt idx="234">
                  <c:v>18.72</c:v>
                </c:pt>
                <c:pt idx="235">
                  <c:v>18.8</c:v>
                </c:pt>
                <c:pt idx="236">
                  <c:v>18.88</c:v>
                </c:pt>
                <c:pt idx="237">
                  <c:v>18.96</c:v>
                </c:pt>
                <c:pt idx="238">
                  <c:v>19.04</c:v>
                </c:pt>
                <c:pt idx="239">
                  <c:v>19.12</c:v>
                </c:pt>
                <c:pt idx="240">
                  <c:v>19.2</c:v>
                </c:pt>
                <c:pt idx="241">
                  <c:v>19.28</c:v>
                </c:pt>
                <c:pt idx="242">
                  <c:v>19.36</c:v>
                </c:pt>
                <c:pt idx="243">
                  <c:v>19.440000000000001</c:v>
                </c:pt>
                <c:pt idx="244">
                  <c:v>19.52</c:v>
                </c:pt>
                <c:pt idx="245">
                  <c:v>19.600000000000001</c:v>
                </c:pt>
                <c:pt idx="246">
                  <c:v>19.68</c:v>
                </c:pt>
                <c:pt idx="247">
                  <c:v>19.760000000000002</c:v>
                </c:pt>
                <c:pt idx="248">
                  <c:v>19.84</c:v>
                </c:pt>
                <c:pt idx="249">
                  <c:v>19.920000000000002</c:v>
                </c:pt>
                <c:pt idx="250">
                  <c:v>20</c:v>
                </c:pt>
                <c:pt idx="251">
                  <c:v>20.079999999999998</c:v>
                </c:pt>
                <c:pt idx="252">
                  <c:v>20.16</c:v>
                </c:pt>
                <c:pt idx="253">
                  <c:v>20.239999999999998</c:v>
                </c:pt>
                <c:pt idx="254">
                  <c:v>20.32</c:v>
                </c:pt>
                <c:pt idx="255">
                  <c:v>20.399999999999999</c:v>
                </c:pt>
                <c:pt idx="256">
                  <c:v>20.48</c:v>
                </c:pt>
                <c:pt idx="257">
                  <c:v>20.56</c:v>
                </c:pt>
                <c:pt idx="258">
                  <c:v>20.64</c:v>
                </c:pt>
                <c:pt idx="259">
                  <c:v>20.72</c:v>
                </c:pt>
                <c:pt idx="260">
                  <c:v>20.8</c:v>
                </c:pt>
                <c:pt idx="261">
                  <c:v>20.88</c:v>
                </c:pt>
                <c:pt idx="262">
                  <c:v>20.96</c:v>
                </c:pt>
                <c:pt idx="263">
                  <c:v>21.04</c:v>
                </c:pt>
                <c:pt idx="264">
                  <c:v>21.12</c:v>
                </c:pt>
                <c:pt idx="265">
                  <c:v>21.2</c:v>
                </c:pt>
                <c:pt idx="266">
                  <c:v>21.28</c:v>
                </c:pt>
                <c:pt idx="267">
                  <c:v>21.36</c:v>
                </c:pt>
                <c:pt idx="268">
                  <c:v>21.44</c:v>
                </c:pt>
                <c:pt idx="269">
                  <c:v>21.52</c:v>
                </c:pt>
                <c:pt idx="270">
                  <c:v>21.6</c:v>
                </c:pt>
                <c:pt idx="271">
                  <c:v>21.68</c:v>
                </c:pt>
                <c:pt idx="272">
                  <c:v>21.76</c:v>
                </c:pt>
                <c:pt idx="273">
                  <c:v>21.84</c:v>
                </c:pt>
                <c:pt idx="274">
                  <c:v>21.92</c:v>
                </c:pt>
                <c:pt idx="275">
                  <c:v>22</c:v>
                </c:pt>
                <c:pt idx="276">
                  <c:v>22.08</c:v>
                </c:pt>
                <c:pt idx="277">
                  <c:v>22.16</c:v>
                </c:pt>
                <c:pt idx="278">
                  <c:v>22.24</c:v>
                </c:pt>
                <c:pt idx="279">
                  <c:v>22.32</c:v>
                </c:pt>
                <c:pt idx="280">
                  <c:v>22.4</c:v>
                </c:pt>
                <c:pt idx="281">
                  <c:v>22.48</c:v>
                </c:pt>
                <c:pt idx="282">
                  <c:v>22.56</c:v>
                </c:pt>
                <c:pt idx="283">
                  <c:v>22.64</c:v>
                </c:pt>
                <c:pt idx="284">
                  <c:v>22.72</c:v>
                </c:pt>
                <c:pt idx="285">
                  <c:v>22.8</c:v>
                </c:pt>
                <c:pt idx="286">
                  <c:v>22.88</c:v>
                </c:pt>
                <c:pt idx="287">
                  <c:v>22.96</c:v>
                </c:pt>
                <c:pt idx="288">
                  <c:v>23.04</c:v>
                </c:pt>
                <c:pt idx="289">
                  <c:v>23.12</c:v>
                </c:pt>
                <c:pt idx="290">
                  <c:v>23.2</c:v>
                </c:pt>
                <c:pt idx="291">
                  <c:v>23.28</c:v>
                </c:pt>
                <c:pt idx="292">
                  <c:v>23.36</c:v>
                </c:pt>
                <c:pt idx="293">
                  <c:v>23.44</c:v>
                </c:pt>
                <c:pt idx="294">
                  <c:v>23.52</c:v>
                </c:pt>
                <c:pt idx="295">
                  <c:v>23.6</c:v>
                </c:pt>
                <c:pt idx="296">
                  <c:v>23.68</c:v>
                </c:pt>
                <c:pt idx="297">
                  <c:v>23.76</c:v>
                </c:pt>
                <c:pt idx="298">
                  <c:v>23.84</c:v>
                </c:pt>
                <c:pt idx="299">
                  <c:v>23.92</c:v>
                </c:pt>
                <c:pt idx="300">
                  <c:v>24</c:v>
                </c:pt>
                <c:pt idx="301">
                  <c:v>24.08</c:v>
                </c:pt>
                <c:pt idx="302">
                  <c:v>24.16</c:v>
                </c:pt>
                <c:pt idx="303">
                  <c:v>24.24</c:v>
                </c:pt>
                <c:pt idx="304">
                  <c:v>24.32</c:v>
                </c:pt>
                <c:pt idx="305">
                  <c:v>24.4</c:v>
                </c:pt>
                <c:pt idx="306">
                  <c:v>24.48</c:v>
                </c:pt>
                <c:pt idx="307">
                  <c:v>24.56</c:v>
                </c:pt>
                <c:pt idx="308">
                  <c:v>24.64</c:v>
                </c:pt>
                <c:pt idx="309">
                  <c:v>24.72</c:v>
                </c:pt>
                <c:pt idx="310">
                  <c:v>24.8</c:v>
                </c:pt>
                <c:pt idx="311">
                  <c:v>24.88</c:v>
                </c:pt>
                <c:pt idx="312">
                  <c:v>24.96</c:v>
                </c:pt>
                <c:pt idx="313">
                  <c:v>25.04</c:v>
                </c:pt>
                <c:pt idx="314">
                  <c:v>25.12</c:v>
                </c:pt>
                <c:pt idx="315">
                  <c:v>25.2</c:v>
                </c:pt>
                <c:pt idx="316">
                  <c:v>25.28</c:v>
                </c:pt>
                <c:pt idx="317">
                  <c:v>25.36</c:v>
                </c:pt>
                <c:pt idx="318">
                  <c:v>25.44</c:v>
                </c:pt>
                <c:pt idx="319">
                  <c:v>25.52</c:v>
                </c:pt>
                <c:pt idx="320">
                  <c:v>25.6</c:v>
                </c:pt>
                <c:pt idx="321">
                  <c:v>25.68</c:v>
                </c:pt>
                <c:pt idx="322">
                  <c:v>25.76</c:v>
                </c:pt>
                <c:pt idx="323">
                  <c:v>25.84</c:v>
                </c:pt>
                <c:pt idx="324">
                  <c:v>25.92</c:v>
                </c:pt>
                <c:pt idx="325">
                  <c:v>26</c:v>
                </c:pt>
                <c:pt idx="326">
                  <c:v>26.08</c:v>
                </c:pt>
                <c:pt idx="327">
                  <c:v>26.16</c:v>
                </c:pt>
                <c:pt idx="328">
                  <c:v>26.24</c:v>
                </c:pt>
                <c:pt idx="329">
                  <c:v>26.32</c:v>
                </c:pt>
                <c:pt idx="330">
                  <c:v>26.4</c:v>
                </c:pt>
                <c:pt idx="331">
                  <c:v>26.48</c:v>
                </c:pt>
                <c:pt idx="332">
                  <c:v>26.56</c:v>
                </c:pt>
                <c:pt idx="333">
                  <c:v>26.64</c:v>
                </c:pt>
                <c:pt idx="334">
                  <c:v>26.72</c:v>
                </c:pt>
                <c:pt idx="335">
                  <c:v>26.8</c:v>
                </c:pt>
                <c:pt idx="336">
                  <c:v>26.88</c:v>
                </c:pt>
                <c:pt idx="337">
                  <c:v>26.96</c:v>
                </c:pt>
                <c:pt idx="338">
                  <c:v>27.04</c:v>
                </c:pt>
                <c:pt idx="339">
                  <c:v>27.12</c:v>
                </c:pt>
                <c:pt idx="340">
                  <c:v>27.2</c:v>
                </c:pt>
                <c:pt idx="341">
                  <c:v>27.28</c:v>
                </c:pt>
                <c:pt idx="342">
                  <c:v>27.36</c:v>
                </c:pt>
                <c:pt idx="343">
                  <c:v>27.44</c:v>
                </c:pt>
                <c:pt idx="344">
                  <c:v>27.52</c:v>
                </c:pt>
                <c:pt idx="345">
                  <c:v>27.6</c:v>
                </c:pt>
                <c:pt idx="346">
                  <c:v>27.68</c:v>
                </c:pt>
                <c:pt idx="347">
                  <c:v>27.76</c:v>
                </c:pt>
                <c:pt idx="348">
                  <c:v>27.84</c:v>
                </c:pt>
                <c:pt idx="349">
                  <c:v>27.92</c:v>
                </c:pt>
                <c:pt idx="350">
                  <c:v>28</c:v>
                </c:pt>
                <c:pt idx="351">
                  <c:v>28.08</c:v>
                </c:pt>
                <c:pt idx="352">
                  <c:v>28.16</c:v>
                </c:pt>
                <c:pt idx="353">
                  <c:v>28.24</c:v>
                </c:pt>
                <c:pt idx="354">
                  <c:v>28.32</c:v>
                </c:pt>
                <c:pt idx="355">
                  <c:v>28.4</c:v>
                </c:pt>
                <c:pt idx="356">
                  <c:v>28.48</c:v>
                </c:pt>
                <c:pt idx="357">
                  <c:v>28.56</c:v>
                </c:pt>
                <c:pt idx="358">
                  <c:v>28.64</c:v>
                </c:pt>
                <c:pt idx="359">
                  <c:v>28.72</c:v>
                </c:pt>
                <c:pt idx="360">
                  <c:v>28.8</c:v>
                </c:pt>
                <c:pt idx="361">
                  <c:v>28.88</c:v>
                </c:pt>
                <c:pt idx="362">
                  <c:v>28.96</c:v>
                </c:pt>
                <c:pt idx="363">
                  <c:v>29.04</c:v>
                </c:pt>
                <c:pt idx="364">
                  <c:v>29.12</c:v>
                </c:pt>
                <c:pt idx="365">
                  <c:v>29.2</c:v>
                </c:pt>
                <c:pt idx="366">
                  <c:v>29.28</c:v>
                </c:pt>
                <c:pt idx="367">
                  <c:v>29.36</c:v>
                </c:pt>
                <c:pt idx="368">
                  <c:v>29.44</c:v>
                </c:pt>
                <c:pt idx="369">
                  <c:v>29.52</c:v>
                </c:pt>
                <c:pt idx="370">
                  <c:v>29.6</c:v>
                </c:pt>
                <c:pt idx="371">
                  <c:v>29.68</c:v>
                </c:pt>
                <c:pt idx="372">
                  <c:v>29.76</c:v>
                </c:pt>
                <c:pt idx="373">
                  <c:v>29.84</c:v>
                </c:pt>
                <c:pt idx="374">
                  <c:v>29.92</c:v>
                </c:pt>
                <c:pt idx="375">
                  <c:v>30</c:v>
                </c:pt>
                <c:pt idx="376">
                  <c:v>30.08</c:v>
                </c:pt>
                <c:pt idx="377">
                  <c:v>30.16</c:v>
                </c:pt>
                <c:pt idx="378">
                  <c:v>30.24</c:v>
                </c:pt>
                <c:pt idx="379">
                  <c:v>30.32</c:v>
                </c:pt>
                <c:pt idx="380">
                  <c:v>30.4</c:v>
                </c:pt>
                <c:pt idx="381">
                  <c:v>30.48</c:v>
                </c:pt>
                <c:pt idx="382">
                  <c:v>30.56</c:v>
                </c:pt>
                <c:pt idx="383">
                  <c:v>30.64</c:v>
                </c:pt>
                <c:pt idx="384">
                  <c:v>30.72</c:v>
                </c:pt>
                <c:pt idx="385">
                  <c:v>30.8</c:v>
                </c:pt>
                <c:pt idx="386">
                  <c:v>30.88</c:v>
                </c:pt>
                <c:pt idx="387">
                  <c:v>30.96</c:v>
                </c:pt>
                <c:pt idx="388">
                  <c:v>31.04</c:v>
                </c:pt>
                <c:pt idx="389">
                  <c:v>31.12</c:v>
                </c:pt>
                <c:pt idx="390">
                  <c:v>31.2</c:v>
                </c:pt>
                <c:pt idx="391">
                  <c:v>31.28</c:v>
                </c:pt>
                <c:pt idx="392">
                  <c:v>31.36</c:v>
                </c:pt>
                <c:pt idx="393">
                  <c:v>31.44</c:v>
                </c:pt>
                <c:pt idx="394">
                  <c:v>31.52</c:v>
                </c:pt>
                <c:pt idx="395">
                  <c:v>31.6</c:v>
                </c:pt>
                <c:pt idx="396">
                  <c:v>31.68</c:v>
                </c:pt>
                <c:pt idx="397">
                  <c:v>31.76</c:v>
                </c:pt>
                <c:pt idx="398">
                  <c:v>31.84</c:v>
                </c:pt>
                <c:pt idx="399">
                  <c:v>31.92</c:v>
                </c:pt>
                <c:pt idx="400">
                  <c:v>32</c:v>
                </c:pt>
                <c:pt idx="401">
                  <c:v>32.08</c:v>
                </c:pt>
                <c:pt idx="402">
                  <c:v>32.159999999999997</c:v>
                </c:pt>
                <c:pt idx="403">
                  <c:v>32.24</c:v>
                </c:pt>
                <c:pt idx="404">
                  <c:v>32.32</c:v>
                </c:pt>
                <c:pt idx="405">
                  <c:v>32.4</c:v>
                </c:pt>
                <c:pt idx="406">
                  <c:v>32.479999999999997</c:v>
                </c:pt>
                <c:pt idx="407">
                  <c:v>32.56</c:v>
                </c:pt>
                <c:pt idx="408">
                  <c:v>32.64</c:v>
                </c:pt>
                <c:pt idx="409">
                  <c:v>32.72</c:v>
                </c:pt>
                <c:pt idx="410">
                  <c:v>32.799999999999997</c:v>
                </c:pt>
                <c:pt idx="411">
                  <c:v>32.880000000000003</c:v>
                </c:pt>
                <c:pt idx="412">
                  <c:v>32.96</c:v>
                </c:pt>
                <c:pt idx="413">
                  <c:v>33.04</c:v>
                </c:pt>
                <c:pt idx="414">
                  <c:v>33.119999999999997</c:v>
                </c:pt>
                <c:pt idx="415">
                  <c:v>33.200000000000003</c:v>
                </c:pt>
                <c:pt idx="416">
                  <c:v>33.28</c:v>
                </c:pt>
                <c:pt idx="417">
                  <c:v>33.36</c:v>
                </c:pt>
                <c:pt idx="418">
                  <c:v>33.44</c:v>
                </c:pt>
                <c:pt idx="419">
                  <c:v>33.520000000000003</c:v>
                </c:pt>
                <c:pt idx="420">
                  <c:v>33.6</c:v>
                </c:pt>
                <c:pt idx="421">
                  <c:v>33.68</c:v>
                </c:pt>
                <c:pt idx="422">
                  <c:v>33.76</c:v>
                </c:pt>
                <c:pt idx="423">
                  <c:v>33.840000000000003</c:v>
                </c:pt>
                <c:pt idx="424">
                  <c:v>33.92</c:v>
                </c:pt>
                <c:pt idx="425">
                  <c:v>34</c:v>
                </c:pt>
                <c:pt idx="426">
                  <c:v>34.08</c:v>
                </c:pt>
                <c:pt idx="427">
                  <c:v>34.159999999999997</c:v>
                </c:pt>
                <c:pt idx="428">
                  <c:v>34.24</c:v>
                </c:pt>
                <c:pt idx="429">
                  <c:v>34.32</c:v>
                </c:pt>
                <c:pt idx="430">
                  <c:v>34.4</c:v>
                </c:pt>
                <c:pt idx="431">
                  <c:v>34.479999999999997</c:v>
                </c:pt>
                <c:pt idx="432">
                  <c:v>34.56</c:v>
                </c:pt>
                <c:pt idx="433">
                  <c:v>34.64</c:v>
                </c:pt>
                <c:pt idx="434">
                  <c:v>34.72</c:v>
                </c:pt>
                <c:pt idx="435">
                  <c:v>34.799999999999997</c:v>
                </c:pt>
                <c:pt idx="436">
                  <c:v>34.880000000000003</c:v>
                </c:pt>
                <c:pt idx="437">
                  <c:v>34.96</c:v>
                </c:pt>
                <c:pt idx="438">
                  <c:v>35.04</c:v>
                </c:pt>
                <c:pt idx="439">
                  <c:v>35.119999999999997</c:v>
                </c:pt>
                <c:pt idx="440">
                  <c:v>35.200000000000003</c:v>
                </c:pt>
                <c:pt idx="441">
                  <c:v>35.28</c:v>
                </c:pt>
                <c:pt idx="442">
                  <c:v>35.36</c:v>
                </c:pt>
                <c:pt idx="443">
                  <c:v>35.44</c:v>
                </c:pt>
                <c:pt idx="444">
                  <c:v>35.520000000000003</c:v>
                </c:pt>
                <c:pt idx="445">
                  <c:v>35.6</c:v>
                </c:pt>
                <c:pt idx="446">
                  <c:v>35.68</c:v>
                </c:pt>
                <c:pt idx="447">
                  <c:v>35.76</c:v>
                </c:pt>
                <c:pt idx="448">
                  <c:v>35.840000000000003</c:v>
                </c:pt>
                <c:pt idx="449">
                  <c:v>35.92</c:v>
                </c:pt>
                <c:pt idx="450">
                  <c:v>36</c:v>
                </c:pt>
                <c:pt idx="451">
                  <c:v>36.08</c:v>
                </c:pt>
                <c:pt idx="452">
                  <c:v>36.159999999999997</c:v>
                </c:pt>
                <c:pt idx="453">
                  <c:v>36.24</c:v>
                </c:pt>
                <c:pt idx="454">
                  <c:v>36.32</c:v>
                </c:pt>
                <c:pt idx="455">
                  <c:v>36.4</c:v>
                </c:pt>
                <c:pt idx="456">
                  <c:v>36.479999999999997</c:v>
                </c:pt>
                <c:pt idx="457">
                  <c:v>36.56</c:v>
                </c:pt>
                <c:pt idx="458">
                  <c:v>36.64</c:v>
                </c:pt>
                <c:pt idx="459">
                  <c:v>36.72</c:v>
                </c:pt>
                <c:pt idx="460">
                  <c:v>36.799999999999997</c:v>
                </c:pt>
                <c:pt idx="461">
                  <c:v>36.880000000000003</c:v>
                </c:pt>
                <c:pt idx="462">
                  <c:v>36.96</c:v>
                </c:pt>
                <c:pt idx="463">
                  <c:v>37.04</c:v>
                </c:pt>
                <c:pt idx="464">
                  <c:v>37.119999999999997</c:v>
                </c:pt>
                <c:pt idx="465">
                  <c:v>37.200000000000003</c:v>
                </c:pt>
                <c:pt idx="466">
                  <c:v>37.28</c:v>
                </c:pt>
                <c:pt idx="467">
                  <c:v>37.36</c:v>
                </c:pt>
                <c:pt idx="468">
                  <c:v>37.44</c:v>
                </c:pt>
                <c:pt idx="469">
                  <c:v>37.520000000000003</c:v>
                </c:pt>
                <c:pt idx="470">
                  <c:v>37.6</c:v>
                </c:pt>
                <c:pt idx="471">
                  <c:v>37.68</c:v>
                </c:pt>
                <c:pt idx="472">
                  <c:v>37.76</c:v>
                </c:pt>
                <c:pt idx="473">
                  <c:v>37.840000000000003</c:v>
                </c:pt>
                <c:pt idx="474">
                  <c:v>37.92</c:v>
                </c:pt>
                <c:pt idx="475">
                  <c:v>38</c:v>
                </c:pt>
                <c:pt idx="476">
                  <c:v>38.08</c:v>
                </c:pt>
                <c:pt idx="477">
                  <c:v>38.159999999999997</c:v>
                </c:pt>
                <c:pt idx="478">
                  <c:v>38.24</c:v>
                </c:pt>
                <c:pt idx="479">
                  <c:v>38.32</c:v>
                </c:pt>
                <c:pt idx="480">
                  <c:v>38.4</c:v>
                </c:pt>
                <c:pt idx="481">
                  <c:v>38.479999999999997</c:v>
                </c:pt>
                <c:pt idx="482">
                  <c:v>38.56</c:v>
                </c:pt>
                <c:pt idx="483">
                  <c:v>38.64</c:v>
                </c:pt>
                <c:pt idx="484">
                  <c:v>38.72</c:v>
                </c:pt>
                <c:pt idx="485">
                  <c:v>38.799999999999997</c:v>
                </c:pt>
                <c:pt idx="486">
                  <c:v>38.880000000000003</c:v>
                </c:pt>
                <c:pt idx="487">
                  <c:v>38.96</c:v>
                </c:pt>
                <c:pt idx="488">
                  <c:v>39.04</c:v>
                </c:pt>
                <c:pt idx="489">
                  <c:v>39.119999999999997</c:v>
                </c:pt>
                <c:pt idx="490">
                  <c:v>39.200000000000003</c:v>
                </c:pt>
                <c:pt idx="491">
                  <c:v>39.28</c:v>
                </c:pt>
                <c:pt idx="492">
                  <c:v>39.36</c:v>
                </c:pt>
                <c:pt idx="493">
                  <c:v>39.44</c:v>
                </c:pt>
                <c:pt idx="494">
                  <c:v>39.520000000000003</c:v>
                </c:pt>
                <c:pt idx="495">
                  <c:v>39.6</c:v>
                </c:pt>
                <c:pt idx="496">
                  <c:v>39.68</c:v>
                </c:pt>
                <c:pt idx="497">
                  <c:v>39.76</c:v>
                </c:pt>
                <c:pt idx="498">
                  <c:v>39.840000000000003</c:v>
                </c:pt>
                <c:pt idx="499">
                  <c:v>39.92</c:v>
                </c:pt>
                <c:pt idx="500">
                  <c:v>40</c:v>
                </c:pt>
                <c:pt idx="501">
                  <c:v>40.08</c:v>
                </c:pt>
                <c:pt idx="502">
                  <c:v>40.159999999999997</c:v>
                </c:pt>
                <c:pt idx="503">
                  <c:v>40.24</c:v>
                </c:pt>
                <c:pt idx="504">
                  <c:v>40.32</c:v>
                </c:pt>
                <c:pt idx="505">
                  <c:v>40.4</c:v>
                </c:pt>
                <c:pt idx="506">
                  <c:v>40.479999999999997</c:v>
                </c:pt>
                <c:pt idx="507">
                  <c:v>40.56</c:v>
                </c:pt>
                <c:pt idx="508">
                  <c:v>40.64</c:v>
                </c:pt>
                <c:pt idx="509">
                  <c:v>40.72</c:v>
                </c:pt>
                <c:pt idx="510">
                  <c:v>40.799999999999997</c:v>
                </c:pt>
                <c:pt idx="511">
                  <c:v>40.880000000000003</c:v>
                </c:pt>
                <c:pt idx="512">
                  <c:v>40.96</c:v>
                </c:pt>
                <c:pt idx="513">
                  <c:v>41.04</c:v>
                </c:pt>
                <c:pt idx="514">
                  <c:v>41.12</c:v>
                </c:pt>
                <c:pt idx="515">
                  <c:v>41.2</c:v>
                </c:pt>
                <c:pt idx="516">
                  <c:v>41.28</c:v>
                </c:pt>
                <c:pt idx="517">
                  <c:v>41.36</c:v>
                </c:pt>
                <c:pt idx="518">
                  <c:v>41.44</c:v>
                </c:pt>
                <c:pt idx="519">
                  <c:v>41.52</c:v>
                </c:pt>
                <c:pt idx="520">
                  <c:v>41.6</c:v>
                </c:pt>
                <c:pt idx="521">
                  <c:v>41.68</c:v>
                </c:pt>
                <c:pt idx="522">
                  <c:v>41.76</c:v>
                </c:pt>
                <c:pt idx="523">
                  <c:v>41.84</c:v>
                </c:pt>
                <c:pt idx="524">
                  <c:v>41.92</c:v>
                </c:pt>
                <c:pt idx="525">
                  <c:v>42</c:v>
                </c:pt>
                <c:pt idx="526">
                  <c:v>42.08</c:v>
                </c:pt>
                <c:pt idx="527">
                  <c:v>42.16</c:v>
                </c:pt>
                <c:pt idx="528">
                  <c:v>42.24</c:v>
                </c:pt>
                <c:pt idx="529">
                  <c:v>42.32</c:v>
                </c:pt>
                <c:pt idx="530">
                  <c:v>42.4</c:v>
                </c:pt>
                <c:pt idx="531">
                  <c:v>42.48</c:v>
                </c:pt>
                <c:pt idx="532">
                  <c:v>42.56</c:v>
                </c:pt>
                <c:pt idx="533">
                  <c:v>42.64</c:v>
                </c:pt>
                <c:pt idx="534">
                  <c:v>42.72</c:v>
                </c:pt>
                <c:pt idx="535">
                  <c:v>42.8</c:v>
                </c:pt>
                <c:pt idx="536">
                  <c:v>42.88</c:v>
                </c:pt>
                <c:pt idx="537">
                  <c:v>42.96</c:v>
                </c:pt>
                <c:pt idx="538">
                  <c:v>43.04</c:v>
                </c:pt>
                <c:pt idx="539">
                  <c:v>43.12</c:v>
                </c:pt>
                <c:pt idx="540">
                  <c:v>43.2</c:v>
                </c:pt>
                <c:pt idx="541">
                  <c:v>43.28</c:v>
                </c:pt>
                <c:pt idx="542">
                  <c:v>43.36</c:v>
                </c:pt>
                <c:pt idx="543">
                  <c:v>43.44</c:v>
                </c:pt>
                <c:pt idx="544">
                  <c:v>43.52</c:v>
                </c:pt>
                <c:pt idx="545">
                  <c:v>43.6</c:v>
                </c:pt>
                <c:pt idx="546">
                  <c:v>43.68</c:v>
                </c:pt>
                <c:pt idx="547">
                  <c:v>43.76</c:v>
                </c:pt>
                <c:pt idx="548">
                  <c:v>43.84</c:v>
                </c:pt>
                <c:pt idx="549">
                  <c:v>43.92</c:v>
                </c:pt>
                <c:pt idx="550">
                  <c:v>44</c:v>
                </c:pt>
                <c:pt idx="551">
                  <c:v>44.08</c:v>
                </c:pt>
                <c:pt idx="552">
                  <c:v>44.16</c:v>
                </c:pt>
                <c:pt idx="553">
                  <c:v>44.24</c:v>
                </c:pt>
                <c:pt idx="554">
                  <c:v>44.32</c:v>
                </c:pt>
                <c:pt idx="555">
                  <c:v>44.4</c:v>
                </c:pt>
                <c:pt idx="556">
                  <c:v>44.48</c:v>
                </c:pt>
                <c:pt idx="557">
                  <c:v>44.56</c:v>
                </c:pt>
                <c:pt idx="558">
                  <c:v>44.64</c:v>
                </c:pt>
                <c:pt idx="559">
                  <c:v>44.72</c:v>
                </c:pt>
                <c:pt idx="560">
                  <c:v>44.8</c:v>
                </c:pt>
                <c:pt idx="561">
                  <c:v>44.88</c:v>
                </c:pt>
                <c:pt idx="562">
                  <c:v>44.96</c:v>
                </c:pt>
                <c:pt idx="563">
                  <c:v>45.04</c:v>
                </c:pt>
                <c:pt idx="564">
                  <c:v>45.12</c:v>
                </c:pt>
                <c:pt idx="565">
                  <c:v>45.2</c:v>
                </c:pt>
                <c:pt idx="566">
                  <c:v>45.28</c:v>
                </c:pt>
                <c:pt idx="567">
                  <c:v>45.36</c:v>
                </c:pt>
                <c:pt idx="568">
                  <c:v>45.44</c:v>
                </c:pt>
                <c:pt idx="569">
                  <c:v>45.52</c:v>
                </c:pt>
                <c:pt idx="570">
                  <c:v>45.6</c:v>
                </c:pt>
                <c:pt idx="571">
                  <c:v>45.68</c:v>
                </c:pt>
                <c:pt idx="572">
                  <c:v>45.76</c:v>
                </c:pt>
                <c:pt idx="573">
                  <c:v>45.84</c:v>
                </c:pt>
                <c:pt idx="574">
                  <c:v>45.92</c:v>
                </c:pt>
                <c:pt idx="575">
                  <c:v>46</c:v>
                </c:pt>
                <c:pt idx="576">
                  <c:v>46.08</c:v>
                </c:pt>
                <c:pt idx="577">
                  <c:v>46.16</c:v>
                </c:pt>
                <c:pt idx="578">
                  <c:v>46.24</c:v>
                </c:pt>
                <c:pt idx="579">
                  <c:v>46.32</c:v>
                </c:pt>
                <c:pt idx="580">
                  <c:v>46.4</c:v>
                </c:pt>
                <c:pt idx="581">
                  <c:v>46.48</c:v>
                </c:pt>
                <c:pt idx="582">
                  <c:v>46.56</c:v>
                </c:pt>
                <c:pt idx="583">
                  <c:v>46.64</c:v>
                </c:pt>
                <c:pt idx="584">
                  <c:v>46.72</c:v>
                </c:pt>
                <c:pt idx="585">
                  <c:v>46.8</c:v>
                </c:pt>
                <c:pt idx="586">
                  <c:v>46.88</c:v>
                </c:pt>
                <c:pt idx="587">
                  <c:v>46.96</c:v>
                </c:pt>
                <c:pt idx="588">
                  <c:v>47.04</c:v>
                </c:pt>
                <c:pt idx="589">
                  <c:v>47.12</c:v>
                </c:pt>
                <c:pt idx="590">
                  <c:v>47.2</c:v>
                </c:pt>
                <c:pt idx="591">
                  <c:v>47.28</c:v>
                </c:pt>
                <c:pt idx="592">
                  <c:v>47.36</c:v>
                </c:pt>
                <c:pt idx="593">
                  <c:v>47.44</c:v>
                </c:pt>
                <c:pt idx="594">
                  <c:v>47.52</c:v>
                </c:pt>
                <c:pt idx="595">
                  <c:v>47.6</c:v>
                </c:pt>
                <c:pt idx="596">
                  <c:v>47.68</c:v>
                </c:pt>
                <c:pt idx="597">
                  <c:v>47.76</c:v>
                </c:pt>
                <c:pt idx="598">
                  <c:v>47.84</c:v>
                </c:pt>
                <c:pt idx="599">
                  <c:v>47.92</c:v>
                </c:pt>
                <c:pt idx="600">
                  <c:v>48</c:v>
                </c:pt>
                <c:pt idx="601">
                  <c:v>48.08</c:v>
                </c:pt>
                <c:pt idx="602">
                  <c:v>48.16</c:v>
                </c:pt>
                <c:pt idx="603">
                  <c:v>48.24</c:v>
                </c:pt>
                <c:pt idx="604">
                  <c:v>48.32</c:v>
                </c:pt>
                <c:pt idx="605">
                  <c:v>48.4</c:v>
                </c:pt>
                <c:pt idx="606">
                  <c:v>48.48</c:v>
                </c:pt>
                <c:pt idx="607">
                  <c:v>48.56</c:v>
                </c:pt>
                <c:pt idx="608">
                  <c:v>48.64</c:v>
                </c:pt>
                <c:pt idx="609">
                  <c:v>48.72</c:v>
                </c:pt>
                <c:pt idx="610">
                  <c:v>48.8</c:v>
                </c:pt>
                <c:pt idx="611">
                  <c:v>48.88</c:v>
                </c:pt>
                <c:pt idx="612">
                  <c:v>48.96</c:v>
                </c:pt>
                <c:pt idx="613">
                  <c:v>49.04</c:v>
                </c:pt>
                <c:pt idx="614">
                  <c:v>49.12</c:v>
                </c:pt>
                <c:pt idx="615">
                  <c:v>49.2</c:v>
                </c:pt>
                <c:pt idx="616">
                  <c:v>49.28</c:v>
                </c:pt>
                <c:pt idx="617">
                  <c:v>49.36</c:v>
                </c:pt>
                <c:pt idx="618">
                  <c:v>49.44</c:v>
                </c:pt>
                <c:pt idx="619">
                  <c:v>49.52</c:v>
                </c:pt>
                <c:pt idx="620">
                  <c:v>49.6</c:v>
                </c:pt>
                <c:pt idx="621">
                  <c:v>49.68</c:v>
                </c:pt>
                <c:pt idx="622">
                  <c:v>49.76</c:v>
                </c:pt>
                <c:pt idx="623">
                  <c:v>49.84</c:v>
                </c:pt>
                <c:pt idx="624">
                  <c:v>49.92</c:v>
                </c:pt>
                <c:pt idx="625">
                  <c:v>50</c:v>
                </c:pt>
                <c:pt idx="626">
                  <c:v>50.08</c:v>
                </c:pt>
                <c:pt idx="627">
                  <c:v>50.16</c:v>
                </c:pt>
                <c:pt idx="628">
                  <c:v>50.24</c:v>
                </c:pt>
                <c:pt idx="629">
                  <c:v>50.32</c:v>
                </c:pt>
                <c:pt idx="630">
                  <c:v>50.4</c:v>
                </c:pt>
                <c:pt idx="631">
                  <c:v>50.48</c:v>
                </c:pt>
                <c:pt idx="632">
                  <c:v>50.56</c:v>
                </c:pt>
                <c:pt idx="633">
                  <c:v>50.64</c:v>
                </c:pt>
                <c:pt idx="634">
                  <c:v>50.72</c:v>
                </c:pt>
                <c:pt idx="635">
                  <c:v>50.8</c:v>
                </c:pt>
                <c:pt idx="636">
                  <c:v>50.88</c:v>
                </c:pt>
                <c:pt idx="637">
                  <c:v>50.96</c:v>
                </c:pt>
                <c:pt idx="638">
                  <c:v>51.04</c:v>
                </c:pt>
                <c:pt idx="639">
                  <c:v>51.12</c:v>
                </c:pt>
                <c:pt idx="640">
                  <c:v>51.2</c:v>
                </c:pt>
                <c:pt idx="641">
                  <c:v>51.28</c:v>
                </c:pt>
                <c:pt idx="642">
                  <c:v>51.36</c:v>
                </c:pt>
                <c:pt idx="643">
                  <c:v>51.44</c:v>
                </c:pt>
                <c:pt idx="644">
                  <c:v>51.52</c:v>
                </c:pt>
                <c:pt idx="645">
                  <c:v>51.6</c:v>
                </c:pt>
                <c:pt idx="646">
                  <c:v>51.68</c:v>
                </c:pt>
                <c:pt idx="647">
                  <c:v>51.76</c:v>
                </c:pt>
                <c:pt idx="648">
                  <c:v>51.84</c:v>
                </c:pt>
                <c:pt idx="649">
                  <c:v>51.92</c:v>
                </c:pt>
                <c:pt idx="650">
                  <c:v>52</c:v>
                </c:pt>
                <c:pt idx="651">
                  <c:v>52.08</c:v>
                </c:pt>
                <c:pt idx="652">
                  <c:v>52.16</c:v>
                </c:pt>
                <c:pt idx="653">
                  <c:v>52.24</c:v>
                </c:pt>
                <c:pt idx="654">
                  <c:v>52.32</c:v>
                </c:pt>
                <c:pt idx="655">
                  <c:v>52.4</c:v>
                </c:pt>
                <c:pt idx="656">
                  <c:v>52.48</c:v>
                </c:pt>
                <c:pt idx="657">
                  <c:v>52.56</c:v>
                </c:pt>
                <c:pt idx="658">
                  <c:v>52.64</c:v>
                </c:pt>
                <c:pt idx="659">
                  <c:v>52.72</c:v>
                </c:pt>
                <c:pt idx="660">
                  <c:v>52.8</c:v>
                </c:pt>
                <c:pt idx="661">
                  <c:v>52.88</c:v>
                </c:pt>
                <c:pt idx="662">
                  <c:v>52.96</c:v>
                </c:pt>
                <c:pt idx="663">
                  <c:v>53.04</c:v>
                </c:pt>
                <c:pt idx="664">
                  <c:v>53.12</c:v>
                </c:pt>
                <c:pt idx="665">
                  <c:v>53.2</c:v>
                </c:pt>
                <c:pt idx="666">
                  <c:v>53.28</c:v>
                </c:pt>
                <c:pt idx="667">
                  <c:v>53.36</c:v>
                </c:pt>
                <c:pt idx="668">
                  <c:v>53.44</c:v>
                </c:pt>
                <c:pt idx="669">
                  <c:v>53.52</c:v>
                </c:pt>
                <c:pt idx="670">
                  <c:v>53.6</c:v>
                </c:pt>
                <c:pt idx="671">
                  <c:v>53.68</c:v>
                </c:pt>
                <c:pt idx="672">
                  <c:v>53.76</c:v>
                </c:pt>
                <c:pt idx="673">
                  <c:v>53.84</c:v>
                </c:pt>
                <c:pt idx="674">
                  <c:v>53.92</c:v>
                </c:pt>
                <c:pt idx="675">
                  <c:v>54</c:v>
                </c:pt>
                <c:pt idx="676">
                  <c:v>54.08</c:v>
                </c:pt>
                <c:pt idx="677">
                  <c:v>54.16</c:v>
                </c:pt>
                <c:pt idx="678">
                  <c:v>54.24</c:v>
                </c:pt>
                <c:pt idx="679">
                  <c:v>54.32</c:v>
                </c:pt>
                <c:pt idx="680">
                  <c:v>54.4</c:v>
                </c:pt>
                <c:pt idx="681">
                  <c:v>54.48</c:v>
                </c:pt>
                <c:pt idx="682">
                  <c:v>54.56</c:v>
                </c:pt>
                <c:pt idx="683">
                  <c:v>54.64</c:v>
                </c:pt>
                <c:pt idx="684">
                  <c:v>54.72</c:v>
                </c:pt>
                <c:pt idx="685">
                  <c:v>54.8</c:v>
                </c:pt>
                <c:pt idx="686">
                  <c:v>54.88</c:v>
                </c:pt>
                <c:pt idx="687">
                  <c:v>54.96</c:v>
                </c:pt>
                <c:pt idx="688">
                  <c:v>55.04</c:v>
                </c:pt>
                <c:pt idx="689">
                  <c:v>55.12</c:v>
                </c:pt>
                <c:pt idx="690">
                  <c:v>55.2</c:v>
                </c:pt>
                <c:pt idx="691">
                  <c:v>55.28</c:v>
                </c:pt>
                <c:pt idx="692">
                  <c:v>55.36</c:v>
                </c:pt>
                <c:pt idx="693">
                  <c:v>55.44</c:v>
                </c:pt>
                <c:pt idx="694">
                  <c:v>55.52</c:v>
                </c:pt>
                <c:pt idx="695">
                  <c:v>55.6</c:v>
                </c:pt>
                <c:pt idx="696">
                  <c:v>55.68</c:v>
                </c:pt>
                <c:pt idx="697">
                  <c:v>55.76</c:v>
                </c:pt>
                <c:pt idx="698">
                  <c:v>55.84</c:v>
                </c:pt>
                <c:pt idx="699">
                  <c:v>55.92</c:v>
                </c:pt>
                <c:pt idx="700">
                  <c:v>56</c:v>
                </c:pt>
                <c:pt idx="701">
                  <c:v>56.08</c:v>
                </c:pt>
                <c:pt idx="702">
                  <c:v>56.16</c:v>
                </c:pt>
                <c:pt idx="703">
                  <c:v>56.24</c:v>
                </c:pt>
                <c:pt idx="704">
                  <c:v>56.32</c:v>
                </c:pt>
                <c:pt idx="705">
                  <c:v>56.4</c:v>
                </c:pt>
                <c:pt idx="706">
                  <c:v>56.48</c:v>
                </c:pt>
                <c:pt idx="707">
                  <c:v>56.56</c:v>
                </c:pt>
                <c:pt idx="708">
                  <c:v>56.64</c:v>
                </c:pt>
                <c:pt idx="709">
                  <c:v>56.72</c:v>
                </c:pt>
                <c:pt idx="710">
                  <c:v>56.8</c:v>
                </c:pt>
                <c:pt idx="711">
                  <c:v>56.88</c:v>
                </c:pt>
                <c:pt idx="712">
                  <c:v>56.96</c:v>
                </c:pt>
                <c:pt idx="713">
                  <c:v>57.04</c:v>
                </c:pt>
                <c:pt idx="714">
                  <c:v>57.12</c:v>
                </c:pt>
                <c:pt idx="715">
                  <c:v>57.2</c:v>
                </c:pt>
                <c:pt idx="716">
                  <c:v>57.28</c:v>
                </c:pt>
                <c:pt idx="717">
                  <c:v>57.36</c:v>
                </c:pt>
                <c:pt idx="718">
                  <c:v>57.44</c:v>
                </c:pt>
                <c:pt idx="719">
                  <c:v>57.52</c:v>
                </c:pt>
                <c:pt idx="720">
                  <c:v>57.6</c:v>
                </c:pt>
                <c:pt idx="721">
                  <c:v>57.68</c:v>
                </c:pt>
                <c:pt idx="722">
                  <c:v>57.76</c:v>
                </c:pt>
                <c:pt idx="723">
                  <c:v>57.84</c:v>
                </c:pt>
                <c:pt idx="724">
                  <c:v>57.92</c:v>
                </c:pt>
                <c:pt idx="725">
                  <c:v>58</c:v>
                </c:pt>
                <c:pt idx="726">
                  <c:v>58.08</c:v>
                </c:pt>
                <c:pt idx="727">
                  <c:v>58.16</c:v>
                </c:pt>
                <c:pt idx="728">
                  <c:v>58.24</c:v>
                </c:pt>
                <c:pt idx="729">
                  <c:v>58.32</c:v>
                </c:pt>
                <c:pt idx="730">
                  <c:v>58.4</c:v>
                </c:pt>
                <c:pt idx="731">
                  <c:v>58.48</c:v>
                </c:pt>
                <c:pt idx="732">
                  <c:v>58.56</c:v>
                </c:pt>
                <c:pt idx="733">
                  <c:v>58.64</c:v>
                </c:pt>
                <c:pt idx="734">
                  <c:v>58.72</c:v>
                </c:pt>
                <c:pt idx="735">
                  <c:v>58.8</c:v>
                </c:pt>
                <c:pt idx="736">
                  <c:v>58.88</c:v>
                </c:pt>
                <c:pt idx="737">
                  <c:v>58.96</c:v>
                </c:pt>
                <c:pt idx="738">
                  <c:v>59.04</c:v>
                </c:pt>
                <c:pt idx="739">
                  <c:v>59.12</c:v>
                </c:pt>
                <c:pt idx="740">
                  <c:v>59.2</c:v>
                </c:pt>
                <c:pt idx="741">
                  <c:v>59.28</c:v>
                </c:pt>
                <c:pt idx="742">
                  <c:v>59.36</c:v>
                </c:pt>
                <c:pt idx="743">
                  <c:v>59.44</c:v>
                </c:pt>
                <c:pt idx="744">
                  <c:v>59.52</c:v>
                </c:pt>
                <c:pt idx="745">
                  <c:v>59.6</c:v>
                </c:pt>
                <c:pt idx="746">
                  <c:v>59.68</c:v>
                </c:pt>
                <c:pt idx="747">
                  <c:v>59.76</c:v>
                </c:pt>
                <c:pt idx="748">
                  <c:v>59.84</c:v>
                </c:pt>
                <c:pt idx="749">
                  <c:v>59.92</c:v>
                </c:pt>
                <c:pt idx="750">
                  <c:v>60</c:v>
                </c:pt>
              </c:numCache>
            </c:numRef>
          </c:xVal>
          <c:yVal>
            <c:numRef>
              <c:f>Sheet1!$H$10:$H$760</c:f>
              <c:numCache>
                <c:formatCode>0.00</c:formatCode>
                <c:ptCount val="751"/>
                <c:pt idx="0">
                  <c:v>99.3</c:v>
                </c:pt>
                <c:pt idx="1">
                  <c:v>99.295067930138529</c:v>
                </c:pt>
                <c:pt idx="2">
                  <c:v>99.29013661105833</c:v>
                </c:pt>
                <c:pt idx="3">
                  <c:v>99.285206042645115</c:v>
                </c:pt>
                <c:pt idx="4">
                  <c:v>99.280276224784615</c:v>
                </c:pt>
                <c:pt idx="5">
                  <c:v>99.275347157362575</c:v>
                </c:pt>
                <c:pt idx="6">
                  <c:v>99.270418840264767</c:v>
                </c:pt>
                <c:pt idx="7">
                  <c:v>99.265491273376938</c:v>
                </c:pt>
                <c:pt idx="8">
                  <c:v>99.260564456584945</c:v>
                </c:pt>
                <c:pt idx="9">
                  <c:v>99.25563838977456</c:v>
                </c:pt>
                <c:pt idx="10">
                  <c:v>99.250713072831644</c:v>
                </c:pt>
                <c:pt idx="11">
                  <c:v>99.245788505642025</c:v>
                </c:pt>
                <c:pt idx="12">
                  <c:v>99.240864688091591</c:v>
                </c:pt>
                <c:pt idx="13">
                  <c:v>99.235941620066228</c:v>
                </c:pt>
                <c:pt idx="14">
                  <c:v>99.231019301451838</c:v>
                </c:pt>
                <c:pt idx="15">
                  <c:v>99.226097732134335</c:v>
                </c:pt>
                <c:pt idx="16">
                  <c:v>99.221176911999663</c:v>
                </c:pt>
                <c:pt idx="17">
                  <c:v>99.216256840933767</c:v>
                </c:pt>
                <c:pt idx="18">
                  <c:v>99.211337518822646</c:v>
                </c:pt>
                <c:pt idx="19">
                  <c:v>99.206418945552258</c:v>
                </c:pt>
                <c:pt idx="20">
                  <c:v>99.201501121008647</c:v>
                </c:pt>
                <c:pt idx="21">
                  <c:v>99.196584045077813</c:v>
                </c:pt>
                <c:pt idx="22">
                  <c:v>99.191667717645799</c:v>
                </c:pt>
                <c:pt idx="23">
                  <c:v>99.186752138598678</c:v>
                </c:pt>
                <c:pt idx="24">
                  <c:v>99.181837307822533</c:v>
                </c:pt>
                <c:pt idx="25">
                  <c:v>99.176923225203439</c:v>
                </c:pt>
                <c:pt idx="26">
                  <c:v>99.172009890627521</c:v>
                </c:pt>
                <c:pt idx="27">
                  <c:v>99.16709730398091</c:v>
                </c:pt>
                <c:pt idx="28">
                  <c:v>99.162185465149733</c:v>
                </c:pt>
                <c:pt idx="29">
                  <c:v>99.157274374020176</c:v>
                </c:pt>
                <c:pt idx="30">
                  <c:v>99.15236403047841</c:v>
                </c:pt>
                <c:pt idx="31">
                  <c:v>99.147454434410633</c:v>
                </c:pt>
                <c:pt idx="32">
                  <c:v>99.142545585703076</c:v>
                </c:pt>
                <c:pt idx="33">
                  <c:v>99.137637484241964</c:v>
                </c:pt>
                <c:pt idx="34">
                  <c:v>99.13273012991354</c:v>
                </c:pt>
                <c:pt idx="35">
                  <c:v>99.127823522604075</c:v>
                </c:pt>
                <c:pt idx="36">
                  <c:v>99.122917662199868</c:v>
                </c:pt>
                <c:pt idx="37">
                  <c:v>99.118012548587217</c:v>
                </c:pt>
                <c:pt idx="38">
                  <c:v>99.113108181652422</c:v>
                </c:pt>
                <c:pt idx="39">
                  <c:v>99.108204561281838</c:v>
                </c:pt>
                <c:pt idx="40">
                  <c:v>99.103301687361821</c:v>
                </c:pt>
                <c:pt idx="41">
                  <c:v>99.098399559778727</c:v>
                </c:pt>
                <c:pt idx="42">
                  <c:v>99.093498178418969</c:v>
                </c:pt>
                <c:pt idx="43">
                  <c:v>99.088597543168959</c:v>
                </c:pt>
                <c:pt idx="44">
                  <c:v>99.083697653915067</c:v>
                </c:pt>
                <c:pt idx="45">
                  <c:v>99.078798510543805</c:v>
                </c:pt>
                <c:pt idx="46">
                  <c:v>99.073900112941573</c:v>
                </c:pt>
                <c:pt idx="47">
                  <c:v>99.069002460994881</c:v>
                </c:pt>
                <c:pt idx="48">
                  <c:v>99.064105554590213</c:v>
                </c:pt>
                <c:pt idx="49">
                  <c:v>99.059209393614083</c:v>
                </c:pt>
                <c:pt idx="50">
                  <c:v>99.054313977953001</c:v>
                </c:pt>
                <c:pt idx="51">
                  <c:v>99.049419307493537</c:v>
                </c:pt>
                <c:pt idx="52">
                  <c:v>99.044525382122231</c:v>
                </c:pt>
                <c:pt idx="53">
                  <c:v>99.039632201725681</c:v>
                </c:pt>
                <c:pt idx="54">
                  <c:v>99.034739766190484</c:v>
                </c:pt>
                <c:pt idx="55">
                  <c:v>99.029848075403237</c:v>
                </c:pt>
                <c:pt idx="56">
                  <c:v>99.024957129250566</c:v>
                </c:pt>
                <c:pt idx="57">
                  <c:v>99.020066927619155</c:v>
                </c:pt>
                <c:pt idx="58">
                  <c:v>99.015177470395628</c:v>
                </c:pt>
                <c:pt idx="59">
                  <c:v>99.010288757466697</c:v>
                </c:pt>
                <c:pt idx="60">
                  <c:v>99.005400788719058</c:v>
                </c:pt>
                <c:pt idx="61">
                  <c:v>99.000513564039423</c:v>
                </c:pt>
                <c:pt idx="62">
                  <c:v>98.995627083314531</c:v>
                </c:pt>
                <c:pt idx="63">
                  <c:v>98.990741346431122</c:v>
                </c:pt>
                <c:pt idx="64">
                  <c:v>98.985856353275963</c:v>
                </c:pt>
                <c:pt idx="65">
                  <c:v>98.980972103735866</c:v>
                </c:pt>
                <c:pt idx="66">
                  <c:v>98.976088597697611</c:v>
                </c:pt>
                <c:pt idx="67">
                  <c:v>98.971205835048039</c:v>
                </c:pt>
                <c:pt idx="68">
                  <c:v>98.96632381567396</c:v>
                </c:pt>
                <c:pt idx="69">
                  <c:v>98.961442539462254</c:v>
                </c:pt>
                <c:pt idx="70">
                  <c:v>98.956562006299791</c:v>
                </c:pt>
                <c:pt idx="71">
                  <c:v>98.951682216073436</c:v>
                </c:pt>
                <c:pt idx="72">
                  <c:v>98.946803168670129</c:v>
                </c:pt>
                <c:pt idx="73">
                  <c:v>98.941924863976794</c:v>
                </c:pt>
                <c:pt idx="74">
                  <c:v>98.937047301880341</c:v>
                </c:pt>
                <c:pt idx="75">
                  <c:v>98.93217048226775</c:v>
                </c:pt>
                <c:pt idx="76">
                  <c:v>98.927294405025989</c:v>
                </c:pt>
                <c:pt idx="77">
                  <c:v>98.922419070042068</c:v>
                </c:pt>
                <c:pt idx="78">
                  <c:v>98.917544477202966</c:v>
                </c:pt>
                <c:pt idx="79">
                  <c:v>98.912670626395737</c:v>
                </c:pt>
                <c:pt idx="80">
                  <c:v>98.907797517507433</c:v>
                </c:pt>
                <c:pt idx="81">
                  <c:v>98.902925150425091</c:v>
                </c:pt>
                <c:pt idx="82">
                  <c:v>98.898053525035792</c:v>
                </c:pt>
                <c:pt idx="83">
                  <c:v>98.893182641226645</c:v>
                </c:pt>
                <c:pt idx="84">
                  <c:v>98.888312498884758</c:v>
                </c:pt>
                <c:pt idx="85">
                  <c:v>98.883443097897256</c:v>
                </c:pt>
                <c:pt idx="86">
                  <c:v>98.878574438151304</c:v>
                </c:pt>
                <c:pt idx="87">
                  <c:v>98.873706519534053</c:v>
                </c:pt>
                <c:pt idx="88">
                  <c:v>98.868839341932684</c:v>
                </c:pt>
                <c:pt idx="89">
                  <c:v>98.863972905234391</c:v>
                </c:pt>
                <c:pt idx="90">
                  <c:v>98.859107209326424</c:v>
                </c:pt>
                <c:pt idx="91">
                  <c:v>98.854242254095965</c:v>
                </c:pt>
                <c:pt idx="92">
                  <c:v>98.849378039430306</c:v>
                </c:pt>
                <c:pt idx="93">
                  <c:v>98.844514565216713</c:v>
                </c:pt>
                <c:pt idx="94">
                  <c:v>98.839651831342437</c:v>
                </c:pt>
                <c:pt idx="95">
                  <c:v>98.834789837694814</c:v>
                </c:pt>
                <c:pt idx="96">
                  <c:v>98.829928584161152</c:v>
                </c:pt>
                <c:pt idx="97">
                  <c:v>98.825068070628788</c:v>
                </c:pt>
                <c:pt idx="98">
                  <c:v>98.820208296985072</c:v>
                </c:pt>
                <c:pt idx="99">
                  <c:v>98.815349263117369</c:v>
                </c:pt>
                <c:pt idx="100">
                  <c:v>98.810490968913086</c:v>
                </c:pt>
                <c:pt idx="101">
                  <c:v>98.805633414259631</c:v>
                </c:pt>
                <c:pt idx="102">
                  <c:v>98.800776599044397</c:v>
                </c:pt>
                <c:pt idx="103">
                  <c:v>98.795920523154848</c:v>
                </c:pt>
                <c:pt idx="104">
                  <c:v>98.79106518647842</c:v>
                </c:pt>
                <c:pt idx="105">
                  <c:v>98.78621058890262</c:v>
                </c:pt>
                <c:pt idx="106">
                  <c:v>98.781356730314897</c:v>
                </c:pt>
                <c:pt idx="107">
                  <c:v>98.776503610602802</c:v>
                </c:pt>
                <c:pt idx="108">
                  <c:v>98.771651229653827</c:v>
                </c:pt>
                <c:pt idx="109">
                  <c:v>98.766799587355521</c:v>
                </c:pt>
                <c:pt idx="110">
                  <c:v>98.761948683595449</c:v>
                </c:pt>
                <c:pt idx="111">
                  <c:v>98.757098518261202</c:v>
                </c:pt>
                <c:pt idx="112">
                  <c:v>98.752249091240344</c:v>
                </c:pt>
                <c:pt idx="113">
                  <c:v>98.74740040242051</c:v>
                </c:pt>
                <c:pt idx="114">
                  <c:v>98.742552451689306</c:v>
                </c:pt>
                <c:pt idx="115">
                  <c:v>98.73770523893441</c:v>
                </c:pt>
                <c:pt idx="116">
                  <c:v>98.732858764043442</c:v>
                </c:pt>
                <c:pt idx="117">
                  <c:v>98.728013026904108</c:v>
                </c:pt>
                <c:pt idx="118">
                  <c:v>98.7231680274041</c:v>
                </c:pt>
                <c:pt idx="119">
                  <c:v>98.718323765431123</c:v>
                </c:pt>
                <c:pt idx="120">
                  <c:v>98.713480240872912</c:v>
                </c:pt>
                <c:pt idx="121">
                  <c:v>98.708637453617229</c:v>
                </c:pt>
                <c:pt idx="122">
                  <c:v>98.703795403551823</c:v>
                </c:pt>
                <c:pt idx="123">
                  <c:v>98.69895409056447</c:v>
                </c:pt>
                <c:pt idx="124">
                  <c:v>98.694113514542991</c:v>
                </c:pt>
                <c:pt idx="125">
                  <c:v>98.689273675375176</c:v>
                </c:pt>
                <c:pt idx="126">
                  <c:v>98.684434572948874</c:v>
                </c:pt>
                <c:pt idx="127">
                  <c:v>98.679596207151931</c:v>
                </c:pt>
                <c:pt idx="128">
                  <c:v>98.674758577872211</c:v>
                </c:pt>
                <c:pt idx="129">
                  <c:v>98.669921684997604</c:v>
                </c:pt>
                <c:pt idx="130">
                  <c:v>98.665085528416014</c:v>
                </c:pt>
                <c:pt idx="131">
                  <c:v>98.660250108015347</c:v>
                </c:pt>
                <c:pt idx="132">
                  <c:v>98.65541542368355</c:v>
                </c:pt>
                <c:pt idx="133">
                  <c:v>98.65058147530857</c:v>
                </c:pt>
                <c:pt idx="134">
                  <c:v>98.645748262778369</c:v>
                </c:pt>
                <c:pt idx="135">
                  <c:v>98.640915785980951</c:v>
                </c:pt>
                <c:pt idx="136">
                  <c:v>98.636084044804292</c:v>
                </c:pt>
                <c:pt idx="137">
                  <c:v>98.631253039136453</c:v>
                </c:pt>
                <c:pt idx="138">
                  <c:v>98.626422768865439</c:v>
                </c:pt>
                <c:pt idx="139">
                  <c:v>98.62159323387931</c:v>
                </c:pt>
                <c:pt idx="140">
                  <c:v>98.616764434066141</c:v>
                </c:pt>
                <c:pt idx="141">
                  <c:v>98.611936369314037</c:v>
                </c:pt>
                <c:pt idx="142">
                  <c:v>98.607109039511073</c:v>
                </c:pt>
                <c:pt idx="143">
                  <c:v>98.602282444545395</c:v>
                </c:pt>
                <c:pt idx="144">
                  <c:v>98.597456584305149</c:v>
                </c:pt>
                <c:pt idx="145">
                  <c:v>98.592631458678454</c:v>
                </c:pt>
                <c:pt idx="146">
                  <c:v>98.587807067553513</c:v>
                </c:pt>
                <c:pt idx="147">
                  <c:v>98.582983410818528</c:v>
                </c:pt>
                <c:pt idx="148">
                  <c:v>98.578160488361675</c:v>
                </c:pt>
                <c:pt idx="149">
                  <c:v>98.573338300071214</c:v>
                </c:pt>
                <c:pt idx="150">
                  <c:v>98.568516845835347</c:v>
                </c:pt>
                <c:pt idx="151">
                  <c:v>98.563696125542378</c:v>
                </c:pt>
                <c:pt idx="152">
                  <c:v>98.558876139080539</c:v>
                </c:pt>
                <c:pt idx="153">
                  <c:v>98.554056886338145</c:v>
                </c:pt>
                <c:pt idx="154">
                  <c:v>98.549238367203515</c:v>
                </c:pt>
                <c:pt idx="155">
                  <c:v>98.544420581564964</c:v>
                </c:pt>
                <c:pt idx="156">
                  <c:v>98.539603529310824</c:v>
                </c:pt>
                <c:pt idx="157">
                  <c:v>98.534787210329483</c:v>
                </c:pt>
                <c:pt idx="158">
                  <c:v>98.529971624509301</c:v>
                </c:pt>
                <c:pt idx="159">
                  <c:v>98.525156771738665</c:v>
                </c:pt>
                <c:pt idx="160">
                  <c:v>98.52034265190602</c:v>
                </c:pt>
                <c:pt idx="161">
                  <c:v>98.515529264899754</c:v>
                </c:pt>
                <c:pt idx="162">
                  <c:v>98.510716610608355</c:v>
                </c:pt>
                <c:pt idx="163">
                  <c:v>98.505904688920253</c:v>
                </c:pt>
                <c:pt idx="164">
                  <c:v>98.501093499723936</c:v>
                </c:pt>
                <c:pt idx="165">
                  <c:v>98.496283042907905</c:v>
                </c:pt>
                <c:pt idx="166">
                  <c:v>98.491473318360676</c:v>
                </c:pt>
                <c:pt idx="167">
                  <c:v>98.486664325970779</c:v>
                </c:pt>
                <c:pt idx="168">
                  <c:v>98.481856065626758</c:v>
                </c:pt>
                <c:pt idx="169">
                  <c:v>98.477048537217172</c:v>
                </c:pt>
                <c:pt idx="170">
                  <c:v>98.472241740630622</c:v>
                </c:pt>
                <c:pt idx="171">
                  <c:v>98.467435675755681</c:v>
                </c:pt>
                <c:pt idx="172">
                  <c:v>98.462630342480992</c:v>
                </c:pt>
                <c:pt idx="173">
                  <c:v>98.457825740695171</c:v>
                </c:pt>
                <c:pt idx="174">
                  <c:v>98.453021870286861</c:v>
                </c:pt>
                <c:pt idx="175">
                  <c:v>98.448218731144749</c:v>
                </c:pt>
                <c:pt idx="176">
                  <c:v>98.443416323157493</c:v>
                </c:pt>
                <c:pt idx="177">
                  <c:v>98.438614646213821</c:v>
                </c:pt>
                <c:pt idx="178">
                  <c:v>98.433813700202435</c:v>
                </c:pt>
                <c:pt idx="179">
                  <c:v>98.429013485012064</c:v>
                </c:pt>
                <c:pt idx="180">
                  <c:v>98.424214000531478</c:v>
                </c:pt>
                <c:pt idx="181">
                  <c:v>98.419415246649422</c:v>
                </c:pt>
                <c:pt idx="182">
                  <c:v>98.414617223254709</c:v>
                </c:pt>
                <c:pt idx="183">
                  <c:v>98.409819930236111</c:v>
                </c:pt>
                <c:pt idx="184">
                  <c:v>98.405023367482471</c:v>
                </c:pt>
                <c:pt idx="185">
                  <c:v>98.400227534882603</c:v>
                </c:pt>
                <c:pt idx="186">
                  <c:v>98.395432432325379</c:v>
                </c:pt>
                <c:pt idx="187">
                  <c:v>98.390638059699654</c:v>
                </c:pt>
                <c:pt idx="188">
                  <c:v>98.385844416894329</c:v>
                </c:pt>
                <c:pt idx="189">
                  <c:v>98.381051503798304</c:v>
                </c:pt>
                <c:pt idx="190">
                  <c:v>98.376259320300491</c:v>
                </c:pt>
                <c:pt idx="191">
                  <c:v>98.371467866289834</c:v>
                </c:pt>
                <c:pt idx="192">
                  <c:v>98.366677141655288</c:v>
                </c:pt>
                <c:pt idx="193">
                  <c:v>98.36188714628581</c:v>
                </c:pt>
                <c:pt idx="194">
                  <c:v>98.357097880070413</c:v>
                </c:pt>
                <c:pt idx="195">
                  <c:v>98.352309342898081</c:v>
                </c:pt>
                <c:pt idx="196">
                  <c:v>98.347521534657858</c:v>
                </c:pt>
                <c:pt idx="197">
                  <c:v>98.342734455238741</c:v>
                </c:pt>
                <c:pt idx="198">
                  <c:v>98.337948104529829</c:v>
                </c:pt>
                <c:pt idx="199">
                  <c:v>98.333162482420192</c:v>
                </c:pt>
                <c:pt idx="200">
                  <c:v>98.328377588798887</c:v>
                </c:pt>
                <c:pt idx="201">
                  <c:v>98.323593423555053</c:v>
                </c:pt>
                <c:pt idx="202">
                  <c:v>98.31880998657779</c:v>
                </c:pt>
                <c:pt idx="203">
                  <c:v>98.314027277756253</c:v>
                </c:pt>
                <c:pt idx="204">
                  <c:v>98.309245296979583</c:v>
                </c:pt>
                <c:pt idx="205">
                  <c:v>98.304464044136978</c:v>
                </c:pt>
                <c:pt idx="206">
                  <c:v>98.299683519117607</c:v>
                </c:pt>
                <c:pt idx="207">
                  <c:v>98.294903721810684</c:v>
                </c:pt>
                <c:pt idx="208">
                  <c:v>98.290124652105447</c:v>
                </c:pt>
                <c:pt idx="209">
                  <c:v>98.285346309891111</c:v>
                </c:pt>
                <c:pt idx="210">
                  <c:v>98.280568695056957</c:v>
                </c:pt>
                <c:pt idx="211">
                  <c:v>98.275791807492254</c:v>
                </c:pt>
                <c:pt idx="212">
                  <c:v>98.271015647086273</c:v>
                </c:pt>
                <c:pt idx="213">
                  <c:v>98.266240213728366</c:v>
                </c:pt>
                <c:pt idx="214">
                  <c:v>98.261465507307818</c:v>
                </c:pt>
                <c:pt idx="215">
                  <c:v>98.256691527713997</c:v>
                </c:pt>
                <c:pt idx="216">
                  <c:v>98.251918274836243</c:v>
                </c:pt>
                <c:pt idx="217">
                  <c:v>98.247145748563938</c:v>
                </c:pt>
                <c:pt idx="218">
                  <c:v>98.242373948786494</c:v>
                </c:pt>
                <c:pt idx="219">
                  <c:v>98.237602875393293</c:v>
                </c:pt>
                <c:pt idx="220">
                  <c:v>98.232832528273775</c:v>
                </c:pt>
                <c:pt idx="221">
                  <c:v>98.228062907317394</c:v>
                </c:pt>
                <c:pt idx="222">
                  <c:v>98.223294012413589</c:v>
                </c:pt>
                <c:pt idx="223">
                  <c:v>98.218525843451843</c:v>
                </c:pt>
                <c:pt idx="224">
                  <c:v>98.213758400321666</c:v>
                </c:pt>
                <c:pt idx="225">
                  <c:v>98.20899168291254</c:v>
                </c:pt>
                <c:pt idx="226">
                  <c:v>98.204225691114019</c:v>
                </c:pt>
                <c:pt idx="227">
                  <c:v>98.199460424815641</c:v>
                </c:pt>
                <c:pt idx="228">
                  <c:v>98.194695883906945</c:v>
                </c:pt>
                <c:pt idx="229">
                  <c:v>98.189932068277542</c:v>
                </c:pt>
                <c:pt idx="230">
                  <c:v>98.185168977817</c:v>
                </c:pt>
                <c:pt idx="231">
                  <c:v>98.18040661241497</c:v>
                </c:pt>
                <c:pt idx="232">
                  <c:v>98.17564497196102</c:v>
                </c:pt>
                <c:pt idx="233">
                  <c:v>98.170884056344846</c:v>
                </c:pt>
                <c:pt idx="234">
                  <c:v>98.1661238654561</c:v>
                </c:pt>
                <c:pt idx="235">
                  <c:v>98.161364399184436</c:v>
                </c:pt>
                <c:pt idx="236">
                  <c:v>98.156605657419576</c:v>
                </c:pt>
                <c:pt idx="237">
                  <c:v>98.15184764005123</c:v>
                </c:pt>
                <c:pt idx="238">
                  <c:v>98.147090346969108</c:v>
                </c:pt>
                <c:pt idx="239">
                  <c:v>98.142333778062977</c:v>
                </c:pt>
                <c:pt idx="240">
                  <c:v>98.137577933222587</c:v>
                </c:pt>
                <c:pt idx="241">
                  <c:v>98.132822812337722</c:v>
                </c:pt>
                <c:pt idx="242">
                  <c:v>98.128068415298173</c:v>
                </c:pt>
                <c:pt idx="243">
                  <c:v>98.123314741993767</c:v>
                </c:pt>
                <c:pt idx="244">
                  <c:v>98.118561792314324</c:v>
                </c:pt>
                <c:pt idx="245">
                  <c:v>98.113809566149683</c:v>
                </c:pt>
                <c:pt idx="246">
                  <c:v>98.109058063389725</c:v>
                </c:pt>
                <c:pt idx="247">
                  <c:v>98.104307283924328</c:v>
                </c:pt>
                <c:pt idx="248">
                  <c:v>98.099557227643373</c:v>
                </c:pt>
                <c:pt idx="249">
                  <c:v>98.094807894436769</c:v>
                </c:pt>
                <c:pt idx="250">
                  <c:v>98.090059284194481</c:v>
                </c:pt>
                <c:pt idx="251">
                  <c:v>98.085311396806432</c:v>
                </c:pt>
                <c:pt idx="252">
                  <c:v>98.080564232162587</c:v>
                </c:pt>
                <c:pt idx="253">
                  <c:v>98.075817790152925</c:v>
                </c:pt>
                <c:pt idx="254">
                  <c:v>98.071072070667455</c:v>
                </c:pt>
                <c:pt idx="255">
                  <c:v>98.06632707359617</c:v>
                </c:pt>
                <c:pt idx="256">
                  <c:v>98.061582798829136</c:v>
                </c:pt>
                <c:pt idx="257">
                  <c:v>98.056839246256374</c:v>
                </c:pt>
                <c:pt idx="258">
                  <c:v>98.052096415767934</c:v>
                </c:pt>
                <c:pt idx="259">
                  <c:v>98.04735430725394</c:v>
                </c:pt>
                <c:pt idx="260">
                  <c:v>98.042612920604455</c:v>
                </c:pt>
                <c:pt idx="261">
                  <c:v>98.037872255709601</c:v>
                </c:pt>
                <c:pt idx="262">
                  <c:v>98.033132312459529</c:v>
                </c:pt>
                <c:pt idx="263">
                  <c:v>98.028393090744373</c:v>
                </c:pt>
                <c:pt idx="264">
                  <c:v>98.023654590454285</c:v>
                </c:pt>
                <c:pt idx="265">
                  <c:v>98.018916811479471</c:v>
                </c:pt>
                <c:pt idx="266">
                  <c:v>98.014179753710096</c:v>
                </c:pt>
                <c:pt idx="267">
                  <c:v>98.009443417036408</c:v>
                </c:pt>
                <c:pt idx="268">
                  <c:v>98.00470780134863</c:v>
                </c:pt>
                <c:pt idx="269">
                  <c:v>97.99997290653701</c:v>
                </c:pt>
                <c:pt idx="270">
                  <c:v>97.995238732491799</c:v>
                </c:pt>
                <c:pt idx="271">
                  <c:v>97.990505279103303</c:v>
                </c:pt>
                <c:pt idx="272">
                  <c:v>97.985772546261785</c:v>
                </c:pt>
                <c:pt idx="273">
                  <c:v>97.981040533857595</c:v>
                </c:pt>
                <c:pt idx="274">
                  <c:v>97.976309241781053</c:v>
                </c:pt>
                <c:pt idx="275">
                  <c:v>97.971578669922508</c:v>
                </c:pt>
                <c:pt idx="276">
                  <c:v>97.966848818172309</c:v>
                </c:pt>
                <c:pt idx="277">
                  <c:v>97.962119686420877</c:v>
                </c:pt>
                <c:pt idx="278">
                  <c:v>97.957391274558574</c:v>
                </c:pt>
                <c:pt idx="279">
                  <c:v>97.952663582475822</c:v>
                </c:pt>
                <c:pt idx="280">
                  <c:v>97.947936610063067</c:v>
                </c:pt>
                <c:pt idx="281">
                  <c:v>97.943210357210745</c:v>
                </c:pt>
                <c:pt idx="282">
                  <c:v>97.938484823809333</c:v>
                </c:pt>
                <c:pt idx="283">
                  <c:v>97.933760009749292</c:v>
                </c:pt>
                <c:pt idx="284">
                  <c:v>97.929035914921144</c:v>
                </c:pt>
                <c:pt idx="285">
                  <c:v>97.924312539215393</c:v>
                </c:pt>
                <c:pt idx="286">
                  <c:v>97.919589882522573</c:v>
                </c:pt>
                <c:pt idx="287">
                  <c:v>97.914867944733231</c:v>
                </c:pt>
                <c:pt idx="288">
                  <c:v>97.910146725737945</c:v>
                </c:pt>
                <c:pt idx="289">
                  <c:v>97.905426225427277</c:v>
                </c:pt>
                <c:pt idx="290">
                  <c:v>97.900706443691831</c:v>
                </c:pt>
                <c:pt idx="291">
                  <c:v>97.895987380422241</c:v>
                </c:pt>
                <c:pt idx="292">
                  <c:v>97.891269035509112</c:v>
                </c:pt>
                <c:pt idx="293">
                  <c:v>97.886551408843104</c:v>
                </c:pt>
                <c:pt idx="294">
                  <c:v>97.881834500314881</c:v>
                </c:pt>
                <c:pt idx="295">
                  <c:v>97.877118309815131</c:v>
                </c:pt>
                <c:pt idx="296">
                  <c:v>97.872402837234546</c:v>
                </c:pt>
                <c:pt idx="297">
                  <c:v>97.867688082463843</c:v>
                </c:pt>
                <c:pt idx="298">
                  <c:v>97.86297404539377</c:v>
                </c:pt>
                <c:pt idx="299">
                  <c:v>97.858260725915045</c:v>
                </c:pt>
                <c:pt idx="300">
                  <c:v>97.853548123918443</c:v>
                </c:pt>
                <c:pt idx="301">
                  <c:v>97.848836239294755</c:v>
                </c:pt>
                <c:pt idx="302">
                  <c:v>97.844125071934783</c:v>
                </c:pt>
                <c:pt idx="303">
                  <c:v>97.839414621729333</c:v>
                </c:pt>
                <c:pt idx="304">
                  <c:v>97.834704888569235</c:v>
                </c:pt>
                <c:pt idx="305">
                  <c:v>97.829995872345336</c:v>
                </c:pt>
                <c:pt idx="306">
                  <c:v>97.825287572948511</c:v>
                </c:pt>
                <c:pt idx="307">
                  <c:v>97.820579990269636</c:v>
                </c:pt>
                <c:pt idx="308">
                  <c:v>97.815873124199598</c:v>
                </c:pt>
                <c:pt idx="309">
                  <c:v>97.811166974629316</c:v>
                </c:pt>
                <c:pt idx="310">
                  <c:v>97.80646154144975</c:v>
                </c:pt>
                <c:pt idx="311">
                  <c:v>97.801756824551816</c:v>
                </c:pt>
                <c:pt idx="312">
                  <c:v>97.797052823826476</c:v>
                </c:pt>
                <c:pt idx="313">
                  <c:v>97.792349539164746</c:v>
                </c:pt>
                <c:pt idx="314">
                  <c:v>97.787646970457587</c:v>
                </c:pt>
                <c:pt idx="315">
                  <c:v>97.782945117596014</c:v>
                </c:pt>
                <c:pt idx="316">
                  <c:v>97.778243980471089</c:v>
                </c:pt>
                <c:pt idx="317">
                  <c:v>97.773543558973827</c:v>
                </c:pt>
                <c:pt idx="318">
                  <c:v>97.768843852995317</c:v>
                </c:pt>
                <c:pt idx="319">
                  <c:v>97.764144862426633</c:v>
                </c:pt>
                <c:pt idx="320">
                  <c:v>97.759446587158848</c:v>
                </c:pt>
                <c:pt idx="321">
                  <c:v>97.754749027083108</c:v>
                </c:pt>
                <c:pt idx="322">
                  <c:v>97.750052182090528</c:v>
                </c:pt>
                <c:pt idx="323">
                  <c:v>97.745356052072268</c:v>
                </c:pt>
                <c:pt idx="324">
                  <c:v>97.740660636919472</c:v>
                </c:pt>
                <c:pt idx="325">
                  <c:v>97.735965936523328</c:v>
                </c:pt>
                <c:pt idx="326">
                  <c:v>97.731271950775039</c:v>
                </c:pt>
                <c:pt idx="327">
                  <c:v>97.726578679565804</c:v>
                </c:pt>
                <c:pt idx="328">
                  <c:v>97.721886122786856</c:v>
                </c:pt>
                <c:pt idx="329">
                  <c:v>97.717194280329466</c:v>
                </c:pt>
                <c:pt idx="330">
                  <c:v>97.712503152084878</c:v>
                </c:pt>
                <c:pt idx="331">
                  <c:v>97.707812737944352</c:v>
                </c:pt>
                <c:pt idx="332">
                  <c:v>97.703123037799216</c:v>
                </c:pt>
                <c:pt idx="333">
                  <c:v>97.698434051540772</c:v>
                </c:pt>
                <c:pt idx="334">
                  <c:v>97.693745779060336</c:v>
                </c:pt>
                <c:pt idx="335">
                  <c:v>97.689058220249279</c:v>
                </c:pt>
                <c:pt idx="336">
                  <c:v>97.684371374998932</c:v>
                </c:pt>
                <c:pt idx="337">
                  <c:v>97.679685243200694</c:v>
                </c:pt>
                <c:pt idx="338">
                  <c:v>97.674999824745967</c:v>
                </c:pt>
                <c:pt idx="339">
                  <c:v>97.670315119526151</c:v>
                </c:pt>
                <c:pt idx="340">
                  <c:v>97.665631127432661</c:v>
                </c:pt>
                <c:pt idx="341">
                  <c:v>97.660947848356969</c:v>
                </c:pt>
                <c:pt idx="342">
                  <c:v>97.656265282190517</c:v>
                </c:pt>
                <c:pt idx="343">
                  <c:v>97.651583428824793</c:v>
                </c:pt>
                <c:pt idx="344">
                  <c:v>97.646902288151281</c:v>
                </c:pt>
                <c:pt idx="345">
                  <c:v>97.642221860061511</c:v>
                </c:pt>
                <c:pt idx="346">
                  <c:v>97.637542144446982</c:v>
                </c:pt>
                <c:pt idx="347">
                  <c:v>97.632863141199266</c:v>
                </c:pt>
                <c:pt idx="348">
                  <c:v>97.628184850209905</c:v>
                </c:pt>
                <c:pt idx="349">
                  <c:v>97.623507271370485</c:v>
                </c:pt>
                <c:pt idx="350">
                  <c:v>97.618830404572591</c:v>
                </c:pt>
                <c:pt idx="351">
                  <c:v>97.614154249707838</c:v>
                </c:pt>
                <c:pt idx="352">
                  <c:v>97.609478806667866</c:v>
                </c:pt>
                <c:pt idx="353">
                  <c:v>97.60480407534429</c:v>
                </c:pt>
                <c:pt idx="354">
                  <c:v>97.600130055628796</c:v>
                </c:pt>
                <c:pt idx="355">
                  <c:v>97.595456747413039</c:v>
                </c:pt>
                <c:pt idx="356">
                  <c:v>97.590784150588718</c:v>
                </c:pt>
                <c:pt idx="357">
                  <c:v>97.586112265047547</c:v>
                </c:pt>
                <c:pt idx="358">
                  <c:v>97.581441090681267</c:v>
                </c:pt>
                <c:pt idx="359">
                  <c:v>97.576770627381578</c:v>
                </c:pt>
                <c:pt idx="360">
                  <c:v>97.572100875040263</c:v>
                </c:pt>
                <c:pt idx="361">
                  <c:v>97.567431833549108</c:v>
                </c:pt>
                <c:pt idx="362">
                  <c:v>97.562763502799896</c:v>
                </c:pt>
                <c:pt idx="363">
                  <c:v>97.558095882684412</c:v>
                </c:pt>
                <c:pt idx="364">
                  <c:v>97.553428973094498</c:v>
                </c:pt>
                <c:pt idx="365">
                  <c:v>97.548762773922022</c:v>
                </c:pt>
                <c:pt idx="366">
                  <c:v>97.544097285058797</c:v>
                </c:pt>
                <c:pt idx="367">
                  <c:v>97.539432506396707</c:v>
                </c:pt>
                <c:pt idx="368">
                  <c:v>97.534768437827665</c:v>
                </c:pt>
                <c:pt idx="369">
                  <c:v>97.530105079243555</c:v>
                </c:pt>
                <c:pt idx="370">
                  <c:v>97.525442430536302</c:v>
                </c:pt>
                <c:pt idx="371">
                  <c:v>97.520780491597861</c:v>
                </c:pt>
                <c:pt idx="372">
                  <c:v>97.51611926232016</c:v>
                </c:pt>
                <c:pt idx="373">
                  <c:v>97.51145874259521</c:v>
                </c:pt>
                <c:pt idx="374">
                  <c:v>97.506798932314965</c:v>
                </c:pt>
                <c:pt idx="375">
                  <c:v>97.502139831371437</c:v>
                </c:pt>
                <c:pt idx="376">
                  <c:v>97.497481439656667</c:v>
                </c:pt>
                <c:pt idx="377">
                  <c:v>97.492823757062681</c:v>
                </c:pt>
                <c:pt idx="378">
                  <c:v>97.488166783481532</c:v>
                </c:pt>
                <c:pt idx="379">
                  <c:v>97.483510518805289</c:v>
                </c:pt>
                <c:pt idx="380">
                  <c:v>97.478854962926036</c:v>
                </c:pt>
                <c:pt idx="381">
                  <c:v>97.474200115735897</c:v>
                </c:pt>
                <c:pt idx="382">
                  <c:v>97.46954597712697</c:v>
                </c:pt>
                <c:pt idx="383">
                  <c:v>97.464892546991393</c:v>
                </c:pt>
                <c:pt idx="384">
                  <c:v>97.460239825221336</c:v>
                </c:pt>
                <c:pt idx="385">
                  <c:v>97.455587811708952</c:v>
                </c:pt>
                <c:pt idx="386">
                  <c:v>97.450936506346437</c:v>
                </c:pt>
                <c:pt idx="387">
                  <c:v>97.446285909025988</c:v>
                </c:pt>
                <c:pt idx="388">
                  <c:v>97.44163601963983</c:v>
                </c:pt>
                <c:pt idx="389">
                  <c:v>97.436986838080202</c:v>
                </c:pt>
                <c:pt idx="390">
                  <c:v>97.432338364239328</c:v>
                </c:pt>
                <c:pt idx="391">
                  <c:v>97.427690598009505</c:v>
                </c:pt>
                <c:pt idx="392">
                  <c:v>97.423043539283</c:v>
                </c:pt>
                <c:pt idx="393">
                  <c:v>97.418397187952124</c:v>
                </c:pt>
                <c:pt idx="394">
                  <c:v>97.4137515439092</c:v>
                </c:pt>
                <c:pt idx="395">
                  <c:v>97.409106607046553</c:v>
                </c:pt>
                <c:pt idx="396">
                  <c:v>97.404462377256522</c:v>
                </c:pt>
                <c:pt idx="397">
                  <c:v>97.399818854431487</c:v>
                </c:pt>
                <c:pt idx="398">
                  <c:v>97.395176038463831</c:v>
                </c:pt>
                <c:pt idx="399">
                  <c:v>97.390533929245947</c:v>
                </c:pt>
                <c:pt idx="400">
                  <c:v>97.385892526670261</c:v>
                </c:pt>
                <c:pt idx="401">
                  <c:v>97.381251830629196</c:v>
                </c:pt>
                <c:pt idx="402">
                  <c:v>97.37661184101519</c:v>
                </c:pt>
                <c:pt idx="403">
                  <c:v>97.371972557720724</c:v>
                </c:pt>
                <c:pt idx="404">
                  <c:v>97.367333980638278</c:v>
                </c:pt>
                <c:pt idx="405">
                  <c:v>97.362696109660334</c:v>
                </c:pt>
                <c:pt idx="406">
                  <c:v>97.358058944679428</c:v>
                </c:pt>
                <c:pt idx="407">
                  <c:v>97.353422485588084</c:v>
                </c:pt>
                <c:pt idx="408">
                  <c:v>97.348786732278825</c:v>
                </c:pt>
                <c:pt idx="409">
                  <c:v>97.34415168464426</c:v>
                </c:pt>
                <c:pt idx="410">
                  <c:v>97.339517342576912</c:v>
                </c:pt>
                <c:pt idx="411">
                  <c:v>97.334883705969418</c:v>
                </c:pt>
                <c:pt idx="412">
                  <c:v>97.330250774714372</c:v>
                </c:pt>
                <c:pt idx="413">
                  <c:v>97.325618548704412</c:v>
                </c:pt>
                <c:pt idx="414">
                  <c:v>97.320987027832174</c:v>
                </c:pt>
                <c:pt idx="415">
                  <c:v>97.316356211990325</c:v>
                </c:pt>
                <c:pt idx="416">
                  <c:v>97.311726101071542</c:v>
                </c:pt>
                <c:pt idx="417">
                  <c:v>97.307096694968507</c:v>
                </c:pt>
                <c:pt idx="418">
                  <c:v>97.302467993573941</c:v>
                </c:pt>
                <c:pt idx="419">
                  <c:v>97.297839996780567</c:v>
                </c:pt>
                <c:pt idx="420">
                  <c:v>97.293212704481135</c:v>
                </c:pt>
                <c:pt idx="421">
                  <c:v>97.288586116568382</c:v>
                </c:pt>
                <c:pt idx="422">
                  <c:v>97.283960232935115</c:v>
                </c:pt>
                <c:pt idx="423">
                  <c:v>97.279335053474099</c:v>
                </c:pt>
                <c:pt idx="424">
                  <c:v>97.274710578078157</c:v>
                </c:pt>
                <c:pt idx="425">
                  <c:v>97.270086806640109</c:v>
                </c:pt>
                <c:pt idx="426">
                  <c:v>97.265463739052791</c:v>
                </c:pt>
                <c:pt idx="427">
                  <c:v>97.260841375209054</c:v>
                </c:pt>
                <c:pt idx="428">
                  <c:v>97.256219715001791</c:v>
                </c:pt>
                <c:pt idx="429">
                  <c:v>97.25159875832388</c:v>
                </c:pt>
                <c:pt idx="430">
                  <c:v>97.246978505068228</c:v>
                </c:pt>
                <c:pt idx="431">
                  <c:v>97.242358955127756</c:v>
                </c:pt>
                <c:pt idx="432">
                  <c:v>97.2377401083954</c:v>
                </c:pt>
                <c:pt idx="433">
                  <c:v>97.233121964764109</c:v>
                </c:pt>
                <c:pt idx="434">
                  <c:v>97.228504524126862</c:v>
                </c:pt>
                <c:pt idx="435">
                  <c:v>97.223887786376665</c:v>
                </c:pt>
                <c:pt idx="436">
                  <c:v>97.219271751406481</c:v>
                </c:pt>
                <c:pt idx="437">
                  <c:v>97.21465641910936</c:v>
                </c:pt>
                <c:pt idx="438">
                  <c:v>97.210041789378337</c:v>
                </c:pt>
                <c:pt idx="439">
                  <c:v>97.205427862106447</c:v>
                </c:pt>
                <c:pt idx="440">
                  <c:v>97.200814637186781</c:v>
                </c:pt>
                <c:pt idx="441">
                  <c:v>97.196202114512403</c:v>
                </c:pt>
                <c:pt idx="442">
                  <c:v>97.191590293976418</c:v>
                </c:pt>
                <c:pt idx="443">
                  <c:v>97.186979175471947</c:v>
                </c:pt>
                <c:pt idx="444">
                  <c:v>97.182368758892125</c:v>
                </c:pt>
                <c:pt idx="445">
                  <c:v>97.177759044130099</c:v>
                </c:pt>
                <c:pt idx="446">
                  <c:v>97.173150031079047</c:v>
                </c:pt>
                <c:pt idx="447">
                  <c:v>97.168541719632131</c:v>
                </c:pt>
                <c:pt idx="448">
                  <c:v>97.163934109682572</c:v>
                </c:pt>
                <c:pt idx="449">
                  <c:v>97.159327201123574</c:v>
                </c:pt>
                <c:pt idx="450">
                  <c:v>97.154720993848358</c:v>
                </c:pt>
                <c:pt idx="451">
                  <c:v>97.150115487750185</c:v>
                </c:pt>
                <c:pt idx="452">
                  <c:v>97.145510682722318</c:v>
                </c:pt>
                <c:pt idx="453">
                  <c:v>97.140906578658019</c:v>
                </c:pt>
                <c:pt idx="454">
                  <c:v>97.136303175450621</c:v>
                </c:pt>
                <c:pt idx="455">
                  <c:v>97.131700472993401</c:v>
                </c:pt>
                <c:pt idx="456">
                  <c:v>97.127098471179707</c:v>
                </c:pt>
                <c:pt idx="457">
                  <c:v>97.122497169902886</c:v>
                </c:pt>
                <c:pt idx="458">
                  <c:v>97.117896569056285</c:v>
                </c:pt>
                <c:pt idx="459">
                  <c:v>97.11329666853328</c:v>
                </c:pt>
                <c:pt idx="460">
                  <c:v>97.108697468227277</c:v>
                </c:pt>
                <c:pt idx="461">
                  <c:v>97.104098968031693</c:v>
                </c:pt>
                <c:pt idx="462">
                  <c:v>97.099501167839932</c:v>
                </c:pt>
                <c:pt idx="463">
                  <c:v>97.094904067545457</c:v>
                </c:pt>
                <c:pt idx="464">
                  <c:v>97.090307667041714</c:v>
                </c:pt>
                <c:pt idx="465">
                  <c:v>97.085711966222163</c:v>
                </c:pt>
                <c:pt idx="466">
                  <c:v>97.081116964980339</c:v>
                </c:pt>
                <c:pt idx="467">
                  <c:v>97.076522663209701</c:v>
                </c:pt>
                <c:pt idx="468">
                  <c:v>97.071929060803811</c:v>
                </c:pt>
                <c:pt idx="469">
                  <c:v>97.067336157656186</c:v>
                </c:pt>
                <c:pt idx="470">
                  <c:v>97.062743953660387</c:v>
                </c:pt>
                <c:pt idx="471">
                  <c:v>97.05815244870999</c:v>
                </c:pt>
                <c:pt idx="472">
                  <c:v>97.053561642698583</c:v>
                </c:pt>
                <c:pt idx="473">
                  <c:v>97.048971535519755</c:v>
                </c:pt>
                <c:pt idx="474">
                  <c:v>97.044382127067138</c:v>
                </c:pt>
                <c:pt idx="475">
                  <c:v>97.039793417234392</c:v>
                </c:pt>
                <c:pt idx="476">
                  <c:v>97.035205405915121</c:v>
                </c:pt>
                <c:pt idx="477">
                  <c:v>97.030618093003042</c:v>
                </c:pt>
                <c:pt idx="478">
                  <c:v>97.026031478391815</c:v>
                </c:pt>
                <c:pt idx="479">
                  <c:v>97.021445561975142</c:v>
                </c:pt>
                <c:pt idx="480">
                  <c:v>97.016860343646755</c:v>
                </c:pt>
                <c:pt idx="481">
                  <c:v>97.012275823300371</c:v>
                </c:pt>
                <c:pt idx="482">
                  <c:v>97.007692000829735</c:v>
                </c:pt>
                <c:pt idx="483">
                  <c:v>97.00310887612865</c:v>
                </c:pt>
                <c:pt idx="484">
                  <c:v>96.998526449090861</c:v>
                </c:pt>
                <c:pt idx="485">
                  <c:v>96.99394471961017</c:v>
                </c:pt>
                <c:pt idx="486">
                  <c:v>96.989363687580408</c:v>
                </c:pt>
                <c:pt idx="487">
                  <c:v>96.984783352895406</c:v>
                </c:pt>
                <c:pt idx="488">
                  <c:v>96.980203715449008</c:v>
                </c:pt>
                <c:pt idx="489">
                  <c:v>96.97562477513506</c:v>
                </c:pt>
                <c:pt idx="490">
                  <c:v>96.971046531847463</c:v>
                </c:pt>
                <c:pt idx="491">
                  <c:v>96.966468985480105</c:v>
                </c:pt>
                <c:pt idx="492">
                  <c:v>96.961892135926888</c:v>
                </c:pt>
                <c:pt idx="493">
                  <c:v>96.95731598308177</c:v>
                </c:pt>
                <c:pt idx="494">
                  <c:v>96.952740526838653</c:v>
                </c:pt>
                <c:pt idx="495">
                  <c:v>96.948165767091524</c:v>
                </c:pt>
                <c:pt idx="496">
                  <c:v>96.94359170373437</c:v>
                </c:pt>
                <c:pt idx="497">
                  <c:v>96.93901833666115</c:v>
                </c:pt>
                <c:pt idx="498">
                  <c:v>96.934445665765892</c:v>
                </c:pt>
                <c:pt idx="499">
                  <c:v>96.929873690942628</c:v>
                </c:pt>
                <c:pt idx="500">
                  <c:v>96.925302412085387</c:v>
                </c:pt>
                <c:pt idx="501">
                  <c:v>96.920731829088226</c:v>
                </c:pt>
                <c:pt idx="502">
                  <c:v>96.916161941845218</c:v>
                </c:pt>
                <c:pt idx="503">
                  <c:v>96.911592750250463</c:v>
                </c:pt>
                <c:pt idx="504">
                  <c:v>96.907024254198049</c:v>
                </c:pt>
                <c:pt idx="505">
                  <c:v>96.902456453582104</c:v>
                </c:pt>
                <c:pt idx="506">
                  <c:v>96.897889348296786</c:v>
                </c:pt>
                <c:pt idx="507">
                  <c:v>96.89332293823621</c:v>
                </c:pt>
                <c:pt idx="508">
                  <c:v>96.88875722329459</c:v>
                </c:pt>
                <c:pt idx="509">
                  <c:v>96.884192203366069</c:v>
                </c:pt>
                <c:pt idx="510">
                  <c:v>96.879627878344877</c:v>
                </c:pt>
                <c:pt idx="511">
                  <c:v>96.875064248125227</c:v>
                </c:pt>
                <c:pt idx="512">
                  <c:v>96.870501312601348</c:v>
                </c:pt>
                <c:pt idx="513">
                  <c:v>96.865939071667498</c:v>
                </c:pt>
                <c:pt idx="514">
                  <c:v>96.861377525217932</c:v>
                </c:pt>
                <c:pt idx="515">
                  <c:v>96.856816673146938</c:v>
                </c:pt>
                <c:pt idx="516">
                  <c:v>96.852256515348813</c:v>
                </c:pt>
                <c:pt idx="517">
                  <c:v>96.847697051717887</c:v>
                </c:pt>
                <c:pt idx="518">
                  <c:v>96.843138282148473</c:v>
                </c:pt>
                <c:pt idx="519">
                  <c:v>96.838580206534914</c:v>
                </c:pt>
                <c:pt idx="520">
                  <c:v>96.834022824771594</c:v>
                </c:pt>
                <c:pt idx="521">
                  <c:v>96.82946613675287</c:v>
                </c:pt>
                <c:pt idx="522">
                  <c:v>96.82491014237317</c:v>
                </c:pt>
                <c:pt idx="523">
                  <c:v>96.820354841526864</c:v>
                </c:pt>
                <c:pt idx="524">
                  <c:v>96.815800234108394</c:v>
                </c:pt>
                <c:pt idx="525">
                  <c:v>96.811246320012216</c:v>
                </c:pt>
                <c:pt idx="526">
                  <c:v>96.806693099132772</c:v>
                </c:pt>
                <c:pt idx="527">
                  <c:v>96.802140571364561</c:v>
                </c:pt>
                <c:pt idx="528">
                  <c:v>96.797588736602052</c:v>
                </c:pt>
                <c:pt idx="529">
                  <c:v>96.793037594739758</c:v>
                </c:pt>
                <c:pt idx="530">
                  <c:v>96.788487145672207</c:v>
                </c:pt>
                <c:pt idx="531">
                  <c:v>96.783937389293925</c:v>
                </c:pt>
                <c:pt idx="532">
                  <c:v>96.779388325499497</c:v>
                </c:pt>
                <c:pt idx="533">
                  <c:v>96.774839954183477</c:v>
                </c:pt>
                <c:pt idx="534">
                  <c:v>96.77029227524045</c:v>
                </c:pt>
                <c:pt idx="535">
                  <c:v>96.765745288565014</c:v>
                </c:pt>
                <c:pt idx="536">
                  <c:v>96.76119899405181</c:v>
                </c:pt>
                <c:pt idx="537">
                  <c:v>96.756653391595449</c:v>
                </c:pt>
                <c:pt idx="538">
                  <c:v>96.752108481090616</c:v>
                </c:pt>
                <c:pt idx="539">
                  <c:v>96.747564262431951</c:v>
                </c:pt>
                <c:pt idx="540">
                  <c:v>96.743020735514136</c:v>
                </c:pt>
                <c:pt idx="541">
                  <c:v>96.738477900231899</c:v>
                </c:pt>
                <c:pt idx="542">
                  <c:v>96.733935756479937</c:v>
                </c:pt>
                <c:pt idx="543">
                  <c:v>96.729394304152976</c:v>
                </c:pt>
                <c:pt idx="544">
                  <c:v>96.72485354314577</c:v>
                </c:pt>
                <c:pt idx="545">
                  <c:v>96.720313473353102</c:v>
                </c:pt>
                <c:pt idx="546">
                  <c:v>96.715774094669726</c:v>
                </c:pt>
                <c:pt idx="547">
                  <c:v>96.711235406990454</c:v>
                </c:pt>
                <c:pt idx="548">
                  <c:v>96.706697410210083</c:v>
                </c:pt>
                <c:pt idx="549">
                  <c:v>96.702160104223452</c:v>
                </c:pt>
                <c:pt idx="550">
                  <c:v>96.697623488925416</c:v>
                </c:pt>
                <c:pt idx="551">
                  <c:v>96.693087564210813</c:v>
                </c:pt>
                <c:pt idx="552">
                  <c:v>96.688552329974527</c:v>
                </c:pt>
                <c:pt idx="553">
                  <c:v>96.684017786111468</c:v>
                </c:pt>
                <c:pt idx="554">
                  <c:v>96.679483932516519</c:v>
                </c:pt>
                <c:pt idx="555">
                  <c:v>96.674950769084617</c:v>
                </c:pt>
                <c:pt idx="556">
                  <c:v>96.670418295710704</c:v>
                </c:pt>
                <c:pt idx="557">
                  <c:v>96.665886512289731</c:v>
                </c:pt>
                <c:pt idx="558">
                  <c:v>96.661355418716681</c:v>
                </c:pt>
                <c:pt idx="559">
                  <c:v>96.656825014886522</c:v>
                </c:pt>
                <c:pt idx="560">
                  <c:v>96.652295300694277</c:v>
                </c:pt>
                <c:pt idx="561">
                  <c:v>96.647766276034957</c:v>
                </c:pt>
                <c:pt idx="562">
                  <c:v>96.643237940803601</c:v>
                </c:pt>
                <c:pt idx="563">
                  <c:v>96.638710294895262</c:v>
                </c:pt>
                <c:pt idx="564">
                  <c:v>96.634183338205005</c:v>
                </c:pt>
                <c:pt idx="565">
                  <c:v>96.629657070627914</c:v>
                </c:pt>
                <c:pt idx="566">
                  <c:v>96.625131492059097</c:v>
                </c:pt>
                <c:pt idx="567">
                  <c:v>96.620606602393664</c:v>
                </c:pt>
                <c:pt idx="568">
                  <c:v>96.616082401526739</c:v>
                </c:pt>
                <c:pt idx="569">
                  <c:v>96.611558889353489</c:v>
                </c:pt>
                <c:pt idx="570">
                  <c:v>96.607036065769066</c:v>
                </c:pt>
                <c:pt idx="571">
                  <c:v>96.60251393066865</c:v>
                </c:pt>
                <c:pt idx="572">
                  <c:v>96.597992483947451</c:v>
                </c:pt>
                <c:pt idx="573">
                  <c:v>96.593471725500649</c:v>
                </c:pt>
                <c:pt idx="574">
                  <c:v>96.588951655223497</c:v>
                </c:pt>
                <c:pt idx="575">
                  <c:v>96.584432273011245</c:v>
                </c:pt>
                <c:pt idx="576">
                  <c:v>96.579913578759133</c:v>
                </c:pt>
                <c:pt idx="577">
                  <c:v>96.575395572362439</c:v>
                </c:pt>
                <c:pt idx="578">
                  <c:v>96.570878253716472</c:v>
                </c:pt>
                <c:pt idx="579">
                  <c:v>96.566361622716514</c:v>
                </c:pt>
                <c:pt idx="580">
                  <c:v>96.561845679257914</c:v>
                </c:pt>
                <c:pt idx="581">
                  <c:v>96.557330423235996</c:v>
                </c:pt>
                <c:pt idx="582">
                  <c:v>96.552815854546125</c:v>
                </c:pt>
                <c:pt idx="583">
                  <c:v>96.548301973083667</c:v>
                </c:pt>
                <c:pt idx="584">
                  <c:v>96.543788778744002</c:v>
                </c:pt>
                <c:pt idx="585">
                  <c:v>96.539276271422537</c:v>
                </c:pt>
                <c:pt idx="586">
                  <c:v>96.534764451014695</c:v>
                </c:pt>
                <c:pt idx="587">
                  <c:v>96.530253317415927</c:v>
                </c:pt>
                <c:pt idx="588">
                  <c:v>96.525742870521654</c:v>
                </c:pt>
                <c:pt idx="589">
                  <c:v>96.521233110227357</c:v>
                </c:pt>
                <c:pt idx="590">
                  <c:v>96.516724036428514</c:v>
                </c:pt>
                <c:pt idx="591">
                  <c:v>96.512215649020632</c:v>
                </c:pt>
                <c:pt idx="592">
                  <c:v>96.50770794789922</c:v>
                </c:pt>
                <c:pt idx="593">
                  <c:v>96.503200932959814</c:v>
                </c:pt>
                <c:pt idx="594">
                  <c:v>96.498694604097949</c:v>
                </c:pt>
                <c:pt idx="595">
                  <c:v>96.494188961209204</c:v>
                </c:pt>
                <c:pt idx="596">
                  <c:v>96.489684004189129</c:v>
                </c:pt>
                <c:pt idx="597">
                  <c:v>96.485179732933346</c:v>
                </c:pt>
                <c:pt idx="598">
                  <c:v>96.480676147337462</c:v>
                </c:pt>
                <c:pt idx="599">
                  <c:v>96.476173247297083</c:v>
                </c:pt>
                <c:pt idx="600">
                  <c:v>96.471671032707874</c:v>
                </c:pt>
                <c:pt idx="601">
                  <c:v>96.467169503465485</c:v>
                </c:pt>
                <c:pt idx="602">
                  <c:v>96.462668659465578</c:v>
                </c:pt>
                <c:pt idx="603">
                  <c:v>96.458168500603847</c:v>
                </c:pt>
                <c:pt idx="604">
                  <c:v>96.453669026776026</c:v>
                </c:pt>
                <c:pt idx="605">
                  <c:v>96.44917023787778</c:v>
                </c:pt>
                <c:pt idx="606">
                  <c:v>96.4446721338049</c:v>
                </c:pt>
                <c:pt idx="607">
                  <c:v>96.440174714453107</c:v>
                </c:pt>
                <c:pt idx="608">
                  <c:v>96.435677979718179</c:v>
                </c:pt>
                <c:pt idx="609">
                  <c:v>96.431181929495907</c:v>
                </c:pt>
                <c:pt idx="610">
                  <c:v>96.426686563682082</c:v>
                </c:pt>
                <c:pt idx="611">
                  <c:v>96.422191882172527</c:v>
                </c:pt>
                <c:pt idx="612">
                  <c:v>96.41769788486306</c:v>
                </c:pt>
                <c:pt idx="613">
                  <c:v>96.413204571649558</c:v>
                </c:pt>
                <c:pt idx="614">
                  <c:v>96.408711942427857</c:v>
                </c:pt>
                <c:pt idx="615">
                  <c:v>96.404219997093847</c:v>
                </c:pt>
                <c:pt idx="616">
                  <c:v>96.39972873554342</c:v>
                </c:pt>
                <c:pt idx="617">
                  <c:v>96.395238157672495</c:v>
                </c:pt>
                <c:pt idx="618">
                  <c:v>96.390748263376992</c:v>
                </c:pt>
                <c:pt idx="619">
                  <c:v>96.386259052552873</c:v>
                </c:pt>
                <c:pt idx="620">
                  <c:v>96.381770525096059</c:v>
                </c:pt>
                <c:pt idx="621">
                  <c:v>96.377282680902567</c:v>
                </c:pt>
                <c:pt idx="622">
                  <c:v>96.372795519868362</c:v>
                </c:pt>
                <c:pt idx="623">
                  <c:v>96.368309041889447</c:v>
                </c:pt>
                <c:pt idx="624">
                  <c:v>96.363823246861855</c:v>
                </c:pt>
                <c:pt idx="625">
                  <c:v>96.359338134681622</c:v>
                </c:pt>
                <c:pt idx="626">
                  <c:v>96.354853705244807</c:v>
                </c:pt>
                <c:pt idx="627">
                  <c:v>96.350369958447487</c:v>
                </c:pt>
                <c:pt idx="628">
                  <c:v>96.345886894185725</c:v>
                </c:pt>
                <c:pt idx="629">
                  <c:v>96.341404512355638</c:v>
                </c:pt>
                <c:pt idx="630">
                  <c:v>96.336922812853331</c:v>
                </c:pt>
                <c:pt idx="631">
                  <c:v>96.332441795574951</c:v>
                </c:pt>
                <c:pt idx="632">
                  <c:v>96.327961460416645</c:v>
                </c:pt>
                <c:pt idx="633">
                  <c:v>96.323481807274561</c:v>
                </c:pt>
                <c:pt idx="634">
                  <c:v>96.319002836044902</c:v>
                </c:pt>
                <c:pt idx="635">
                  <c:v>96.314524546623844</c:v>
                </c:pt>
                <c:pt idx="636">
                  <c:v>96.310046938907618</c:v>
                </c:pt>
                <c:pt idx="637">
                  <c:v>96.305570012792458</c:v>
                </c:pt>
                <c:pt idx="638">
                  <c:v>96.301093768174567</c:v>
                </c:pt>
                <c:pt idx="639">
                  <c:v>96.296618204950249</c:v>
                </c:pt>
                <c:pt idx="640">
                  <c:v>96.29214332301575</c:v>
                </c:pt>
                <c:pt idx="641">
                  <c:v>96.287669122267374</c:v>
                </c:pt>
                <c:pt idx="642">
                  <c:v>96.283195602601424</c:v>
                </c:pt>
                <c:pt idx="643">
                  <c:v>96.278722763914232</c:v>
                </c:pt>
                <c:pt idx="644">
                  <c:v>96.274250606102129</c:v>
                </c:pt>
                <c:pt idx="645">
                  <c:v>96.269779129061462</c:v>
                </c:pt>
                <c:pt idx="646">
                  <c:v>96.265308332688619</c:v>
                </c:pt>
                <c:pt idx="647">
                  <c:v>96.260838216879961</c:v>
                </c:pt>
                <c:pt idx="648">
                  <c:v>96.256368781531918</c:v>
                </c:pt>
                <c:pt idx="649">
                  <c:v>96.251900026540881</c:v>
                </c:pt>
                <c:pt idx="650">
                  <c:v>96.247431951803307</c:v>
                </c:pt>
                <c:pt idx="651">
                  <c:v>96.242964557215615</c:v>
                </c:pt>
                <c:pt idx="652">
                  <c:v>96.238497842674306</c:v>
                </c:pt>
                <c:pt idx="653">
                  <c:v>96.234031808075827</c:v>
                </c:pt>
                <c:pt idx="654">
                  <c:v>96.229566453316693</c:v>
                </c:pt>
                <c:pt idx="655">
                  <c:v>96.225101778293421</c:v>
                </c:pt>
                <c:pt idx="656">
                  <c:v>96.220637782902514</c:v>
                </c:pt>
                <c:pt idx="657">
                  <c:v>96.216174467040545</c:v>
                </c:pt>
                <c:pt idx="658">
                  <c:v>96.211711830604045</c:v>
                </c:pt>
                <c:pt idx="659">
                  <c:v>96.207249873489616</c:v>
                </c:pt>
                <c:pt idx="660">
                  <c:v>96.20278859559383</c:v>
                </c:pt>
                <c:pt idx="661">
                  <c:v>96.198327996813305</c:v>
                </c:pt>
                <c:pt idx="662">
                  <c:v>96.193868077044641</c:v>
                </c:pt>
                <c:pt idx="663">
                  <c:v>96.189408836184498</c:v>
                </c:pt>
                <c:pt idx="664">
                  <c:v>96.184950274129534</c:v>
                </c:pt>
                <c:pt idx="665">
                  <c:v>96.180492390776408</c:v>
                </c:pt>
                <c:pt idx="666">
                  <c:v>96.176035186021792</c:v>
                </c:pt>
                <c:pt idx="667">
                  <c:v>96.171578659762403</c:v>
                </c:pt>
                <c:pt idx="668">
                  <c:v>96.167122811894956</c:v>
                </c:pt>
                <c:pt idx="669">
                  <c:v>96.16266764231618</c:v>
                </c:pt>
                <c:pt idx="670">
                  <c:v>96.158213150922819</c:v>
                </c:pt>
                <c:pt idx="671">
                  <c:v>96.153759337611646</c:v>
                </c:pt>
                <c:pt idx="672">
                  <c:v>96.149306202279433</c:v>
                </c:pt>
                <c:pt idx="673">
                  <c:v>96.144853744822981</c:v>
                </c:pt>
                <c:pt idx="674">
                  <c:v>96.140401965139105</c:v>
                </c:pt>
                <c:pt idx="675">
                  <c:v>96.13595086312462</c:v>
                </c:pt>
                <c:pt idx="676">
                  <c:v>96.131500438676369</c:v>
                </c:pt>
                <c:pt idx="677">
                  <c:v>96.12705069169121</c:v>
                </c:pt>
                <c:pt idx="678">
                  <c:v>96.122601622066028</c:v>
                </c:pt>
                <c:pt idx="679">
                  <c:v>96.118153229697697</c:v>
                </c:pt>
                <c:pt idx="680">
                  <c:v>96.113705514483144</c:v>
                </c:pt>
                <c:pt idx="681">
                  <c:v>96.109258476319255</c:v>
                </c:pt>
                <c:pt idx="682">
                  <c:v>96.104812115102987</c:v>
                </c:pt>
                <c:pt idx="683">
                  <c:v>96.100366430731313</c:v>
                </c:pt>
                <c:pt idx="684">
                  <c:v>96.09592142310116</c:v>
                </c:pt>
                <c:pt idx="685">
                  <c:v>96.091477092109542</c:v>
                </c:pt>
                <c:pt idx="686">
                  <c:v>96.087033437653446</c:v>
                </c:pt>
                <c:pt idx="687">
                  <c:v>96.082590459629884</c:v>
                </c:pt>
                <c:pt idx="688">
                  <c:v>96.078148157935885</c:v>
                </c:pt>
                <c:pt idx="689">
                  <c:v>96.073706532468506</c:v>
                </c:pt>
                <c:pt idx="690">
                  <c:v>96.069265583124803</c:v>
                </c:pt>
                <c:pt idx="691">
                  <c:v>96.064825309801847</c:v>
                </c:pt>
                <c:pt idx="692">
                  <c:v>96.060385712396737</c:v>
                </c:pt>
                <c:pt idx="693">
                  <c:v>96.055946790806587</c:v>
                </c:pt>
                <c:pt idx="694">
                  <c:v>96.051508544928524</c:v>
                </c:pt>
                <c:pt idx="695">
                  <c:v>96.047070974659675</c:v>
                </c:pt>
                <c:pt idx="696">
                  <c:v>96.042634079897212</c:v>
                </c:pt>
                <c:pt idx="697">
                  <c:v>96.038197860538276</c:v>
                </c:pt>
                <c:pt idx="698">
                  <c:v>96.033762316480093</c:v>
                </c:pt>
                <c:pt idx="699">
                  <c:v>96.029327447619835</c:v>
                </c:pt>
                <c:pt idx="700">
                  <c:v>96.024893253854742</c:v>
                </c:pt>
                <c:pt idx="701">
                  <c:v>96.020459735082028</c:v>
                </c:pt>
                <c:pt idx="702">
                  <c:v>96.016026891198962</c:v>
                </c:pt>
                <c:pt idx="703">
                  <c:v>96.011594722102799</c:v>
                </c:pt>
                <c:pt idx="704">
                  <c:v>96.007163227690825</c:v>
                </c:pt>
                <c:pt idx="705">
                  <c:v>96.002732407860321</c:v>
                </c:pt>
                <c:pt idx="706">
                  <c:v>95.998302262508631</c:v>
                </c:pt>
                <c:pt idx="707">
                  <c:v>95.99387279153305</c:v>
                </c:pt>
                <c:pt idx="708">
                  <c:v>95.989443994830935</c:v>
                </c:pt>
                <c:pt idx="709">
                  <c:v>95.985015872299655</c:v>
                </c:pt>
                <c:pt idx="710">
                  <c:v>95.980588423836565</c:v>
                </c:pt>
                <c:pt idx="711">
                  <c:v>95.976161649339076</c:v>
                </c:pt>
                <c:pt idx="712">
                  <c:v>95.971735548704572</c:v>
                </c:pt>
                <c:pt idx="713">
                  <c:v>95.967310121830479</c:v>
                </c:pt>
                <c:pt idx="714">
                  <c:v>95.962885368614252</c:v>
                </c:pt>
                <c:pt idx="715">
                  <c:v>95.958461288953345</c:v>
                </c:pt>
                <c:pt idx="716">
                  <c:v>95.954037882745197</c:v>
                </c:pt>
                <c:pt idx="717">
                  <c:v>95.949615149887322</c:v>
                </c:pt>
                <c:pt idx="718">
                  <c:v>95.945193090277201</c:v>
                </c:pt>
                <c:pt idx="719">
                  <c:v>95.940771703812345</c:v>
                </c:pt>
                <c:pt idx="720">
                  <c:v>95.936350990390309</c:v>
                </c:pt>
                <c:pt idx="721">
                  <c:v>95.931930949908633</c:v>
                </c:pt>
                <c:pt idx="722">
                  <c:v>95.927511582264856</c:v>
                </c:pt>
                <c:pt idx="723">
                  <c:v>95.923092887356574</c:v>
                </c:pt>
                <c:pt idx="724">
                  <c:v>95.918674865081385</c:v>
                </c:pt>
                <c:pt idx="725">
                  <c:v>95.914257515336885</c:v>
                </c:pt>
                <c:pt idx="726">
                  <c:v>95.909840838020713</c:v>
                </c:pt>
                <c:pt idx="727">
                  <c:v>95.905424833030494</c:v>
                </c:pt>
                <c:pt idx="728">
                  <c:v>95.901009500263882</c:v>
                </c:pt>
                <c:pt idx="729">
                  <c:v>95.896594839618558</c:v>
                </c:pt>
                <c:pt idx="730">
                  <c:v>95.892180850992219</c:v>
                </c:pt>
                <c:pt idx="731">
                  <c:v>95.887767534282546</c:v>
                </c:pt>
                <c:pt idx="732">
                  <c:v>95.883354889387277</c:v>
                </c:pt>
                <c:pt idx="733">
                  <c:v>95.878942916204124</c:v>
                </c:pt>
                <c:pt idx="734">
                  <c:v>95.874531614630854</c:v>
                </c:pt>
                <c:pt idx="735">
                  <c:v>95.870120984565204</c:v>
                </c:pt>
                <c:pt idx="736">
                  <c:v>95.865711025905</c:v>
                </c:pt>
                <c:pt idx="737">
                  <c:v>95.861301738547994</c:v>
                </c:pt>
                <c:pt idx="738">
                  <c:v>95.856893122392023</c:v>
                </c:pt>
                <c:pt idx="739">
                  <c:v>95.852485177334898</c:v>
                </c:pt>
                <c:pt idx="740">
                  <c:v>95.848077903274486</c:v>
                </c:pt>
                <c:pt idx="741">
                  <c:v>95.84367130010861</c:v>
                </c:pt>
                <c:pt idx="742">
                  <c:v>95.83926536773518</c:v>
                </c:pt>
                <c:pt idx="743">
                  <c:v>95.834860106052062</c:v>
                </c:pt>
                <c:pt idx="744">
                  <c:v>95.830455514957151</c:v>
                </c:pt>
                <c:pt idx="745">
                  <c:v>95.826051594348399</c:v>
                </c:pt>
                <c:pt idx="746">
                  <c:v>95.821648344123716</c:v>
                </c:pt>
                <c:pt idx="747">
                  <c:v>95.817245764181067</c:v>
                </c:pt>
                <c:pt idx="748">
                  <c:v>95.812843854418404</c:v>
                </c:pt>
                <c:pt idx="749">
                  <c:v>95.808442614733735</c:v>
                </c:pt>
                <c:pt idx="750">
                  <c:v>95.804042045025028</c:v>
                </c:pt>
              </c:numCache>
            </c:numRef>
          </c:yVal>
          <c:smooth val="0"/>
          <c:extLst>
            <c:ext xmlns:c16="http://schemas.microsoft.com/office/drawing/2014/chart" uri="{C3380CC4-5D6E-409C-BE32-E72D297353CC}">
              <c16:uniqueId val="{00000004-D988-4F7B-8CAF-3E43F52E176F}"/>
            </c:ext>
          </c:extLst>
        </c:ser>
        <c:ser>
          <c:idx val="5"/>
          <c:order val="5"/>
          <c:tx>
            <c:v>DDAO</c:v>
          </c:tx>
          <c:spPr>
            <a:ln w="19050" cap="rnd">
              <a:solidFill>
                <a:schemeClr val="accent6"/>
              </a:solidFill>
              <a:round/>
            </a:ln>
            <a:effectLst/>
          </c:spPr>
          <c:marker>
            <c:symbol val="none"/>
          </c:marker>
          <c:xVal>
            <c:numRef>
              <c:f>Sheet1!$C$10:$C$760</c:f>
              <c:numCache>
                <c:formatCode>General</c:formatCode>
                <c:ptCount val="751"/>
                <c:pt idx="0">
                  <c:v>0</c:v>
                </c:pt>
                <c:pt idx="1">
                  <c:v>0.08</c:v>
                </c:pt>
                <c:pt idx="2">
                  <c:v>0.16</c:v>
                </c:pt>
                <c:pt idx="3">
                  <c:v>0.24</c:v>
                </c:pt>
                <c:pt idx="4">
                  <c:v>0.32</c:v>
                </c:pt>
                <c:pt idx="5">
                  <c:v>0.4</c:v>
                </c:pt>
                <c:pt idx="6">
                  <c:v>0.48</c:v>
                </c:pt>
                <c:pt idx="7">
                  <c:v>0.56000000000000005</c:v>
                </c:pt>
                <c:pt idx="8">
                  <c:v>0.64</c:v>
                </c:pt>
                <c:pt idx="9">
                  <c:v>0.72</c:v>
                </c:pt>
                <c:pt idx="10">
                  <c:v>0.8</c:v>
                </c:pt>
                <c:pt idx="11">
                  <c:v>0.88</c:v>
                </c:pt>
                <c:pt idx="12">
                  <c:v>0.96</c:v>
                </c:pt>
                <c:pt idx="13">
                  <c:v>1.04</c:v>
                </c:pt>
                <c:pt idx="14">
                  <c:v>1.1200000000000001</c:v>
                </c:pt>
                <c:pt idx="15">
                  <c:v>1.2</c:v>
                </c:pt>
                <c:pt idx="16">
                  <c:v>1.28</c:v>
                </c:pt>
                <c:pt idx="17">
                  <c:v>1.36</c:v>
                </c:pt>
                <c:pt idx="18">
                  <c:v>1.44</c:v>
                </c:pt>
                <c:pt idx="19">
                  <c:v>1.52</c:v>
                </c:pt>
                <c:pt idx="20">
                  <c:v>1.6</c:v>
                </c:pt>
                <c:pt idx="21">
                  <c:v>1.68</c:v>
                </c:pt>
                <c:pt idx="22">
                  <c:v>1.76</c:v>
                </c:pt>
                <c:pt idx="23">
                  <c:v>1.84</c:v>
                </c:pt>
                <c:pt idx="24">
                  <c:v>1.92</c:v>
                </c:pt>
                <c:pt idx="25">
                  <c:v>2</c:v>
                </c:pt>
                <c:pt idx="26">
                  <c:v>2.08</c:v>
                </c:pt>
                <c:pt idx="27">
                  <c:v>2.16</c:v>
                </c:pt>
                <c:pt idx="28">
                  <c:v>2.2400000000000002</c:v>
                </c:pt>
                <c:pt idx="29">
                  <c:v>2.3199999999999998</c:v>
                </c:pt>
                <c:pt idx="30">
                  <c:v>2.4</c:v>
                </c:pt>
                <c:pt idx="31">
                  <c:v>2.48</c:v>
                </c:pt>
                <c:pt idx="32">
                  <c:v>2.56</c:v>
                </c:pt>
                <c:pt idx="33">
                  <c:v>2.64</c:v>
                </c:pt>
                <c:pt idx="34">
                  <c:v>2.72</c:v>
                </c:pt>
                <c:pt idx="35">
                  <c:v>2.8</c:v>
                </c:pt>
                <c:pt idx="36">
                  <c:v>2.88</c:v>
                </c:pt>
                <c:pt idx="37">
                  <c:v>2.96</c:v>
                </c:pt>
                <c:pt idx="38">
                  <c:v>3.04</c:v>
                </c:pt>
                <c:pt idx="39">
                  <c:v>3.12</c:v>
                </c:pt>
                <c:pt idx="40">
                  <c:v>3.2</c:v>
                </c:pt>
                <c:pt idx="41">
                  <c:v>3.28</c:v>
                </c:pt>
                <c:pt idx="42">
                  <c:v>3.36</c:v>
                </c:pt>
                <c:pt idx="43">
                  <c:v>3.44</c:v>
                </c:pt>
                <c:pt idx="44">
                  <c:v>3.52</c:v>
                </c:pt>
                <c:pt idx="45">
                  <c:v>3.6</c:v>
                </c:pt>
                <c:pt idx="46">
                  <c:v>3.68</c:v>
                </c:pt>
                <c:pt idx="47">
                  <c:v>3.76</c:v>
                </c:pt>
                <c:pt idx="48">
                  <c:v>3.84</c:v>
                </c:pt>
                <c:pt idx="49">
                  <c:v>3.92</c:v>
                </c:pt>
                <c:pt idx="50">
                  <c:v>4</c:v>
                </c:pt>
                <c:pt idx="51">
                  <c:v>4.08</c:v>
                </c:pt>
                <c:pt idx="52">
                  <c:v>4.16</c:v>
                </c:pt>
                <c:pt idx="53">
                  <c:v>4.24</c:v>
                </c:pt>
                <c:pt idx="54">
                  <c:v>4.32</c:v>
                </c:pt>
                <c:pt idx="55">
                  <c:v>4.4000000000000004</c:v>
                </c:pt>
                <c:pt idx="56">
                  <c:v>4.4800000000000004</c:v>
                </c:pt>
                <c:pt idx="57">
                  <c:v>4.5599999999999996</c:v>
                </c:pt>
                <c:pt idx="58">
                  <c:v>4.6399999999999997</c:v>
                </c:pt>
                <c:pt idx="59">
                  <c:v>4.72</c:v>
                </c:pt>
                <c:pt idx="60">
                  <c:v>4.8</c:v>
                </c:pt>
                <c:pt idx="61">
                  <c:v>4.88</c:v>
                </c:pt>
                <c:pt idx="62">
                  <c:v>4.96</c:v>
                </c:pt>
                <c:pt idx="63">
                  <c:v>5.04</c:v>
                </c:pt>
                <c:pt idx="64">
                  <c:v>5.12</c:v>
                </c:pt>
                <c:pt idx="65">
                  <c:v>5.2</c:v>
                </c:pt>
                <c:pt idx="66">
                  <c:v>5.28</c:v>
                </c:pt>
                <c:pt idx="67">
                  <c:v>5.36</c:v>
                </c:pt>
                <c:pt idx="68">
                  <c:v>5.44</c:v>
                </c:pt>
                <c:pt idx="69">
                  <c:v>5.52</c:v>
                </c:pt>
                <c:pt idx="70">
                  <c:v>5.6</c:v>
                </c:pt>
                <c:pt idx="71">
                  <c:v>5.68</c:v>
                </c:pt>
                <c:pt idx="72">
                  <c:v>5.76</c:v>
                </c:pt>
                <c:pt idx="73">
                  <c:v>5.84</c:v>
                </c:pt>
                <c:pt idx="74">
                  <c:v>5.92</c:v>
                </c:pt>
                <c:pt idx="75">
                  <c:v>6</c:v>
                </c:pt>
                <c:pt idx="76">
                  <c:v>6.08</c:v>
                </c:pt>
                <c:pt idx="77">
                  <c:v>6.16</c:v>
                </c:pt>
                <c:pt idx="78">
                  <c:v>6.24</c:v>
                </c:pt>
                <c:pt idx="79">
                  <c:v>6.32</c:v>
                </c:pt>
                <c:pt idx="80">
                  <c:v>6.4</c:v>
                </c:pt>
                <c:pt idx="81">
                  <c:v>6.48</c:v>
                </c:pt>
                <c:pt idx="82">
                  <c:v>6.56</c:v>
                </c:pt>
                <c:pt idx="83">
                  <c:v>6.64</c:v>
                </c:pt>
                <c:pt idx="84">
                  <c:v>6.72</c:v>
                </c:pt>
                <c:pt idx="85">
                  <c:v>6.8</c:v>
                </c:pt>
                <c:pt idx="86">
                  <c:v>6.88</c:v>
                </c:pt>
                <c:pt idx="87">
                  <c:v>6.96</c:v>
                </c:pt>
                <c:pt idx="88">
                  <c:v>7.04</c:v>
                </c:pt>
                <c:pt idx="89">
                  <c:v>7.12</c:v>
                </c:pt>
                <c:pt idx="90">
                  <c:v>7.2</c:v>
                </c:pt>
                <c:pt idx="91">
                  <c:v>7.28</c:v>
                </c:pt>
                <c:pt idx="92">
                  <c:v>7.36</c:v>
                </c:pt>
                <c:pt idx="93">
                  <c:v>7.44</c:v>
                </c:pt>
                <c:pt idx="94">
                  <c:v>7.52</c:v>
                </c:pt>
                <c:pt idx="95">
                  <c:v>7.6</c:v>
                </c:pt>
                <c:pt idx="96">
                  <c:v>7.68</c:v>
                </c:pt>
                <c:pt idx="97">
                  <c:v>7.76</c:v>
                </c:pt>
                <c:pt idx="98">
                  <c:v>7.84</c:v>
                </c:pt>
                <c:pt idx="99">
                  <c:v>7.92</c:v>
                </c:pt>
                <c:pt idx="100">
                  <c:v>8</c:v>
                </c:pt>
                <c:pt idx="101">
                  <c:v>8.08</c:v>
                </c:pt>
                <c:pt idx="102">
                  <c:v>8.16</c:v>
                </c:pt>
                <c:pt idx="103">
                  <c:v>8.24</c:v>
                </c:pt>
                <c:pt idx="104">
                  <c:v>8.32</c:v>
                </c:pt>
                <c:pt idx="105">
                  <c:v>8.4</c:v>
                </c:pt>
                <c:pt idx="106">
                  <c:v>8.48</c:v>
                </c:pt>
                <c:pt idx="107">
                  <c:v>8.56</c:v>
                </c:pt>
                <c:pt idx="108">
                  <c:v>8.64</c:v>
                </c:pt>
                <c:pt idx="109">
                  <c:v>8.7200000000000006</c:v>
                </c:pt>
                <c:pt idx="110">
                  <c:v>8.8000000000000007</c:v>
                </c:pt>
                <c:pt idx="111">
                  <c:v>8.8800000000000008</c:v>
                </c:pt>
                <c:pt idx="112">
                  <c:v>8.9600000000000009</c:v>
                </c:pt>
                <c:pt idx="113">
                  <c:v>9.0399999999999991</c:v>
                </c:pt>
                <c:pt idx="114">
                  <c:v>9.1199999999999992</c:v>
                </c:pt>
                <c:pt idx="115">
                  <c:v>9.1999999999999993</c:v>
                </c:pt>
                <c:pt idx="116">
                  <c:v>9.2799999999999994</c:v>
                </c:pt>
                <c:pt idx="117">
                  <c:v>9.36</c:v>
                </c:pt>
                <c:pt idx="118">
                  <c:v>9.44</c:v>
                </c:pt>
                <c:pt idx="119">
                  <c:v>9.52</c:v>
                </c:pt>
                <c:pt idx="120">
                  <c:v>9.6</c:v>
                </c:pt>
                <c:pt idx="121">
                  <c:v>9.68</c:v>
                </c:pt>
                <c:pt idx="122">
                  <c:v>9.76</c:v>
                </c:pt>
                <c:pt idx="123">
                  <c:v>9.84</c:v>
                </c:pt>
                <c:pt idx="124">
                  <c:v>9.92</c:v>
                </c:pt>
                <c:pt idx="125">
                  <c:v>10</c:v>
                </c:pt>
                <c:pt idx="126">
                  <c:v>10.08</c:v>
                </c:pt>
                <c:pt idx="127">
                  <c:v>10.16</c:v>
                </c:pt>
                <c:pt idx="128">
                  <c:v>10.24</c:v>
                </c:pt>
                <c:pt idx="129">
                  <c:v>10.32</c:v>
                </c:pt>
                <c:pt idx="130">
                  <c:v>10.4</c:v>
                </c:pt>
                <c:pt idx="131">
                  <c:v>10.48</c:v>
                </c:pt>
                <c:pt idx="132">
                  <c:v>10.56</c:v>
                </c:pt>
                <c:pt idx="133">
                  <c:v>10.64</c:v>
                </c:pt>
                <c:pt idx="134">
                  <c:v>10.72</c:v>
                </c:pt>
                <c:pt idx="135">
                  <c:v>10.8</c:v>
                </c:pt>
                <c:pt idx="136">
                  <c:v>10.88</c:v>
                </c:pt>
                <c:pt idx="137">
                  <c:v>10.96</c:v>
                </c:pt>
                <c:pt idx="138">
                  <c:v>11.04</c:v>
                </c:pt>
                <c:pt idx="139">
                  <c:v>11.12</c:v>
                </c:pt>
                <c:pt idx="140">
                  <c:v>11.2</c:v>
                </c:pt>
                <c:pt idx="141">
                  <c:v>11.28</c:v>
                </c:pt>
                <c:pt idx="142">
                  <c:v>11.36</c:v>
                </c:pt>
                <c:pt idx="143">
                  <c:v>11.44</c:v>
                </c:pt>
                <c:pt idx="144">
                  <c:v>11.52</c:v>
                </c:pt>
                <c:pt idx="145">
                  <c:v>11.6</c:v>
                </c:pt>
                <c:pt idx="146">
                  <c:v>11.68</c:v>
                </c:pt>
                <c:pt idx="147">
                  <c:v>11.76</c:v>
                </c:pt>
                <c:pt idx="148">
                  <c:v>11.84</c:v>
                </c:pt>
                <c:pt idx="149">
                  <c:v>11.92</c:v>
                </c:pt>
                <c:pt idx="150">
                  <c:v>12</c:v>
                </c:pt>
                <c:pt idx="151">
                  <c:v>12.08</c:v>
                </c:pt>
                <c:pt idx="152">
                  <c:v>12.16</c:v>
                </c:pt>
                <c:pt idx="153">
                  <c:v>12.24</c:v>
                </c:pt>
                <c:pt idx="154">
                  <c:v>12.32</c:v>
                </c:pt>
                <c:pt idx="155">
                  <c:v>12.4</c:v>
                </c:pt>
                <c:pt idx="156">
                  <c:v>12.48</c:v>
                </c:pt>
                <c:pt idx="157">
                  <c:v>12.56</c:v>
                </c:pt>
                <c:pt idx="158">
                  <c:v>12.64</c:v>
                </c:pt>
                <c:pt idx="159">
                  <c:v>12.72</c:v>
                </c:pt>
                <c:pt idx="160">
                  <c:v>12.8</c:v>
                </c:pt>
                <c:pt idx="161">
                  <c:v>12.88</c:v>
                </c:pt>
                <c:pt idx="162">
                  <c:v>12.96</c:v>
                </c:pt>
                <c:pt idx="163">
                  <c:v>13.04</c:v>
                </c:pt>
                <c:pt idx="164">
                  <c:v>13.12</c:v>
                </c:pt>
                <c:pt idx="165">
                  <c:v>13.2</c:v>
                </c:pt>
                <c:pt idx="166">
                  <c:v>13.28</c:v>
                </c:pt>
                <c:pt idx="167">
                  <c:v>13.36</c:v>
                </c:pt>
                <c:pt idx="168">
                  <c:v>13.44</c:v>
                </c:pt>
                <c:pt idx="169">
                  <c:v>13.52</c:v>
                </c:pt>
                <c:pt idx="170">
                  <c:v>13.6</c:v>
                </c:pt>
                <c:pt idx="171">
                  <c:v>13.68</c:v>
                </c:pt>
                <c:pt idx="172">
                  <c:v>13.76</c:v>
                </c:pt>
                <c:pt idx="173">
                  <c:v>13.84</c:v>
                </c:pt>
                <c:pt idx="174">
                  <c:v>13.92</c:v>
                </c:pt>
                <c:pt idx="175">
                  <c:v>14</c:v>
                </c:pt>
                <c:pt idx="176">
                  <c:v>14.08</c:v>
                </c:pt>
                <c:pt idx="177">
                  <c:v>14.16</c:v>
                </c:pt>
                <c:pt idx="178">
                  <c:v>14.24</c:v>
                </c:pt>
                <c:pt idx="179">
                  <c:v>14.32</c:v>
                </c:pt>
                <c:pt idx="180">
                  <c:v>14.4</c:v>
                </c:pt>
                <c:pt idx="181">
                  <c:v>14.48</c:v>
                </c:pt>
                <c:pt idx="182">
                  <c:v>14.56</c:v>
                </c:pt>
                <c:pt idx="183">
                  <c:v>14.64</c:v>
                </c:pt>
                <c:pt idx="184">
                  <c:v>14.72</c:v>
                </c:pt>
                <c:pt idx="185">
                  <c:v>14.8</c:v>
                </c:pt>
                <c:pt idx="186">
                  <c:v>14.88</c:v>
                </c:pt>
                <c:pt idx="187">
                  <c:v>14.96</c:v>
                </c:pt>
                <c:pt idx="188">
                  <c:v>15.04</c:v>
                </c:pt>
                <c:pt idx="189">
                  <c:v>15.12</c:v>
                </c:pt>
                <c:pt idx="190">
                  <c:v>15.2</c:v>
                </c:pt>
                <c:pt idx="191">
                  <c:v>15.28</c:v>
                </c:pt>
                <c:pt idx="192">
                  <c:v>15.36</c:v>
                </c:pt>
                <c:pt idx="193">
                  <c:v>15.44</c:v>
                </c:pt>
                <c:pt idx="194">
                  <c:v>15.52</c:v>
                </c:pt>
                <c:pt idx="195">
                  <c:v>15.6</c:v>
                </c:pt>
                <c:pt idx="196">
                  <c:v>15.68</c:v>
                </c:pt>
                <c:pt idx="197">
                  <c:v>15.76</c:v>
                </c:pt>
                <c:pt idx="198">
                  <c:v>15.84</c:v>
                </c:pt>
                <c:pt idx="199">
                  <c:v>15.92</c:v>
                </c:pt>
                <c:pt idx="200">
                  <c:v>16</c:v>
                </c:pt>
                <c:pt idx="201">
                  <c:v>16.079999999999998</c:v>
                </c:pt>
                <c:pt idx="202">
                  <c:v>16.16</c:v>
                </c:pt>
                <c:pt idx="203">
                  <c:v>16.239999999999998</c:v>
                </c:pt>
                <c:pt idx="204">
                  <c:v>16.32</c:v>
                </c:pt>
                <c:pt idx="205">
                  <c:v>16.399999999999999</c:v>
                </c:pt>
                <c:pt idx="206">
                  <c:v>16.48</c:v>
                </c:pt>
                <c:pt idx="207">
                  <c:v>16.559999999999999</c:v>
                </c:pt>
                <c:pt idx="208">
                  <c:v>16.64</c:v>
                </c:pt>
                <c:pt idx="209">
                  <c:v>16.72</c:v>
                </c:pt>
                <c:pt idx="210">
                  <c:v>16.8</c:v>
                </c:pt>
                <c:pt idx="211">
                  <c:v>16.88</c:v>
                </c:pt>
                <c:pt idx="212">
                  <c:v>16.96</c:v>
                </c:pt>
                <c:pt idx="213">
                  <c:v>17.04</c:v>
                </c:pt>
                <c:pt idx="214">
                  <c:v>17.12</c:v>
                </c:pt>
                <c:pt idx="215">
                  <c:v>17.2</c:v>
                </c:pt>
                <c:pt idx="216">
                  <c:v>17.28</c:v>
                </c:pt>
                <c:pt idx="217">
                  <c:v>17.36</c:v>
                </c:pt>
                <c:pt idx="218">
                  <c:v>17.440000000000001</c:v>
                </c:pt>
                <c:pt idx="219">
                  <c:v>17.52</c:v>
                </c:pt>
                <c:pt idx="220">
                  <c:v>17.600000000000001</c:v>
                </c:pt>
                <c:pt idx="221">
                  <c:v>17.68</c:v>
                </c:pt>
                <c:pt idx="222">
                  <c:v>17.760000000000002</c:v>
                </c:pt>
                <c:pt idx="223">
                  <c:v>17.84</c:v>
                </c:pt>
                <c:pt idx="224">
                  <c:v>17.920000000000002</c:v>
                </c:pt>
                <c:pt idx="225">
                  <c:v>18</c:v>
                </c:pt>
                <c:pt idx="226">
                  <c:v>18.079999999999998</c:v>
                </c:pt>
                <c:pt idx="227">
                  <c:v>18.16</c:v>
                </c:pt>
                <c:pt idx="228">
                  <c:v>18.239999999999998</c:v>
                </c:pt>
                <c:pt idx="229">
                  <c:v>18.32</c:v>
                </c:pt>
                <c:pt idx="230">
                  <c:v>18.399999999999999</c:v>
                </c:pt>
                <c:pt idx="231">
                  <c:v>18.48</c:v>
                </c:pt>
                <c:pt idx="232">
                  <c:v>18.559999999999999</c:v>
                </c:pt>
                <c:pt idx="233">
                  <c:v>18.64</c:v>
                </c:pt>
                <c:pt idx="234">
                  <c:v>18.72</c:v>
                </c:pt>
                <c:pt idx="235">
                  <c:v>18.8</c:v>
                </c:pt>
                <c:pt idx="236">
                  <c:v>18.88</c:v>
                </c:pt>
                <c:pt idx="237">
                  <c:v>18.96</c:v>
                </c:pt>
                <c:pt idx="238">
                  <c:v>19.04</c:v>
                </c:pt>
                <c:pt idx="239">
                  <c:v>19.12</c:v>
                </c:pt>
                <c:pt idx="240">
                  <c:v>19.2</c:v>
                </c:pt>
                <c:pt idx="241">
                  <c:v>19.28</c:v>
                </c:pt>
                <c:pt idx="242">
                  <c:v>19.36</c:v>
                </c:pt>
                <c:pt idx="243">
                  <c:v>19.440000000000001</c:v>
                </c:pt>
                <c:pt idx="244">
                  <c:v>19.52</c:v>
                </c:pt>
                <c:pt idx="245">
                  <c:v>19.600000000000001</c:v>
                </c:pt>
                <c:pt idx="246">
                  <c:v>19.68</c:v>
                </c:pt>
                <c:pt idx="247">
                  <c:v>19.760000000000002</c:v>
                </c:pt>
                <c:pt idx="248">
                  <c:v>19.84</c:v>
                </c:pt>
                <c:pt idx="249">
                  <c:v>19.920000000000002</c:v>
                </c:pt>
                <c:pt idx="250">
                  <c:v>20</c:v>
                </c:pt>
                <c:pt idx="251">
                  <c:v>20.079999999999998</c:v>
                </c:pt>
                <c:pt idx="252">
                  <c:v>20.16</c:v>
                </c:pt>
                <c:pt idx="253">
                  <c:v>20.239999999999998</c:v>
                </c:pt>
                <c:pt idx="254">
                  <c:v>20.32</c:v>
                </c:pt>
                <c:pt idx="255">
                  <c:v>20.399999999999999</c:v>
                </c:pt>
                <c:pt idx="256">
                  <c:v>20.48</c:v>
                </c:pt>
                <c:pt idx="257">
                  <c:v>20.56</c:v>
                </c:pt>
                <c:pt idx="258">
                  <c:v>20.64</c:v>
                </c:pt>
                <c:pt idx="259">
                  <c:v>20.72</c:v>
                </c:pt>
                <c:pt idx="260">
                  <c:v>20.8</c:v>
                </c:pt>
                <c:pt idx="261">
                  <c:v>20.88</c:v>
                </c:pt>
                <c:pt idx="262">
                  <c:v>20.96</c:v>
                </c:pt>
                <c:pt idx="263">
                  <c:v>21.04</c:v>
                </c:pt>
                <c:pt idx="264">
                  <c:v>21.12</c:v>
                </c:pt>
                <c:pt idx="265">
                  <c:v>21.2</c:v>
                </c:pt>
                <c:pt idx="266">
                  <c:v>21.28</c:v>
                </c:pt>
                <c:pt idx="267">
                  <c:v>21.36</c:v>
                </c:pt>
                <c:pt idx="268">
                  <c:v>21.44</c:v>
                </c:pt>
                <c:pt idx="269">
                  <c:v>21.52</c:v>
                </c:pt>
                <c:pt idx="270">
                  <c:v>21.6</c:v>
                </c:pt>
                <c:pt idx="271">
                  <c:v>21.68</c:v>
                </c:pt>
                <c:pt idx="272">
                  <c:v>21.76</c:v>
                </c:pt>
                <c:pt idx="273">
                  <c:v>21.84</c:v>
                </c:pt>
                <c:pt idx="274">
                  <c:v>21.92</c:v>
                </c:pt>
                <c:pt idx="275">
                  <c:v>22</c:v>
                </c:pt>
                <c:pt idx="276">
                  <c:v>22.08</c:v>
                </c:pt>
                <c:pt idx="277">
                  <c:v>22.16</c:v>
                </c:pt>
                <c:pt idx="278">
                  <c:v>22.24</c:v>
                </c:pt>
                <c:pt idx="279">
                  <c:v>22.32</c:v>
                </c:pt>
                <c:pt idx="280">
                  <c:v>22.4</c:v>
                </c:pt>
                <c:pt idx="281">
                  <c:v>22.48</c:v>
                </c:pt>
                <c:pt idx="282">
                  <c:v>22.56</c:v>
                </c:pt>
                <c:pt idx="283">
                  <c:v>22.64</c:v>
                </c:pt>
                <c:pt idx="284">
                  <c:v>22.72</c:v>
                </c:pt>
                <c:pt idx="285">
                  <c:v>22.8</c:v>
                </c:pt>
                <c:pt idx="286">
                  <c:v>22.88</c:v>
                </c:pt>
                <c:pt idx="287">
                  <c:v>22.96</c:v>
                </c:pt>
                <c:pt idx="288">
                  <c:v>23.04</c:v>
                </c:pt>
                <c:pt idx="289">
                  <c:v>23.12</c:v>
                </c:pt>
                <c:pt idx="290">
                  <c:v>23.2</c:v>
                </c:pt>
                <c:pt idx="291">
                  <c:v>23.28</c:v>
                </c:pt>
                <c:pt idx="292">
                  <c:v>23.36</c:v>
                </c:pt>
                <c:pt idx="293">
                  <c:v>23.44</c:v>
                </c:pt>
                <c:pt idx="294">
                  <c:v>23.52</c:v>
                </c:pt>
                <c:pt idx="295">
                  <c:v>23.6</c:v>
                </c:pt>
                <c:pt idx="296">
                  <c:v>23.68</c:v>
                </c:pt>
                <c:pt idx="297">
                  <c:v>23.76</c:v>
                </c:pt>
                <c:pt idx="298">
                  <c:v>23.84</c:v>
                </c:pt>
                <c:pt idx="299">
                  <c:v>23.92</c:v>
                </c:pt>
                <c:pt idx="300">
                  <c:v>24</c:v>
                </c:pt>
                <c:pt idx="301">
                  <c:v>24.08</c:v>
                </c:pt>
                <c:pt idx="302">
                  <c:v>24.16</c:v>
                </c:pt>
                <c:pt idx="303">
                  <c:v>24.24</c:v>
                </c:pt>
                <c:pt idx="304">
                  <c:v>24.32</c:v>
                </c:pt>
                <c:pt idx="305">
                  <c:v>24.4</c:v>
                </c:pt>
                <c:pt idx="306">
                  <c:v>24.48</c:v>
                </c:pt>
                <c:pt idx="307">
                  <c:v>24.56</c:v>
                </c:pt>
                <c:pt idx="308">
                  <c:v>24.64</c:v>
                </c:pt>
                <c:pt idx="309">
                  <c:v>24.72</c:v>
                </c:pt>
                <c:pt idx="310">
                  <c:v>24.8</c:v>
                </c:pt>
                <c:pt idx="311">
                  <c:v>24.88</c:v>
                </c:pt>
                <c:pt idx="312">
                  <c:v>24.96</c:v>
                </c:pt>
                <c:pt idx="313">
                  <c:v>25.04</c:v>
                </c:pt>
                <c:pt idx="314">
                  <c:v>25.12</c:v>
                </c:pt>
                <c:pt idx="315">
                  <c:v>25.2</c:v>
                </c:pt>
                <c:pt idx="316">
                  <c:v>25.28</c:v>
                </c:pt>
                <c:pt idx="317">
                  <c:v>25.36</c:v>
                </c:pt>
                <c:pt idx="318">
                  <c:v>25.44</c:v>
                </c:pt>
                <c:pt idx="319">
                  <c:v>25.52</c:v>
                </c:pt>
                <c:pt idx="320">
                  <c:v>25.6</c:v>
                </c:pt>
                <c:pt idx="321">
                  <c:v>25.68</c:v>
                </c:pt>
                <c:pt idx="322">
                  <c:v>25.76</c:v>
                </c:pt>
                <c:pt idx="323">
                  <c:v>25.84</c:v>
                </c:pt>
                <c:pt idx="324">
                  <c:v>25.92</c:v>
                </c:pt>
                <c:pt idx="325">
                  <c:v>26</c:v>
                </c:pt>
                <c:pt idx="326">
                  <c:v>26.08</c:v>
                </c:pt>
                <c:pt idx="327">
                  <c:v>26.16</c:v>
                </c:pt>
                <c:pt idx="328">
                  <c:v>26.24</c:v>
                </c:pt>
                <c:pt idx="329">
                  <c:v>26.32</c:v>
                </c:pt>
                <c:pt idx="330">
                  <c:v>26.4</c:v>
                </c:pt>
                <c:pt idx="331">
                  <c:v>26.48</c:v>
                </c:pt>
                <c:pt idx="332">
                  <c:v>26.56</c:v>
                </c:pt>
                <c:pt idx="333">
                  <c:v>26.64</c:v>
                </c:pt>
                <c:pt idx="334">
                  <c:v>26.72</c:v>
                </c:pt>
                <c:pt idx="335">
                  <c:v>26.8</c:v>
                </c:pt>
                <c:pt idx="336">
                  <c:v>26.88</c:v>
                </c:pt>
                <c:pt idx="337">
                  <c:v>26.96</c:v>
                </c:pt>
                <c:pt idx="338">
                  <c:v>27.04</c:v>
                </c:pt>
                <c:pt idx="339">
                  <c:v>27.12</c:v>
                </c:pt>
                <c:pt idx="340">
                  <c:v>27.2</c:v>
                </c:pt>
                <c:pt idx="341">
                  <c:v>27.28</c:v>
                </c:pt>
                <c:pt idx="342">
                  <c:v>27.36</c:v>
                </c:pt>
                <c:pt idx="343">
                  <c:v>27.44</c:v>
                </c:pt>
                <c:pt idx="344">
                  <c:v>27.52</c:v>
                </c:pt>
                <c:pt idx="345">
                  <c:v>27.6</c:v>
                </c:pt>
                <c:pt idx="346">
                  <c:v>27.68</c:v>
                </c:pt>
                <c:pt idx="347">
                  <c:v>27.76</c:v>
                </c:pt>
                <c:pt idx="348">
                  <c:v>27.84</c:v>
                </c:pt>
                <c:pt idx="349">
                  <c:v>27.92</c:v>
                </c:pt>
                <c:pt idx="350">
                  <c:v>28</c:v>
                </c:pt>
                <c:pt idx="351">
                  <c:v>28.08</c:v>
                </c:pt>
                <c:pt idx="352">
                  <c:v>28.16</c:v>
                </c:pt>
                <c:pt idx="353">
                  <c:v>28.24</c:v>
                </c:pt>
                <c:pt idx="354">
                  <c:v>28.32</c:v>
                </c:pt>
                <c:pt idx="355">
                  <c:v>28.4</c:v>
                </c:pt>
                <c:pt idx="356">
                  <c:v>28.48</c:v>
                </c:pt>
                <c:pt idx="357">
                  <c:v>28.56</c:v>
                </c:pt>
                <c:pt idx="358">
                  <c:v>28.64</c:v>
                </c:pt>
                <c:pt idx="359">
                  <c:v>28.72</c:v>
                </c:pt>
                <c:pt idx="360">
                  <c:v>28.8</c:v>
                </c:pt>
                <c:pt idx="361">
                  <c:v>28.88</c:v>
                </c:pt>
                <c:pt idx="362">
                  <c:v>28.96</c:v>
                </c:pt>
                <c:pt idx="363">
                  <c:v>29.04</c:v>
                </c:pt>
                <c:pt idx="364">
                  <c:v>29.12</c:v>
                </c:pt>
                <c:pt idx="365">
                  <c:v>29.2</c:v>
                </c:pt>
                <c:pt idx="366">
                  <c:v>29.28</c:v>
                </c:pt>
                <c:pt idx="367">
                  <c:v>29.36</c:v>
                </c:pt>
                <c:pt idx="368">
                  <c:v>29.44</c:v>
                </c:pt>
                <c:pt idx="369">
                  <c:v>29.52</c:v>
                </c:pt>
                <c:pt idx="370">
                  <c:v>29.6</c:v>
                </c:pt>
                <c:pt idx="371">
                  <c:v>29.68</c:v>
                </c:pt>
                <c:pt idx="372">
                  <c:v>29.76</c:v>
                </c:pt>
                <c:pt idx="373">
                  <c:v>29.84</c:v>
                </c:pt>
                <c:pt idx="374">
                  <c:v>29.92</c:v>
                </c:pt>
                <c:pt idx="375">
                  <c:v>30</c:v>
                </c:pt>
                <c:pt idx="376">
                  <c:v>30.08</c:v>
                </c:pt>
                <c:pt idx="377">
                  <c:v>30.16</c:v>
                </c:pt>
                <c:pt idx="378">
                  <c:v>30.24</c:v>
                </c:pt>
                <c:pt idx="379">
                  <c:v>30.32</c:v>
                </c:pt>
                <c:pt idx="380">
                  <c:v>30.4</c:v>
                </c:pt>
                <c:pt idx="381">
                  <c:v>30.48</c:v>
                </c:pt>
                <c:pt idx="382">
                  <c:v>30.56</c:v>
                </c:pt>
                <c:pt idx="383">
                  <c:v>30.64</c:v>
                </c:pt>
                <c:pt idx="384">
                  <c:v>30.72</c:v>
                </c:pt>
                <c:pt idx="385">
                  <c:v>30.8</c:v>
                </c:pt>
                <c:pt idx="386">
                  <c:v>30.88</c:v>
                </c:pt>
                <c:pt idx="387">
                  <c:v>30.96</c:v>
                </c:pt>
                <c:pt idx="388">
                  <c:v>31.04</c:v>
                </c:pt>
                <c:pt idx="389">
                  <c:v>31.12</c:v>
                </c:pt>
                <c:pt idx="390">
                  <c:v>31.2</c:v>
                </c:pt>
                <c:pt idx="391">
                  <c:v>31.28</c:v>
                </c:pt>
                <c:pt idx="392">
                  <c:v>31.36</c:v>
                </c:pt>
                <c:pt idx="393">
                  <c:v>31.44</c:v>
                </c:pt>
                <c:pt idx="394">
                  <c:v>31.52</c:v>
                </c:pt>
                <c:pt idx="395">
                  <c:v>31.6</c:v>
                </c:pt>
                <c:pt idx="396">
                  <c:v>31.68</c:v>
                </c:pt>
                <c:pt idx="397">
                  <c:v>31.76</c:v>
                </c:pt>
                <c:pt idx="398">
                  <c:v>31.84</c:v>
                </c:pt>
                <c:pt idx="399">
                  <c:v>31.92</c:v>
                </c:pt>
                <c:pt idx="400">
                  <c:v>32</c:v>
                </c:pt>
                <c:pt idx="401">
                  <c:v>32.08</c:v>
                </c:pt>
                <c:pt idx="402">
                  <c:v>32.159999999999997</c:v>
                </c:pt>
                <c:pt idx="403">
                  <c:v>32.24</c:v>
                </c:pt>
                <c:pt idx="404">
                  <c:v>32.32</c:v>
                </c:pt>
                <c:pt idx="405">
                  <c:v>32.4</c:v>
                </c:pt>
                <c:pt idx="406">
                  <c:v>32.479999999999997</c:v>
                </c:pt>
                <c:pt idx="407">
                  <c:v>32.56</c:v>
                </c:pt>
                <c:pt idx="408">
                  <c:v>32.64</c:v>
                </c:pt>
                <c:pt idx="409">
                  <c:v>32.72</c:v>
                </c:pt>
                <c:pt idx="410">
                  <c:v>32.799999999999997</c:v>
                </c:pt>
                <c:pt idx="411">
                  <c:v>32.880000000000003</c:v>
                </c:pt>
                <c:pt idx="412">
                  <c:v>32.96</c:v>
                </c:pt>
                <c:pt idx="413">
                  <c:v>33.04</c:v>
                </c:pt>
                <c:pt idx="414">
                  <c:v>33.119999999999997</c:v>
                </c:pt>
                <c:pt idx="415">
                  <c:v>33.200000000000003</c:v>
                </c:pt>
                <c:pt idx="416">
                  <c:v>33.28</c:v>
                </c:pt>
                <c:pt idx="417">
                  <c:v>33.36</c:v>
                </c:pt>
                <c:pt idx="418">
                  <c:v>33.44</c:v>
                </c:pt>
                <c:pt idx="419">
                  <c:v>33.520000000000003</c:v>
                </c:pt>
                <c:pt idx="420">
                  <c:v>33.6</c:v>
                </c:pt>
                <c:pt idx="421">
                  <c:v>33.68</c:v>
                </c:pt>
                <c:pt idx="422">
                  <c:v>33.76</c:v>
                </c:pt>
                <c:pt idx="423">
                  <c:v>33.840000000000003</c:v>
                </c:pt>
                <c:pt idx="424">
                  <c:v>33.92</c:v>
                </c:pt>
                <c:pt idx="425">
                  <c:v>34</c:v>
                </c:pt>
                <c:pt idx="426">
                  <c:v>34.08</c:v>
                </c:pt>
                <c:pt idx="427">
                  <c:v>34.159999999999997</c:v>
                </c:pt>
                <c:pt idx="428">
                  <c:v>34.24</c:v>
                </c:pt>
                <c:pt idx="429">
                  <c:v>34.32</c:v>
                </c:pt>
                <c:pt idx="430">
                  <c:v>34.4</c:v>
                </c:pt>
                <c:pt idx="431">
                  <c:v>34.479999999999997</c:v>
                </c:pt>
                <c:pt idx="432">
                  <c:v>34.56</c:v>
                </c:pt>
                <c:pt idx="433">
                  <c:v>34.64</c:v>
                </c:pt>
                <c:pt idx="434">
                  <c:v>34.72</c:v>
                </c:pt>
                <c:pt idx="435">
                  <c:v>34.799999999999997</c:v>
                </c:pt>
                <c:pt idx="436">
                  <c:v>34.880000000000003</c:v>
                </c:pt>
                <c:pt idx="437">
                  <c:v>34.96</c:v>
                </c:pt>
                <c:pt idx="438">
                  <c:v>35.04</c:v>
                </c:pt>
                <c:pt idx="439">
                  <c:v>35.119999999999997</c:v>
                </c:pt>
                <c:pt idx="440">
                  <c:v>35.200000000000003</c:v>
                </c:pt>
                <c:pt idx="441">
                  <c:v>35.28</c:v>
                </c:pt>
                <c:pt idx="442">
                  <c:v>35.36</c:v>
                </c:pt>
                <c:pt idx="443">
                  <c:v>35.44</c:v>
                </c:pt>
                <c:pt idx="444">
                  <c:v>35.520000000000003</c:v>
                </c:pt>
                <c:pt idx="445">
                  <c:v>35.6</c:v>
                </c:pt>
                <c:pt idx="446">
                  <c:v>35.68</c:v>
                </c:pt>
                <c:pt idx="447">
                  <c:v>35.76</c:v>
                </c:pt>
                <c:pt idx="448">
                  <c:v>35.840000000000003</c:v>
                </c:pt>
                <c:pt idx="449">
                  <c:v>35.92</c:v>
                </c:pt>
                <c:pt idx="450">
                  <c:v>36</c:v>
                </c:pt>
                <c:pt idx="451">
                  <c:v>36.08</c:v>
                </c:pt>
                <c:pt idx="452">
                  <c:v>36.159999999999997</c:v>
                </c:pt>
                <c:pt idx="453">
                  <c:v>36.24</c:v>
                </c:pt>
                <c:pt idx="454">
                  <c:v>36.32</c:v>
                </c:pt>
                <c:pt idx="455">
                  <c:v>36.4</c:v>
                </c:pt>
                <c:pt idx="456">
                  <c:v>36.479999999999997</c:v>
                </c:pt>
                <c:pt idx="457">
                  <c:v>36.56</c:v>
                </c:pt>
                <c:pt idx="458">
                  <c:v>36.64</c:v>
                </c:pt>
                <c:pt idx="459">
                  <c:v>36.72</c:v>
                </c:pt>
                <c:pt idx="460">
                  <c:v>36.799999999999997</c:v>
                </c:pt>
                <c:pt idx="461">
                  <c:v>36.880000000000003</c:v>
                </c:pt>
                <c:pt idx="462">
                  <c:v>36.96</c:v>
                </c:pt>
                <c:pt idx="463">
                  <c:v>37.04</c:v>
                </c:pt>
                <c:pt idx="464">
                  <c:v>37.119999999999997</c:v>
                </c:pt>
                <c:pt idx="465">
                  <c:v>37.200000000000003</c:v>
                </c:pt>
                <c:pt idx="466">
                  <c:v>37.28</c:v>
                </c:pt>
                <c:pt idx="467">
                  <c:v>37.36</c:v>
                </c:pt>
                <c:pt idx="468">
                  <c:v>37.44</c:v>
                </c:pt>
                <c:pt idx="469">
                  <c:v>37.520000000000003</c:v>
                </c:pt>
                <c:pt idx="470">
                  <c:v>37.6</c:v>
                </c:pt>
                <c:pt idx="471">
                  <c:v>37.68</c:v>
                </c:pt>
                <c:pt idx="472">
                  <c:v>37.76</c:v>
                </c:pt>
                <c:pt idx="473">
                  <c:v>37.840000000000003</c:v>
                </c:pt>
                <c:pt idx="474">
                  <c:v>37.92</c:v>
                </c:pt>
                <c:pt idx="475">
                  <c:v>38</c:v>
                </c:pt>
                <c:pt idx="476">
                  <c:v>38.08</c:v>
                </c:pt>
                <c:pt idx="477">
                  <c:v>38.159999999999997</c:v>
                </c:pt>
                <c:pt idx="478">
                  <c:v>38.24</c:v>
                </c:pt>
                <c:pt idx="479">
                  <c:v>38.32</c:v>
                </c:pt>
                <c:pt idx="480">
                  <c:v>38.4</c:v>
                </c:pt>
                <c:pt idx="481">
                  <c:v>38.479999999999997</c:v>
                </c:pt>
                <c:pt idx="482">
                  <c:v>38.56</c:v>
                </c:pt>
                <c:pt idx="483">
                  <c:v>38.64</c:v>
                </c:pt>
                <c:pt idx="484">
                  <c:v>38.72</c:v>
                </c:pt>
                <c:pt idx="485">
                  <c:v>38.799999999999997</c:v>
                </c:pt>
                <c:pt idx="486">
                  <c:v>38.880000000000003</c:v>
                </c:pt>
                <c:pt idx="487">
                  <c:v>38.96</c:v>
                </c:pt>
                <c:pt idx="488">
                  <c:v>39.04</c:v>
                </c:pt>
                <c:pt idx="489">
                  <c:v>39.119999999999997</c:v>
                </c:pt>
                <c:pt idx="490">
                  <c:v>39.200000000000003</c:v>
                </c:pt>
                <c:pt idx="491">
                  <c:v>39.28</c:v>
                </c:pt>
                <c:pt idx="492">
                  <c:v>39.36</c:v>
                </c:pt>
                <c:pt idx="493">
                  <c:v>39.44</c:v>
                </c:pt>
                <c:pt idx="494">
                  <c:v>39.520000000000003</c:v>
                </c:pt>
                <c:pt idx="495">
                  <c:v>39.6</c:v>
                </c:pt>
                <c:pt idx="496">
                  <c:v>39.68</c:v>
                </c:pt>
                <c:pt idx="497">
                  <c:v>39.76</c:v>
                </c:pt>
                <c:pt idx="498">
                  <c:v>39.840000000000003</c:v>
                </c:pt>
                <c:pt idx="499">
                  <c:v>39.92</c:v>
                </c:pt>
                <c:pt idx="500">
                  <c:v>40</c:v>
                </c:pt>
                <c:pt idx="501">
                  <c:v>40.08</c:v>
                </c:pt>
                <c:pt idx="502">
                  <c:v>40.159999999999997</c:v>
                </c:pt>
                <c:pt idx="503">
                  <c:v>40.24</c:v>
                </c:pt>
                <c:pt idx="504">
                  <c:v>40.32</c:v>
                </c:pt>
                <c:pt idx="505">
                  <c:v>40.4</c:v>
                </c:pt>
                <c:pt idx="506">
                  <c:v>40.479999999999997</c:v>
                </c:pt>
                <c:pt idx="507">
                  <c:v>40.56</c:v>
                </c:pt>
                <c:pt idx="508">
                  <c:v>40.64</c:v>
                </c:pt>
                <c:pt idx="509">
                  <c:v>40.72</c:v>
                </c:pt>
                <c:pt idx="510">
                  <c:v>40.799999999999997</c:v>
                </c:pt>
                <c:pt idx="511">
                  <c:v>40.880000000000003</c:v>
                </c:pt>
                <c:pt idx="512">
                  <c:v>40.96</c:v>
                </c:pt>
                <c:pt idx="513">
                  <c:v>41.04</c:v>
                </c:pt>
                <c:pt idx="514">
                  <c:v>41.12</c:v>
                </c:pt>
                <c:pt idx="515">
                  <c:v>41.2</c:v>
                </c:pt>
                <c:pt idx="516">
                  <c:v>41.28</c:v>
                </c:pt>
                <c:pt idx="517">
                  <c:v>41.36</c:v>
                </c:pt>
                <c:pt idx="518">
                  <c:v>41.44</c:v>
                </c:pt>
                <c:pt idx="519">
                  <c:v>41.52</c:v>
                </c:pt>
                <c:pt idx="520">
                  <c:v>41.6</c:v>
                </c:pt>
                <c:pt idx="521">
                  <c:v>41.68</c:v>
                </c:pt>
                <c:pt idx="522">
                  <c:v>41.76</c:v>
                </c:pt>
                <c:pt idx="523">
                  <c:v>41.84</c:v>
                </c:pt>
                <c:pt idx="524">
                  <c:v>41.92</c:v>
                </c:pt>
                <c:pt idx="525">
                  <c:v>42</c:v>
                </c:pt>
                <c:pt idx="526">
                  <c:v>42.08</c:v>
                </c:pt>
                <c:pt idx="527">
                  <c:v>42.16</c:v>
                </c:pt>
                <c:pt idx="528">
                  <c:v>42.24</c:v>
                </c:pt>
                <c:pt idx="529">
                  <c:v>42.32</c:v>
                </c:pt>
                <c:pt idx="530">
                  <c:v>42.4</c:v>
                </c:pt>
                <c:pt idx="531">
                  <c:v>42.48</c:v>
                </c:pt>
                <c:pt idx="532">
                  <c:v>42.56</c:v>
                </c:pt>
                <c:pt idx="533">
                  <c:v>42.64</c:v>
                </c:pt>
                <c:pt idx="534">
                  <c:v>42.72</c:v>
                </c:pt>
                <c:pt idx="535">
                  <c:v>42.8</c:v>
                </c:pt>
                <c:pt idx="536">
                  <c:v>42.88</c:v>
                </c:pt>
                <c:pt idx="537">
                  <c:v>42.96</c:v>
                </c:pt>
                <c:pt idx="538">
                  <c:v>43.04</c:v>
                </c:pt>
                <c:pt idx="539">
                  <c:v>43.12</c:v>
                </c:pt>
                <c:pt idx="540">
                  <c:v>43.2</c:v>
                </c:pt>
                <c:pt idx="541">
                  <c:v>43.28</c:v>
                </c:pt>
                <c:pt idx="542">
                  <c:v>43.36</c:v>
                </c:pt>
                <c:pt idx="543">
                  <c:v>43.44</c:v>
                </c:pt>
                <c:pt idx="544">
                  <c:v>43.52</c:v>
                </c:pt>
                <c:pt idx="545">
                  <c:v>43.6</c:v>
                </c:pt>
                <c:pt idx="546">
                  <c:v>43.68</c:v>
                </c:pt>
                <c:pt idx="547">
                  <c:v>43.76</c:v>
                </c:pt>
                <c:pt idx="548">
                  <c:v>43.84</c:v>
                </c:pt>
                <c:pt idx="549">
                  <c:v>43.92</c:v>
                </c:pt>
                <c:pt idx="550">
                  <c:v>44</c:v>
                </c:pt>
                <c:pt idx="551">
                  <c:v>44.08</c:v>
                </c:pt>
                <c:pt idx="552">
                  <c:v>44.16</c:v>
                </c:pt>
                <c:pt idx="553">
                  <c:v>44.24</c:v>
                </c:pt>
                <c:pt idx="554">
                  <c:v>44.32</c:v>
                </c:pt>
                <c:pt idx="555">
                  <c:v>44.4</c:v>
                </c:pt>
                <c:pt idx="556">
                  <c:v>44.48</c:v>
                </c:pt>
                <c:pt idx="557">
                  <c:v>44.56</c:v>
                </c:pt>
                <c:pt idx="558">
                  <c:v>44.64</c:v>
                </c:pt>
                <c:pt idx="559">
                  <c:v>44.72</c:v>
                </c:pt>
                <c:pt idx="560">
                  <c:v>44.8</c:v>
                </c:pt>
                <c:pt idx="561">
                  <c:v>44.88</c:v>
                </c:pt>
                <c:pt idx="562">
                  <c:v>44.96</c:v>
                </c:pt>
                <c:pt idx="563">
                  <c:v>45.04</c:v>
                </c:pt>
                <c:pt idx="564">
                  <c:v>45.12</c:v>
                </c:pt>
                <c:pt idx="565">
                  <c:v>45.2</c:v>
                </c:pt>
                <c:pt idx="566">
                  <c:v>45.28</c:v>
                </c:pt>
                <c:pt idx="567">
                  <c:v>45.36</c:v>
                </c:pt>
                <c:pt idx="568">
                  <c:v>45.44</c:v>
                </c:pt>
                <c:pt idx="569">
                  <c:v>45.52</c:v>
                </c:pt>
                <c:pt idx="570">
                  <c:v>45.6</c:v>
                </c:pt>
                <c:pt idx="571">
                  <c:v>45.68</c:v>
                </c:pt>
                <c:pt idx="572">
                  <c:v>45.76</c:v>
                </c:pt>
                <c:pt idx="573">
                  <c:v>45.84</c:v>
                </c:pt>
                <c:pt idx="574">
                  <c:v>45.92</c:v>
                </c:pt>
                <c:pt idx="575">
                  <c:v>46</c:v>
                </c:pt>
                <c:pt idx="576">
                  <c:v>46.08</c:v>
                </c:pt>
                <c:pt idx="577">
                  <c:v>46.16</c:v>
                </c:pt>
                <c:pt idx="578">
                  <c:v>46.24</c:v>
                </c:pt>
                <c:pt idx="579">
                  <c:v>46.32</c:v>
                </c:pt>
                <c:pt idx="580">
                  <c:v>46.4</c:v>
                </c:pt>
                <c:pt idx="581">
                  <c:v>46.48</c:v>
                </c:pt>
                <c:pt idx="582">
                  <c:v>46.56</c:v>
                </c:pt>
                <c:pt idx="583">
                  <c:v>46.64</c:v>
                </c:pt>
                <c:pt idx="584">
                  <c:v>46.72</c:v>
                </c:pt>
                <c:pt idx="585">
                  <c:v>46.8</c:v>
                </c:pt>
                <c:pt idx="586">
                  <c:v>46.88</c:v>
                </c:pt>
                <c:pt idx="587">
                  <c:v>46.96</c:v>
                </c:pt>
                <c:pt idx="588">
                  <c:v>47.04</c:v>
                </c:pt>
                <c:pt idx="589">
                  <c:v>47.12</c:v>
                </c:pt>
                <c:pt idx="590">
                  <c:v>47.2</c:v>
                </c:pt>
                <c:pt idx="591">
                  <c:v>47.28</c:v>
                </c:pt>
                <c:pt idx="592">
                  <c:v>47.36</c:v>
                </c:pt>
                <c:pt idx="593">
                  <c:v>47.44</c:v>
                </c:pt>
                <c:pt idx="594">
                  <c:v>47.52</c:v>
                </c:pt>
                <c:pt idx="595">
                  <c:v>47.6</c:v>
                </c:pt>
                <c:pt idx="596">
                  <c:v>47.68</c:v>
                </c:pt>
                <c:pt idx="597">
                  <c:v>47.76</c:v>
                </c:pt>
                <c:pt idx="598">
                  <c:v>47.84</c:v>
                </c:pt>
                <c:pt idx="599">
                  <c:v>47.92</c:v>
                </c:pt>
                <c:pt idx="600">
                  <c:v>48</c:v>
                </c:pt>
                <c:pt idx="601">
                  <c:v>48.08</c:v>
                </c:pt>
                <c:pt idx="602">
                  <c:v>48.16</c:v>
                </c:pt>
                <c:pt idx="603">
                  <c:v>48.24</c:v>
                </c:pt>
                <c:pt idx="604">
                  <c:v>48.32</c:v>
                </c:pt>
                <c:pt idx="605">
                  <c:v>48.4</c:v>
                </c:pt>
                <c:pt idx="606">
                  <c:v>48.48</c:v>
                </c:pt>
                <c:pt idx="607">
                  <c:v>48.56</c:v>
                </c:pt>
                <c:pt idx="608">
                  <c:v>48.64</c:v>
                </c:pt>
                <c:pt idx="609">
                  <c:v>48.72</c:v>
                </c:pt>
                <c:pt idx="610">
                  <c:v>48.8</c:v>
                </c:pt>
                <c:pt idx="611">
                  <c:v>48.88</c:v>
                </c:pt>
                <c:pt idx="612">
                  <c:v>48.96</c:v>
                </c:pt>
                <c:pt idx="613">
                  <c:v>49.04</c:v>
                </c:pt>
                <c:pt idx="614">
                  <c:v>49.12</c:v>
                </c:pt>
                <c:pt idx="615">
                  <c:v>49.2</c:v>
                </c:pt>
                <c:pt idx="616">
                  <c:v>49.28</c:v>
                </c:pt>
                <c:pt idx="617">
                  <c:v>49.36</c:v>
                </c:pt>
                <c:pt idx="618">
                  <c:v>49.44</c:v>
                </c:pt>
                <c:pt idx="619">
                  <c:v>49.52</c:v>
                </c:pt>
                <c:pt idx="620">
                  <c:v>49.6</c:v>
                </c:pt>
                <c:pt idx="621">
                  <c:v>49.68</c:v>
                </c:pt>
                <c:pt idx="622">
                  <c:v>49.76</c:v>
                </c:pt>
                <c:pt idx="623">
                  <c:v>49.84</c:v>
                </c:pt>
                <c:pt idx="624">
                  <c:v>49.92</c:v>
                </c:pt>
                <c:pt idx="625">
                  <c:v>50</c:v>
                </c:pt>
                <c:pt idx="626">
                  <c:v>50.08</c:v>
                </c:pt>
                <c:pt idx="627">
                  <c:v>50.16</c:v>
                </c:pt>
                <c:pt idx="628">
                  <c:v>50.24</c:v>
                </c:pt>
                <c:pt idx="629">
                  <c:v>50.32</c:v>
                </c:pt>
                <c:pt idx="630">
                  <c:v>50.4</c:v>
                </c:pt>
                <c:pt idx="631">
                  <c:v>50.48</c:v>
                </c:pt>
                <c:pt idx="632">
                  <c:v>50.56</c:v>
                </c:pt>
                <c:pt idx="633">
                  <c:v>50.64</c:v>
                </c:pt>
                <c:pt idx="634">
                  <c:v>50.72</c:v>
                </c:pt>
                <c:pt idx="635">
                  <c:v>50.8</c:v>
                </c:pt>
                <c:pt idx="636">
                  <c:v>50.88</c:v>
                </c:pt>
                <c:pt idx="637">
                  <c:v>50.96</c:v>
                </c:pt>
                <c:pt idx="638">
                  <c:v>51.04</c:v>
                </c:pt>
                <c:pt idx="639">
                  <c:v>51.12</c:v>
                </c:pt>
                <c:pt idx="640">
                  <c:v>51.2</c:v>
                </c:pt>
                <c:pt idx="641">
                  <c:v>51.28</c:v>
                </c:pt>
                <c:pt idx="642">
                  <c:v>51.36</c:v>
                </c:pt>
                <c:pt idx="643">
                  <c:v>51.44</c:v>
                </c:pt>
                <c:pt idx="644">
                  <c:v>51.52</c:v>
                </c:pt>
                <c:pt idx="645">
                  <c:v>51.6</c:v>
                </c:pt>
                <c:pt idx="646">
                  <c:v>51.68</c:v>
                </c:pt>
                <c:pt idx="647">
                  <c:v>51.76</c:v>
                </c:pt>
                <c:pt idx="648">
                  <c:v>51.84</c:v>
                </c:pt>
                <c:pt idx="649">
                  <c:v>51.92</c:v>
                </c:pt>
                <c:pt idx="650">
                  <c:v>52</c:v>
                </c:pt>
                <c:pt idx="651">
                  <c:v>52.08</c:v>
                </c:pt>
                <c:pt idx="652">
                  <c:v>52.16</c:v>
                </c:pt>
                <c:pt idx="653">
                  <c:v>52.24</c:v>
                </c:pt>
                <c:pt idx="654">
                  <c:v>52.32</c:v>
                </c:pt>
                <c:pt idx="655">
                  <c:v>52.4</c:v>
                </c:pt>
                <c:pt idx="656">
                  <c:v>52.48</c:v>
                </c:pt>
                <c:pt idx="657">
                  <c:v>52.56</c:v>
                </c:pt>
                <c:pt idx="658">
                  <c:v>52.64</c:v>
                </c:pt>
                <c:pt idx="659">
                  <c:v>52.72</c:v>
                </c:pt>
                <c:pt idx="660">
                  <c:v>52.8</c:v>
                </c:pt>
                <c:pt idx="661">
                  <c:v>52.88</c:v>
                </c:pt>
                <c:pt idx="662">
                  <c:v>52.96</c:v>
                </c:pt>
                <c:pt idx="663">
                  <c:v>53.04</c:v>
                </c:pt>
                <c:pt idx="664">
                  <c:v>53.12</c:v>
                </c:pt>
                <c:pt idx="665">
                  <c:v>53.2</c:v>
                </c:pt>
                <c:pt idx="666">
                  <c:v>53.28</c:v>
                </c:pt>
                <c:pt idx="667">
                  <c:v>53.36</c:v>
                </c:pt>
                <c:pt idx="668">
                  <c:v>53.44</c:v>
                </c:pt>
                <c:pt idx="669">
                  <c:v>53.52</c:v>
                </c:pt>
                <c:pt idx="670">
                  <c:v>53.6</c:v>
                </c:pt>
                <c:pt idx="671">
                  <c:v>53.68</c:v>
                </c:pt>
                <c:pt idx="672">
                  <c:v>53.76</c:v>
                </c:pt>
                <c:pt idx="673">
                  <c:v>53.84</c:v>
                </c:pt>
                <c:pt idx="674">
                  <c:v>53.92</c:v>
                </c:pt>
                <c:pt idx="675">
                  <c:v>54</c:v>
                </c:pt>
                <c:pt idx="676">
                  <c:v>54.08</c:v>
                </c:pt>
                <c:pt idx="677">
                  <c:v>54.16</c:v>
                </c:pt>
                <c:pt idx="678">
                  <c:v>54.24</c:v>
                </c:pt>
                <c:pt idx="679">
                  <c:v>54.32</c:v>
                </c:pt>
                <c:pt idx="680">
                  <c:v>54.4</c:v>
                </c:pt>
                <c:pt idx="681">
                  <c:v>54.48</c:v>
                </c:pt>
                <c:pt idx="682">
                  <c:v>54.56</c:v>
                </c:pt>
                <c:pt idx="683">
                  <c:v>54.64</c:v>
                </c:pt>
                <c:pt idx="684">
                  <c:v>54.72</c:v>
                </c:pt>
                <c:pt idx="685">
                  <c:v>54.8</c:v>
                </c:pt>
                <c:pt idx="686">
                  <c:v>54.88</c:v>
                </c:pt>
                <c:pt idx="687">
                  <c:v>54.96</c:v>
                </c:pt>
                <c:pt idx="688">
                  <c:v>55.04</c:v>
                </c:pt>
                <c:pt idx="689">
                  <c:v>55.12</c:v>
                </c:pt>
                <c:pt idx="690">
                  <c:v>55.2</c:v>
                </c:pt>
                <c:pt idx="691">
                  <c:v>55.28</c:v>
                </c:pt>
                <c:pt idx="692">
                  <c:v>55.36</c:v>
                </c:pt>
                <c:pt idx="693">
                  <c:v>55.44</c:v>
                </c:pt>
                <c:pt idx="694">
                  <c:v>55.52</c:v>
                </c:pt>
                <c:pt idx="695">
                  <c:v>55.6</c:v>
                </c:pt>
                <c:pt idx="696">
                  <c:v>55.68</c:v>
                </c:pt>
                <c:pt idx="697">
                  <c:v>55.76</c:v>
                </c:pt>
                <c:pt idx="698">
                  <c:v>55.84</c:v>
                </c:pt>
                <c:pt idx="699">
                  <c:v>55.92</c:v>
                </c:pt>
                <c:pt idx="700">
                  <c:v>56</c:v>
                </c:pt>
                <c:pt idx="701">
                  <c:v>56.08</c:v>
                </c:pt>
                <c:pt idx="702">
                  <c:v>56.16</c:v>
                </c:pt>
                <c:pt idx="703">
                  <c:v>56.24</c:v>
                </c:pt>
                <c:pt idx="704">
                  <c:v>56.32</c:v>
                </c:pt>
                <c:pt idx="705">
                  <c:v>56.4</c:v>
                </c:pt>
                <c:pt idx="706">
                  <c:v>56.48</c:v>
                </c:pt>
                <c:pt idx="707">
                  <c:v>56.56</c:v>
                </c:pt>
                <c:pt idx="708">
                  <c:v>56.64</c:v>
                </c:pt>
                <c:pt idx="709">
                  <c:v>56.72</c:v>
                </c:pt>
                <c:pt idx="710">
                  <c:v>56.8</c:v>
                </c:pt>
                <c:pt idx="711">
                  <c:v>56.88</c:v>
                </c:pt>
                <c:pt idx="712">
                  <c:v>56.96</c:v>
                </c:pt>
                <c:pt idx="713">
                  <c:v>57.04</c:v>
                </c:pt>
                <c:pt idx="714">
                  <c:v>57.12</c:v>
                </c:pt>
                <c:pt idx="715">
                  <c:v>57.2</c:v>
                </c:pt>
                <c:pt idx="716">
                  <c:v>57.28</c:v>
                </c:pt>
                <c:pt idx="717">
                  <c:v>57.36</c:v>
                </c:pt>
                <c:pt idx="718">
                  <c:v>57.44</c:v>
                </c:pt>
                <c:pt idx="719">
                  <c:v>57.52</c:v>
                </c:pt>
                <c:pt idx="720">
                  <c:v>57.6</c:v>
                </c:pt>
                <c:pt idx="721">
                  <c:v>57.68</c:v>
                </c:pt>
                <c:pt idx="722">
                  <c:v>57.76</c:v>
                </c:pt>
                <c:pt idx="723">
                  <c:v>57.84</c:v>
                </c:pt>
                <c:pt idx="724">
                  <c:v>57.92</c:v>
                </c:pt>
                <c:pt idx="725">
                  <c:v>58</c:v>
                </c:pt>
                <c:pt idx="726">
                  <c:v>58.08</c:v>
                </c:pt>
                <c:pt idx="727">
                  <c:v>58.16</c:v>
                </c:pt>
                <c:pt idx="728">
                  <c:v>58.24</c:v>
                </c:pt>
                <c:pt idx="729">
                  <c:v>58.32</c:v>
                </c:pt>
                <c:pt idx="730">
                  <c:v>58.4</c:v>
                </c:pt>
                <c:pt idx="731">
                  <c:v>58.48</c:v>
                </c:pt>
                <c:pt idx="732">
                  <c:v>58.56</c:v>
                </c:pt>
                <c:pt idx="733">
                  <c:v>58.64</c:v>
                </c:pt>
                <c:pt idx="734">
                  <c:v>58.72</c:v>
                </c:pt>
                <c:pt idx="735">
                  <c:v>58.8</c:v>
                </c:pt>
                <c:pt idx="736">
                  <c:v>58.88</c:v>
                </c:pt>
                <c:pt idx="737">
                  <c:v>58.96</c:v>
                </c:pt>
                <c:pt idx="738">
                  <c:v>59.04</c:v>
                </c:pt>
                <c:pt idx="739">
                  <c:v>59.12</c:v>
                </c:pt>
                <c:pt idx="740">
                  <c:v>59.2</c:v>
                </c:pt>
                <c:pt idx="741">
                  <c:v>59.28</c:v>
                </c:pt>
                <c:pt idx="742">
                  <c:v>59.36</c:v>
                </c:pt>
                <c:pt idx="743">
                  <c:v>59.44</c:v>
                </c:pt>
                <c:pt idx="744">
                  <c:v>59.52</c:v>
                </c:pt>
                <c:pt idx="745">
                  <c:v>59.6</c:v>
                </c:pt>
                <c:pt idx="746">
                  <c:v>59.68</c:v>
                </c:pt>
                <c:pt idx="747">
                  <c:v>59.76</c:v>
                </c:pt>
                <c:pt idx="748">
                  <c:v>59.84</c:v>
                </c:pt>
                <c:pt idx="749">
                  <c:v>59.92</c:v>
                </c:pt>
                <c:pt idx="750">
                  <c:v>60</c:v>
                </c:pt>
              </c:numCache>
            </c:numRef>
          </c:xVal>
          <c:yVal>
            <c:numRef>
              <c:f>Sheet1!$I$10:$I$760</c:f>
              <c:numCache>
                <c:formatCode>0.00</c:formatCode>
                <c:ptCount val="751"/>
                <c:pt idx="0">
                  <c:v>167.7</c:v>
                </c:pt>
                <c:pt idx="1">
                  <c:v>166.52590832656171</c:v>
                </c:pt>
                <c:pt idx="2">
                  <c:v>165.36307883660089</c:v>
                </c:pt>
                <c:pt idx="3">
                  <c:v>164.21140350041284</c:v>
                </c:pt>
                <c:pt idx="4">
                  <c:v>163.07077532454116</c:v>
                </c:pt>
                <c:pt idx="5">
                  <c:v>161.94108834183766</c:v>
                </c:pt>
                <c:pt idx="6">
                  <c:v>160.82223760161764</c:v>
                </c:pt>
                <c:pt idx="7">
                  <c:v>159.71411915990998</c:v>
                </c:pt>
                <c:pt idx="8">
                  <c:v>158.61663006980029</c:v>
                </c:pt>
                <c:pt idx="9">
                  <c:v>157.52966837186699</c:v>
                </c:pt>
                <c:pt idx="10">
                  <c:v>156.45313308470895</c:v>
                </c:pt>
                <c:pt idx="11">
                  <c:v>155.38692419556406</c:v>
                </c:pt>
                <c:pt idx="12">
                  <c:v>154.33094265101798</c:v>
                </c:pt>
                <c:pt idx="13">
                  <c:v>153.2850903478016</c:v>
                </c:pt>
                <c:pt idx="14">
                  <c:v>152.24927012367715</c:v>
                </c:pt>
                <c:pt idx="15">
                  <c:v>151.22338574841154</c:v>
                </c:pt>
                <c:pt idx="16">
                  <c:v>150.20734191483638</c:v>
                </c:pt>
                <c:pt idx="17">
                  <c:v>149.20104422999364</c:v>
                </c:pt>
                <c:pt idx="18">
                  <c:v>148.20439920636639</c:v>
                </c:pt>
                <c:pt idx="19">
                  <c:v>147.21731425319348</c:v>
                </c:pt>
                <c:pt idx="20">
                  <c:v>146.2396976678678</c:v>
                </c:pt>
                <c:pt idx="21">
                  <c:v>145.27145862741665</c:v>
                </c:pt>
                <c:pt idx="22">
                  <c:v>144.3125071800643</c:v>
                </c:pt>
                <c:pt idx="23">
                  <c:v>143.36275423687511</c:v>
                </c:pt>
                <c:pt idx="24">
                  <c:v>142.4221115634769</c:v>
                </c:pt>
                <c:pt idx="25">
                  <c:v>141.49049177186396</c:v>
                </c:pt>
                <c:pt idx="26">
                  <c:v>140.56780831227837</c:v>
                </c:pt>
                <c:pt idx="27">
                  <c:v>139.65397546516925</c:v>
                </c:pt>
                <c:pt idx="28">
                  <c:v>138.74890833322928</c:v>
                </c:pt>
                <c:pt idx="29">
                  <c:v>137.85252283350752</c:v>
                </c:pt>
                <c:pt idx="30">
                  <c:v>136.964735689598</c:v>
                </c:pt>
                <c:pt idx="31">
                  <c:v>136.08546442390292</c:v>
                </c:pt>
                <c:pt idx="32">
                  <c:v>135.2146273499705</c:v>
                </c:pt>
                <c:pt idx="33">
                  <c:v>134.3521435649059</c:v>
                </c:pt>
                <c:pt idx="34">
                  <c:v>133.49793294185537</c:v>
                </c:pt>
                <c:pt idx="35">
                  <c:v>132.65191612256206</c:v>
                </c:pt>
                <c:pt idx="36">
                  <c:v>131.81401450999363</c:v>
                </c:pt>
                <c:pt idx="37">
                  <c:v>130.98415026104021</c:v>
                </c:pt>
                <c:pt idx="38">
                  <c:v>130.16224627928267</c:v>
                </c:pt>
                <c:pt idx="39">
                  <c:v>129.34822620783029</c:v>
                </c:pt>
                <c:pt idx="40">
                  <c:v>128.54201442222677</c:v>
                </c:pt>
                <c:pt idx="41">
                  <c:v>127.74353602342477</c:v>
                </c:pt>
                <c:pt idx="42">
                  <c:v>126.95271683082746</c:v>
                </c:pt>
                <c:pt idx="43">
                  <c:v>126.16948337539699</c:v>
                </c:pt>
                <c:pt idx="44">
                  <c:v>125.39376289282913</c:v>
                </c:pt>
                <c:pt idx="45">
                  <c:v>124.62548331679311</c:v>
                </c:pt>
                <c:pt idx="46">
                  <c:v>123.86457327223661</c:v>
                </c:pt>
                <c:pt idx="47">
                  <c:v>123.1109620687549</c:v>
                </c:pt>
                <c:pt idx="48">
                  <c:v>122.36457969402332</c:v>
                </c:pt>
                <c:pt idx="49">
                  <c:v>121.62535680729313</c:v>
                </c:pt>
                <c:pt idx="50">
                  <c:v>120.89322473294962</c:v>
                </c:pt>
                <c:pt idx="51">
                  <c:v>120.16811545413178</c:v>
                </c:pt>
                <c:pt idx="52">
                  <c:v>119.44996160641355</c:v>
                </c:pt>
                <c:pt idx="53">
                  <c:v>118.73869647154542</c:v>
                </c:pt>
                <c:pt idx="54">
                  <c:v>118.03425397125621</c:v>
                </c:pt>
                <c:pt idx="55">
                  <c:v>117.33656866111407</c:v>
                </c:pt>
                <c:pt idx="56">
                  <c:v>116.64557572444677</c:v>
                </c:pt>
                <c:pt idx="57">
                  <c:v>115.96121096631988</c:v>
                </c:pt>
                <c:pt idx="58">
                  <c:v>115.28341080757296</c:v>
                </c:pt>
                <c:pt idx="59">
                  <c:v>114.612112278913</c:v>
                </c:pt>
                <c:pt idx="60">
                  <c:v>113.94725301506422</c:v>
                </c:pt>
                <c:pt idx="61">
                  <c:v>113.28877124897438</c:v>
                </c:pt>
                <c:pt idx="62">
                  <c:v>112.63660580607635</c:v>
                </c:pt>
                <c:pt idx="63">
                  <c:v>111.99069609860486</c:v>
                </c:pt>
                <c:pt idx="64">
                  <c:v>111.35098211996782</c:v>
                </c:pt>
                <c:pt idx="65">
                  <c:v>110.71740443917146</c:v>
                </c:pt>
                <c:pt idx="66">
                  <c:v>110.08990419529911</c:v>
                </c:pt>
                <c:pt idx="67">
                  <c:v>109.46842309204288</c:v>
                </c:pt>
                <c:pt idx="68">
                  <c:v>108.85290339228771</c:v>
                </c:pt>
                <c:pt idx="69">
                  <c:v>108.2432879127476</c:v>
                </c:pt>
                <c:pt idx="70">
                  <c:v>107.63952001865295</c:v>
                </c:pt>
                <c:pt idx="71">
                  <c:v>107.04154361848924</c:v>
                </c:pt>
                <c:pt idx="72">
                  <c:v>106.44930315878585</c:v>
                </c:pt>
                <c:pt idx="73">
                  <c:v>105.86274361895511</c:v>
                </c:pt>
                <c:pt idx="74">
                  <c:v>105.28181050618068</c:v>
                </c:pt>
                <c:pt idx="75">
                  <c:v>104.70644985035503</c:v>
                </c:pt>
                <c:pt idx="76">
                  <c:v>104.13660819906556</c:v>
                </c:pt>
                <c:pt idx="77">
                  <c:v>103.57223261262871</c:v>
                </c:pt>
                <c:pt idx="78">
                  <c:v>103.01327065917162</c:v>
                </c:pt>
                <c:pt idx="79">
                  <c:v>102.45967040976132</c:v>
                </c:pt>
                <c:pt idx="80">
                  <c:v>101.91138043358015</c:v>
                </c:pt>
                <c:pt idx="81">
                  <c:v>101.36834979314784</c:v>
                </c:pt>
                <c:pt idx="82">
                  <c:v>100.83052803958935</c:v>
                </c:pt>
                <c:pt idx="83">
                  <c:v>100.29786520794792</c:v>
                </c:pt>
                <c:pt idx="84">
                  <c:v>99.770311812543241</c:v>
                </c:pt>
                <c:pt idx="85">
                  <c:v>99.247818842374187</c:v>
                </c:pt>
                <c:pt idx="86">
                  <c:v>98.730337756565461</c:v>
                </c:pt>
                <c:pt idx="87">
                  <c:v>98.217820479858119</c:v>
                </c:pt>
                <c:pt idx="88">
                  <c:v>97.710219398143238</c:v>
                </c:pt>
                <c:pt idx="89">
                  <c:v>97.207487354038392</c:v>
                </c:pt>
                <c:pt idx="90">
                  <c:v>96.709577642506702</c:v>
                </c:pt>
                <c:pt idx="91">
                  <c:v>96.216444006517776</c:v>
                </c:pt>
                <c:pt idx="92">
                  <c:v>95.728040632750321</c:v>
                </c:pt>
                <c:pt idx="93">
                  <c:v>95.244322147335936</c:v>
                </c:pt>
                <c:pt idx="94">
                  <c:v>94.765243611643911</c:v>
                </c:pt>
                <c:pt idx="95">
                  <c:v>94.290760518106111</c:v>
                </c:pt>
                <c:pt idx="96">
                  <c:v>93.820828786082274</c:v>
                </c:pt>
                <c:pt idx="97">
                  <c:v>93.355404757764774</c:v>
                </c:pt>
                <c:pt idx="98">
                  <c:v>92.894445194122625</c:v>
                </c:pt>
                <c:pt idx="99">
                  <c:v>92.437907270884608</c:v>
                </c:pt>
                <c:pt idx="100">
                  <c:v>91.98574857456066</c:v>
                </c:pt>
                <c:pt idx="101">
                  <c:v>91.537927098501655</c:v>
                </c:pt>
                <c:pt idx="102">
                  <c:v>91.094401238996767</c:v>
                </c:pt>
                <c:pt idx="103">
                  <c:v>90.655129791408569</c:v>
                </c:pt>
                <c:pt idx="104">
                  <c:v>90.220071946344802</c:v>
                </c:pt>
                <c:pt idx="105">
                  <c:v>89.789187285867257</c:v>
                </c:pt>
                <c:pt idx="106">
                  <c:v>89.362435779736757</c:v>
                </c:pt>
                <c:pt idx="107">
                  <c:v>88.939777781694289</c:v>
                </c:pt>
                <c:pt idx="108">
                  <c:v>88.521174025777782</c:v>
                </c:pt>
                <c:pt idx="109">
                  <c:v>88.106585622674075</c:v>
                </c:pt>
                <c:pt idx="110">
                  <c:v>87.695974056106223</c:v>
                </c:pt>
                <c:pt idx="111">
                  <c:v>87.289301179255091</c:v>
                </c:pt>
                <c:pt idx="112">
                  <c:v>86.886529211215432</c:v>
                </c:pt>
                <c:pt idx="113">
                  <c:v>86.487620733485983</c:v>
                </c:pt>
                <c:pt idx="114">
                  <c:v>86.092538686493185</c:v>
                </c:pt>
                <c:pt idx="115">
                  <c:v>85.70124636614824</c:v>
                </c:pt>
                <c:pt idx="116">
                  <c:v>85.313707420437268</c:v>
                </c:pt>
                <c:pt idx="117">
                  <c:v>84.929885846044044</c:v>
                </c:pt>
                <c:pt idx="118">
                  <c:v>84.549745985005245</c:v>
                </c:pt>
                <c:pt idx="119">
                  <c:v>84.173252521397728</c:v>
                </c:pt>
                <c:pt idx="120">
                  <c:v>83.800370478057545</c:v>
                </c:pt>
                <c:pt idx="121">
                  <c:v>83.431065213330641</c:v>
                </c:pt>
                <c:pt idx="122">
                  <c:v>83.065302417854298</c:v>
                </c:pt>
                <c:pt idx="123">
                  <c:v>82.703048111369966</c:v>
                </c:pt>
                <c:pt idx="124">
                  <c:v>82.344268639566295</c:v>
                </c:pt>
                <c:pt idx="125">
                  <c:v>81.988930670952527</c:v>
                </c:pt>
                <c:pt idx="126">
                  <c:v>81.637001193762018</c:v>
                </c:pt>
                <c:pt idx="127">
                  <c:v>81.288447512885284</c:v>
                </c:pt>
                <c:pt idx="128">
                  <c:v>80.943237246832581</c:v>
                </c:pt>
                <c:pt idx="129">
                  <c:v>80.601338324725646</c:v>
                </c:pt>
                <c:pt idx="130">
                  <c:v>80.262718983318052</c:v>
                </c:pt>
                <c:pt idx="131">
                  <c:v>79.927347764044555</c:v>
                </c:pt>
                <c:pt idx="132">
                  <c:v>79.595193510098355</c:v>
                </c:pt>
                <c:pt idx="133">
                  <c:v>79.266225363536577</c:v>
                </c:pt>
                <c:pt idx="134">
                  <c:v>78.940412762413587</c:v>
                </c:pt>
                <c:pt idx="135">
                  <c:v>78.617725437941544</c:v>
                </c:pt>
                <c:pt idx="136">
                  <c:v>78.298133411678563</c:v>
                </c:pt>
                <c:pt idx="137">
                  <c:v>77.981606992743451</c:v>
                </c:pt>
                <c:pt idx="138">
                  <c:v>77.668116775057513</c:v>
                </c:pt>
                <c:pt idx="139">
                  <c:v>77.357633634612455</c:v>
                </c:pt>
                <c:pt idx="140">
                  <c:v>77.050128726764967</c:v>
                </c:pt>
                <c:pt idx="141">
                  <c:v>76.74557348355674</c:v>
                </c:pt>
                <c:pt idx="142">
                  <c:v>76.443939611060529</c:v>
                </c:pt>
                <c:pt idx="143">
                  <c:v>76.145199086751617</c:v>
                </c:pt>
                <c:pt idx="144">
                  <c:v>75.849324156904402</c:v>
                </c:pt>
                <c:pt idx="145">
                  <c:v>75.556287334013973</c:v>
                </c:pt>
                <c:pt idx="146">
                  <c:v>75.266061394242556</c:v>
                </c:pt>
                <c:pt idx="147">
                  <c:v>74.978619374890272</c:v>
                </c:pt>
                <c:pt idx="148">
                  <c:v>74.693934571890253</c:v>
                </c:pt>
                <c:pt idx="149">
                  <c:v>74.411980537327779</c:v>
                </c:pt>
                <c:pt idx="150">
                  <c:v>74.132731076983234</c:v>
                </c:pt>
                <c:pt idx="151">
                  <c:v>73.856160247898501</c:v>
                </c:pt>
                <c:pt idx="152">
                  <c:v>73.582242355966912</c:v>
                </c:pt>
                <c:pt idx="153">
                  <c:v>73.310951953546123</c:v>
                </c:pt>
                <c:pt idx="154">
                  <c:v>73.042263837094026</c:v>
                </c:pt>
                <c:pt idx="155">
                  <c:v>72.776153044827197</c:v>
                </c:pt>
                <c:pt idx="156">
                  <c:v>72.512594854401968</c:v>
                </c:pt>
                <c:pt idx="157">
                  <c:v>72.251564780617642</c:v>
                </c:pt>
                <c:pt idx="158">
                  <c:v>71.993038573141703</c:v>
                </c:pt>
                <c:pt idx="159">
                  <c:v>71.736992214256958</c:v>
                </c:pt>
                <c:pt idx="160">
                  <c:v>71.483401916630243</c:v>
                </c:pt>
                <c:pt idx="161">
                  <c:v>71.232244121102426</c:v>
                </c:pt>
                <c:pt idx="162">
                  <c:v>70.983495494499849</c:v>
                </c:pt>
                <c:pt idx="163">
                  <c:v>70.737132927466519</c:v>
                </c:pt>
                <c:pt idx="164">
                  <c:v>70.49313353231716</c:v>
                </c:pt>
                <c:pt idx="165">
                  <c:v>70.251474640911013</c:v>
                </c:pt>
                <c:pt idx="166">
                  <c:v>70.012133802545819</c:v>
                </c:pt>
                <c:pt idx="167">
                  <c:v>69.775088781872114</c:v>
                </c:pt>
                <c:pt idx="168">
                  <c:v>69.540317556827517</c:v>
                </c:pt>
                <c:pt idx="169">
                  <c:v>69.307798316590834</c:v>
                </c:pt>
                <c:pt idx="170">
                  <c:v>69.077509459555756</c:v>
                </c:pt>
                <c:pt idx="171">
                  <c:v>68.849429591324025</c:v>
                </c:pt>
                <c:pt idx="172">
                  <c:v>68.623537522717854</c:v>
                </c:pt>
                <c:pt idx="173">
                  <c:v>68.399812267811413</c:v>
                </c:pt>
                <c:pt idx="174">
                  <c:v>68.178233041981144</c:v>
                </c:pt>
                <c:pt idx="175">
                  <c:v>67.958779259974861</c:v>
                </c:pt>
                <c:pt idx="176">
                  <c:v>67.741430533999264</c:v>
                </c:pt>
                <c:pt idx="177">
                  <c:v>67.526166671825962</c:v>
                </c:pt>
                <c:pt idx="178">
                  <c:v>67.312967674915498</c:v>
                </c:pt>
                <c:pt idx="179">
                  <c:v>67.101813736559407</c:v>
                </c:pt>
                <c:pt idx="180">
                  <c:v>66.892685240040237</c:v>
                </c:pt>
                <c:pt idx="181">
                  <c:v>66.685562756808991</c:v>
                </c:pt>
                <c:pt idx="182">
                  <c:v>66.480427044680226</c:v>
                </c:pt>
                <c:pt idx="183">
                  <c:v>66.277259046044406</c:v>
                </c:pt>
                <c:pt idx="184">
                  <c:v>66.076039886097362</c:v>
                </c:pt>
                <c:pt idx="185">
                  <c:v>65.876750871086827</c:v>
                </c:pt>
                <c:pt idx="186">
                  <c:v>65.679373486575741</c:v>
                </c:pt>
                <c:pt idx="187">
                  <c:v>65.483889395722173</c:v>
                </c:pt>
                <c:pt idx="188">
                  <c:v>65.290280437575802</c:v>
                </c:pt>
                <c:pt idx="189">
                  <c:v>65.098528625390728</c:v>
                </c:pt>
                <c:pt idx="190">
                  <c:v>64.908616144954451</c:v>
                </c:pt>
                <c:pt idx="191">
                  <c:v>64.720525352932896</c:v>
                </c:pt>
                <c:pt idx="192">
                  <c:v>64.534238775231302</c:v>
                </c:pt>
                <c:pt idx="193">
                  <c:v>64.349739105370816</c:v>
                </c:pt>
                <c:pt idx="194">
                  <c:v>64.167009202880735</c:v>
                </c:pt>
                <c:pt idx="195">
                  <c:v>63.986032091706008</c:v>
                </c:pt>
                <c:pt idx="196">
                  <c:v>63.806790958630252</c:v>
                </c:pt>
                <c:pt idx="197">
                  <c:v>63.629269151713665</c:v>
                </c:pt>
                <c:pt idx="198">
                  <c:v>63.453450178746053</c:v>
                </c:pt>
                <c:pt idx="199">
                  <c:v>63.279317705714661</c:v>
                </c:pt>
                <c:pt idx="200">
                  <c:v>63.106855555286714</c:v>
                </c:pt>
                <c:pt idx="201">
                  <c:v>62.936047705306493</c:v>
                </c:pt>
                <c:pt idx="202">
                  <c:v>62.76687828730681</c:v>
                </c:pt>
                <c:pt idx="203">
                  <c:v>62.599331585034861</c:v>
                </c:pt>
                <c:pt idx="204">
                  <c:v>62.433392032992074</c:v>
                </c:pt>
                <c:pt idx="205">
                  <c:v>62.269044214988071</c:v>
                </c:pt>
                <c:pt idx="206">
                  <c:v>62.106272862708472</c:v>
                </c:pt>
                <c:pt idx="207">
                  <c:v>61.94506285429641</c:v>
                </c:pt>
                <c:pt idx="208">
                  <c:v>61.785399212947659</c:v>
                </c:pt>
                <c:pt idx="209">
                  <c:v>61.627267105519337</c:v>
                </c:pt>
                <c:pt idx="210">
                  <c:v>61.470651841151735</c:v>
                </c:pt>
                <c:pt idx="211">
                  <c:v>61.315538869903662</c:v>
                </c:pt>
                <c:pt idx="212">
                  <c:v>61.161913781400543</c:v>
                </c:pt>
                <c:pt idx="213">
                  <c:v>61.009762303495819</c:v>
                </c:pt>
                <c:pt idx="214">
                  <c:v>60.859070300944929</c:v>
                </c:pt>
                <c:pt idx="215">
                  <c:v>60.709823774092158</c:v>
                </c:pt>
                <c:pt idx="216">
                  <c:v>60.562008857569992</c:v>
                </c:pt>
                <c:pt idx="217">
                  <c:v>60.415611819011055</c:v>
                </c:pt>
                <c:pt idx="218">
                  <c:v>60.270619057772279</c:v>
                </c:pt>
                <c:pt idx="219">
                  <c:v>60.127017103671406</c:v>
                </c:pt>
                <c:pt idx="220">
                  <c:v>59.984792615735557</c:v>
                </c:pt>
                <c:pt idx="221">
                  <c:v>59.843932380961853</c:v>
                </c:pt>
                <c:pt idx="222">
                  <c:v>59.704423313089819</c:v>
                </c:pt>
                <c:pt idx="223">
                  <c:v>59.566252451385743</c:v>
                </c:pt>
                <c:pt idx="224">
                  <c:v>59.429406959438516</c:v>
                </c:pt>
                <c:pt idx="225">
                  <c:v>59.293874123967129</c:v>
                </c:pt>
                <c:pt idx="226">
                  <c:v>59.159641353639579</c:v>
                </c:pt>
                <c:pt idx="227">
                  <c:v>59.026696177903062</c:v>
                </c:pt>
                <c:pt idx="228">
                  <c:v>58.895026245825512</c:v>
                </c:pt>
                <c:pt idx="229">
                  <c:v>58.764619324948072</c:v>
                </c:pt>
                <c:pt idx="230">
                  <c:v>58.63546330014875</c:v>
                </c:pt>
                <c:pt idx="231">
                  <c:v>58.507546172516832</c:v>
                </c:pt>
                <c:pt idx="232">
                  <c:v>58.380856058238209</c:v>
                </c:pt>
                <c:pt idx="233">
                  <c:v>58.255381187491295</c:v>
                </c:pt>
                <c:pt idx="234">
                  <c:v>58.131109903353611</c:v>
                </c:pt>
                <c:pt idx="235">
                  <c:v>58.008030660718823</c:v>
                </c:pt>
                <c:pt idx="236">
                  <c:v>57.88613202522415</c:v>
                </c:pt>
                <c:pt idx="237">
                  <c:v>57.765402672188117</c:v>
                </c:pt>
                <c:pt idx="238">
                  <c:v>57.645831385558452</c:v>
                </c:pt>
                <c:pt idx="239">
                  <c:v>57.527407056870068</c:v>
                </c:pt>
                <c:pt idx="240">
                  <c:v>57.410118684213117</c:v>
                </c:pt>
                <c:pt idx="241">
                  <c:v>57.293955371210799</c:v>
                </c:pt>
                <c:pt idx="242">
                  <c:v>57.178906326007137</c:v>
                </c:pt>
                <c:pt idx="243">
                  <c:v>57.064960860264335</c:v>
                </c:pt>
                <c:pt idx="244">
                  <c:v>56.952108388169862</c:v>
                </c:pt>
                <c:pt idx="245">
                  <c:v>56.840338425452941</c:v>
                </c:pt>
                <c:pt idx="246">
                  <c:v>56.729640588410597</c:v>
                </c:pt>
                <c:pt idx="247">
                  <c:v>56.620004592942905</c:v>
                </c:pt>
                <c:pt idx="248">
                  <c:v>56.51142025359767</c:v>
                </c:pt>
                <c:pt idx="249">
                  <c:v>56.40387748262409</c:v>
                </c:pt>
                <c:pt idx="250">
                  <c:v>56.297366289035629</c:v>
                </c:pt>
                <c:pt idx="251">
                  <c:v>56.191876777681813</c:v>
                </c:pt>
                <c:pt idx="252">
                  <c:v>56.087399148328934</c:v>
                </c:pt>
                <c:pt idx="253">
                  <c:v>55.98392369474962</c:v>
                </c:pt>
                <c:pt idx="254">
                  <c:v>55.881440803821064</c:v>
                </c:pt>
                <c:pt idx="255">
                  <c:v>55.779940954631968</c:v>
                </c:pt>
                <c:pt idx="256">
                  <c:v>55.679414717597993</c:v>
                </c:pt>
                <c:pt idx="257">
                  <c:v>55.579852753585783</c:v>
                </c:pt>
                <c:pt idx="258">
                  <c:v>55.481245813045284</c:v>
                </c:pt>
                <c:pt idx="259">
                  <c:v>55.383584735150478</c:v>
                </c:pt>
                <c:pt idx="260">
                  <c:v>55.286860446948275</c:v>
                </c:pt>
                <c:pt idx="261">
                  <c:v>55.191063962515663</c:v>
                </c:pt>
                <c:pt idx="262">
                  <c:v>55.096186382124856</c:v>
                </c:pt>
                <c:pt idx="263">
                  <c:v>55.002218891416504</c:v>
                </c:pt>
                <c:pt idx="264">
                  <c:v>54.909152760580817</c:v>
                </c:pt>
                <c:pt idx="265">
                  <c:v>54.816979343546549</c:v>
                </c:pt>
                <c:pt idx="266">
                  <c:v>54.725690077177745</c:v>
                </c:pt>
                <c:pt idx="267">
                  <c:v>54.635276480478204</c:v>
                </c:pt>
                <c:pt idx="268">
                  <c:v>54.545730153803582</c:v>
                </c:pt>
                <c:pt idx="269">
                  <c:v>54.457042778081053</c:v>
                </c:pt>
                <c:pt idx="270">
                  <c:v>54.369206114036416</c:v>
                </c:pt>
                <c:pt idx="271">
                  <c:v>54.28221200142869</c:v>
                </c:pt>
                <c:pt idx="272">
                  <c:v>54.196052358291965</c:v>
                </c:pt>
                <c:pt idx="273">
                  <c:v>54.110719180184603</c:v>
                </c:pt>
                <c:pt idx="274">
                  <c:v>54.026204539445573</c:v>
                </c:pt>
                <c:pt idx="275">
                  <c:v>53.942500584457974</c:v>
                </c:pt>
                <c:pt idx="276">
                  <c:v>53.859599538919596</c:v>
                </c:pt>
                <c:pt idx="277">
                  <c:v>53.777493701120484</c:v>
                </c:pt>
                <c:pt idx="278">
                  <c:v>53.696175443227418</c:v>
                </c:pt>
                <c:pt idx="279">
                  <c:v>53.615637210575294</c:v>
                </c:pt>
                <c:pt idx="280">
                  <c:v>53.535871520965244</c:v>
                </c:pt>
                <c:pt idx="281">
                  <c:v>53.456870963969557</c:v>
                </c:pt>
                <c:pt idx="282">
                  <c:v>53.378628200243192</c:v>
                </c:pt>
                <c:pt idx="283">
                  <c:v>53.301135960841968</c:v>
                </c:pt>
                <c:pt idx="284">
                  <c:v>53.224387046547264</c:v>
                </c:pt>
                <c:pt idx="285">
                  <c:v>53.148374327197153</c:v>
                </c:pt>
                <c:pt idx="286">
                  <c:v>53.073090741024046</c:v>
                </c:pt>
                <c:pt idx="287">
                  <c:v>52.998529293998587</c:v>
                </c:pt>
                <c:pt idx="288">
                  <c:v>52.924683059179927</c:v>
                </c:pt>
                <c:pt idx="289">
                  <c:v>52.851545176072165</c:v>
                </c:pt>
                <c:pt idx="290">
                  <c:v>52.779108849987047</c:v>
                </c:pt>
                <c:pt idx="291">
                  <c:v>52.707367351412628</c:v>
                </c:pt>
                <c:pt idx="292">
                  <c:v>52.636314015388187</c:v>
                </c:pt>
                <c:pt idx="293">
                  <c:v>52.565942240884951</c:v>
                </c:pt>
                <c:pt idx="294">
                  <c:v>52.496245490192905</c:v>
                </c:pt>
                <c:pt idx="295">
                  <c:v>52.427217288313386</c:v>
                </c:pt>
                <c:pt idx="296">
                  <c:v>52.358851222357558</c:v>
                </c:pt>
                <c:pt idx="297">
                  <c:v>52.291140940950612</c:v>
                </c:pt>
                <c:pt idx="298">
                  <c:v>52.224080153641758</c:v>
                </c:pt>
                <c:pt idx="299">
                  <c:v>52.157662630319784</c:v>
                </c:pt>
                <c:pt idx="300">
                  <c:v>52.091882200634267</c:v>
                </c:pt>
                <c:pt idx="301">
                  <c:v>52.026732753422358</c:v>
                </c:pt>
                <c:pt idx="302">
                  <c:v>51.962208236141002</c:v>
                </c:pt>
                <c:pt idx="303">
                  <c:v>51.898302654304686</c:v>
                </c:pt>
                <c:pt idx="304">
                  <c:v>51.835010070928504</c:v>
                </c:pt>
                <c:pt idx="305">
                  <c:v>51.772324605976607</c:v>
                </c:pt>
                <c:pt idx="306">
                  <c:v>51.710240435815926</c:v>
                </c:pt>
                <c:pt idx="307">
                  <c:v>51.648751792675171</c:v>
                </c:pt>
                <c:pt idx="308">
                  <c:v>51.58785296410894</c:v>
                </c:pt>
                <c:pt idx="309">
                  <c:v>51.527538292467078</c:v>
                </c:pt>
                <c:pt idx="310">
                  <c:v>51.467802174369005</c:v>
                </c:pt>
                <c:pt idx="311">
                  <c:v>51.408639060183212</c:v>
                </c:pt>
                <c:pt idx="312">
                  <c:v>51.350043453511638</c:v>
                </c:pt>
                <c:pt idx="313">
                  <c:v>51.292009910679056</c:v>
                </c:pt>
                <c:pt idx="314">
                  <c:v>51.234533040227362</c:v>
                </c:pt>
                <c:pt idx="315">
                  <c:v>51.177607502414659</c:v>
                </c:pt>
                <c:pt idx="316">
                  <c:v>51.1212280087192</c:v>
                </c:pt>
                <c:pt idx="317">
                  <c:v>51.0653893213481</c:v>
                </c:pt>
                <c:pt idx="318">
                  <c:v>51.010086252750675</c:v>
                </c:pt>
                <c:pt idx="319">
                  <c:v>50.955313665136551</c:v>
                </c:pt>
                <c:pt idx="320">
                  <c:v>50.901066469998327</c:v>
                </c:pt>
                <c:pt idx="321">
                  <c:v>50.84733962763886</c:v>
                </c:pt>
                <c:pt idx="322">
                  <c:v>50.794128146703031</c:v>
                </c:pt>
                <c:pt idx="323">
                  <c:v>50.741427083714086</c:v>
                </c:pt>
                <c:pt idx="324">
                  <c:v>50.68923154261433</c:v>
                </c:pt>
                <c:pt idx="325">
                  <c:v>50.63753667431029</c:v>
                </c:pt>
                <c:pt idx="326">
                  <c:v>50.586337676222229</c:v>
                </c:pt>
                <c:pt idx="327">
                  <c:v>50.535629791837955</c:v>
                </c:pt>
                <c:pt idx="328">
                  <c:v>50.485408310270941</c:v>
                </c:pt>
                <c:pt idx="329">
                  <c:v>50.435668565822681</c:v>
                </c:pt>
                <c:pt idx="330">
                  <c:v>50.386405937549227</c:v>
                </c:pt>
                <c:pt idx="331">
                  <c:v>50.337615848831874</c:v>
                </c:pt>
                <c:pt idx="332">
                  <c:v>50.289293766952021</c:v>
                </c:pt>
                <c:pt idx="333">
                  <c:v>50.241435202670033</c:v>
                </c:pt>
                <c:pt idx="334">
                  <c:v>50.19403570980819</c:v>
                </c:pt>
                <c:pt idx="335">
                  <c:v>50.147090884837638</c:v>
                </c:pt>
                <c:pt idx="336">
                  <c:v>50.100596366469283</c:v>
                </c:pt>
                <c:pt idx="337">
                  <c:v>50.05454783524862</c:v>
                </c:pt>
                <c:pt idx="338">
                  <c:v>50.008941013154427</c:v>
                </c:pt>
                <c:pt idx="339">
                  <c:v>49.963771663201342</c:v>
                </c:pt>
                <c:pt idx="340">
                  <c:v>49.919035589046267</c:v>
                </c:pt>
                <c:pt idx="341">
                  <c:v>49.874728634598434</c:v>
                </c:pt>
                <c:pt idx="342">
                  <c:v>49.830846683633389</c:v>
                </c:pt>
                <c:pt idx="343">
                  <c:v>49.787385659410518</c:v>
                </c:pt>
                <c:pt idx="344">
                  <c:v>49.744341524294342</c:v>
                </c:pt>
                <c:pt idx="345">
                  <c:v>49.701710279379391</c:v>
                </c:pt>
                <c:pt idx="346">
                  <c:v>49.659487964118711</c:v>
                </c:pt>
                <c:pt idx="347">
                  <c:v>49.617670655955919</c:v>
                </c:pt>
                <c:pt idx="348">
                  <c:v>49.576254469960766</c:v>
                </c:pt>
                <c:pt idx="349">
                  <c:v>49.535235558468251</c:v>
                </c:pt>
                <c:pt idx="350">
                  <c:v>49.494610110721133</c:v>
                </c:pt>
                <c:pt idx="351">
                  <c:v>49.45437435251592</c:v>
                </c:pt>
                <c:pt idx="352">
                  <c:v>49.414524545852238</c:v>
                </c:pt>
                <c:pt idx="353">
                  <c:v>49.375056988585555</c:v>
                </c:pt>
                <c:pt idx="354">
                  <c:v>49.335968014083228</c:v>
                </c:pt>
                <c:pt idx="355">
                  <c:v>49.297253990883895</c:v>
                </c:pt>
                <c:pt idx="356">
                  <c:v>49.258911322360085</c:v>
                </c:pt>
                <c:pt idx="357">
                  <c:v>49.220936446384073</c:v>
                </c:pt>
                <c:pt idx="358">
                  <c:v>49.183325834996978</c:v>
                </c:pt>
                <c:pt idx="359">
                  <c:v>49.146075994080988</c:v>
                </c:pt>
                <c:pt idx="360">
                  <c:v>49.109183463034739</c:v>
                </c:pt>
                <c:pt idx="361">
                  <c:v>49.072644814451827</c:v>
                </c:pt>
                <c:pt idx="362">
                  <c:v>49.036456653802418</c:v>
                </c:pt>
                <c:pt idx="363">
                  <c:v>49.000615619117838</c:v>
                </c:pt>
                <c:pt idx="364">
                  <c:v>48.965118380678277</c:v>
                </c:pt>
                <c:pt idx="365">
                  <c:v>48.929961640703446</c:v>
                </c:pt>
                <c:pt idx="366">
                  <c:v>48.895142133046171</c:v>
                </c:pt>
                <c:pt idx="367">
                  <c:v>48.86065662288901</c:v>
                </c:pt>
                <c:pt idx="368">
                  <c:v>48.826501906443696</c:v>
                </c:pt>
                <c:pt idx="369">
                  <c:v>48.792674810653502</c:v>
                </c:pt>
                <c:pt idx="370">
                  <c:v>48.759172192898468</c:v>
                </c:pt>
                <c:pt idx="371">
                  <c:v>48.72599094070344</c:v>
                </c:pt>
                <c:pt idx="372">
                  <c:v>48.693127971448909</c:v>
                </c:pt>
                <c:pt idx="373">
                  <c:v>48.660580232084619</c:v>
                </c:pt>
                <c:pt idx="374">
                  <c:v>48.628344698845964</c:v>
                </c:pt>
                <c:pt idx="375">
                  <c:v>48.596418376973027</c:v>
                </c:pt>
                <c:pt idx="376">
                  <c:v>48.5647983004324</c:v>
                </c:pt>
                <c:pt idx="377">
                  <c:v>48.533481531641605</c:v>
                </c:pt>
                <c:pt idx="378">
                  <c:v>48.502465161196206</c:v>
                </c:pt>
                <c:pt idx="379">
                  <c:v>48.471746307599503</c:v>
                </c:pt>
                <c:pt idx="380">
                  <c:v>48.441322116994833</c:v>
                </c:pt>
                <c:pt idx="381">
                  <c:v>48.411189762900463</c:v>
                </c:pt>
                <c:pt idx="382">
                  <c:v>48.381346445946967</c:v>
                </c:pt>
                <c:pt idx="383">
                  <c:v>48.351789393617189</c:v>
                </c:pt>
                <c:pt idx="384">
                  <c:v>48.322515859988648</c:v>
                </c:pt>
                <c:pt idx="385">
                  <c:v>48.293523125478458</c:v>
                </c:pt>
                <c:pt idx="386">
                  <c:v>48.264808496590639</c:v>
                </c:pt>
                <c:pt idx="387">
                  <c:v>48.23636930566591</c:v>
                </c:pt>
                <c:pt idx="388">
                  <c:v>48.208202910633872</c:v>
                </c:pt>
                <c:pt idx="389">
                  <c:v>48.180306694767495</c:v>
                </c:pt>
                <c:pt idx="390">
                  <c:v>48.152678066440089</c:v>
                </c:pt>
                <c:pt idx="391">
                  <c:v>48.125314458884468</c:v>
                </c:pt>
                <c:pt idx="392">
                  <c:v>48.098213329954561</c:v>
                </c:pt>
                <c:pt idx="393">
                  <c:v>48.071372161889173</c:v>
                </c:pt>
                <c:pt idx="394">
                  <c:v>48.04478846107812</c:v>
                </c:pt>
                <c:pt idx="395">
                  <c:v>48.018459757830563</c:v>
                </c:pt>
                <c:pt idx="396">
                  <c:v>47.992383606145545</c:v>
                </c:pt>
                <c:pt idx="397">
                  <c:v>47.966557583484786</c:v>
                </c:pt>
                <c:pt idx="398">
                  <c:v>47.940979290547588</c:v>
                </c:pt>
                <c:pt idx="399">
                  <c:v>47.915646351047954</c:v>
                </c:pt>
                <c:pt idx="400">
                  <c:v>47.890556411493833</c:v>
                </c:pt>
                <c:pt idx="401">
                  <c:v>47.865707140968446</c:v>
                </c:pt>
                <c:pt idx="402">
                  <c:v>47.841096230913777</c:v>
                </c:pt>
                <c:pt idx="403">
                  <c:v>47.816721394916051</c:v>
                </c:pt>
                <c:pt idx="404">
                  <c:v>47.792580368493383</c:v>
                </c:pt>
                <c:pt idx="405">
                  <c:v>47.768670908885341</c:v>
                </c:pt>
                <c:pt idx="406">
                  <c:v>47.744990794844647</c:v>
                </c:pt>
                <c:pt idx="407">
                  <c:v>47.721537826430755</c:v>
                </c:pt>
                <c:pt idx="408">
                  <c:v>47.69830982480552</c:v>
                </c:pt>
                <c:pt idx="409">
                  <c:v>47.675304632030773</c:v>
                </c:pt>
                <c:pt idx="410">
                  <c:v>47.652520110867812</c:v>
                </c:pt>
                <c:pt idx="411">
                  <c:v>47.629954144578875</c:v>
                </c:pt>
                <c:pt idx="412">
                  <c:v>47.607604636730478</c:v>
                </c:pt>
                <c:pt idx="413">
                  <c:v>47.585469510998678</c:v>
                </c:pt>
                <c:pt idx="414">
                  <c:v>47.563546710976127</c:v>
                </c:pt>
                <c:pt idx="415">
                  <c:v>47.541834199981061</c:v>
                </c:pt>
                <c:pt idx="416">
                  <c:v>47.520329960868096</c:v>
                </c:pt>
                <c:pt idx="417">
                  <c:v>47.499031995840802</c:v>
                </c:pt>
                <c:pt idx="418">
                  <c:v>47.47793832626612</c:v>
                </c:pt>
                <c:pt idx="419">
                  <c:v>47.45704699249054</c:v>
                </c:pt>
                <c:pt idx="420">
                  <c:v>47.436356053658038</c:v>
                </c:pt>
                <c:pt idx="421">
                  <c:v>47.415863587529778</c:v>
                </c:pt>
                <c:pt idx="422">
                  <c:v>47.395567690305512</c:v>
                </c:pt>
                <c:pt idx="423">
                  <c:v>47.375466476446739</c:v>
                </c:pt>
                <c:pt idx="424">
                  <c:v>47.355558078501502</c:v>
                </c:pt>
                <c:pt idx="425">
                  <c:v>47.33584064693094</c:v>
                </c:pt>
                <c:pt idx="426">
                  <c:v>47.316312349937405</c:v>
                </c:pt>
                <c:pt idx="427">
                  <c:v>47.296971373294333</c:v>
                </c:pt>
                <c:pt idx="428">
                  <c:v>47.277815920177666</c:v>
                </c:pt>
                <c:pt idx="429">
                  <c:v>47.258844210998959</c:v>
                </c:pt>
                <c:pt idx="430">
                  <c:v>47.240054483239994</c:v>
                </c:pt>
                <c:pt idx="431">
                  <c:v>47.221444991289111</c:v>
                </c:pt>
                <c:pt idx="432">
                  <c:v>47.203014006278963</c:v>
                </c:pt>
                <c:pt idx="433">
                  <c:v>47.18475981592595</c:v>
                </c:pt>
                <c:pt idx="434">
                  <c:v>47.166680724371133</c:v>
                </c:pt>
                <c:pt idx="435">
                  <c:v>47.148775052022671</c:v>
                </c:pt>
                <c:pt idx="436">
                  <c:v>47.131041135399791</c:v>
                </c:pt>
                <c:pt idx="437">
                  <c:v>47.113477326978256</c:v>
                </c:pt>
                <c:pt idx="438">
                  <c:v>47.096081995037288</c:v>
                </c:pt>
                <c:pt idx="439">
                  <c:v>47.078853523507995</c:v>
                </c:pt>
                <c:pt idx="440">
                  <c:v>47.061790311823216</c:v>
                </c:pt>
                <c:pt idx="441">
                  <c:v>47.044890774768838</c:v>
                </c:pt>
                <c:pt idx="442">
                  <c:v>47.028153342336523</c:v>
                </c:pt>
                <c:pt idx="443">
                  <c:v>47.011576459577846</c:v>
                </c:pt>
                <c:pt idx="444">
                  <c:v>46.995158586459844</c:v>
                </c:pt>
                <c:pt idx="445">
                  <c:v>46.978898197721939</c:v>
                </c:pt>
                <c:pt idx="446">
                  <c:v>46.962793782734231</c:v>
                </c:pt>
                <c:pt idx="447">
                  <c:v>46.946843845357158</c:v>
                </c:pt>
                <c:pt idx="448">
                  <c:v>46.931046903802525</c:v>
                </c:pt>
                <c:pt idx="449">
                  <c:v>46.91540149049581</c:v>
                </c:pt>
                <c:pt idx="450">
                  <c:v>46.899906151939845</c:v>
                </c:pt>
                <c:pt idx="451">
                  <c:v>46.884559448579751</c:v>
                </c:pt>
                <c:pt idx="452">
                  <c:v>46.86935995466925</c:v>
                </c:pt>
                <c:pt idx="453">
                  <c:v>46.854306258138166</c:v>
                </c:pt>
                <c:pt idx="454">
                  <c:v>46.839396960461258</c:v>
                </c:pt>
                <c:pt idx="455">
                  <c:v>46.824630676528308</c:v>
                </c:pt>
                <c:pt idx="456">
                  <c:v>46.810006034515396</c:v>
                </c:pt>
                <c:pt idx="457">
                  <c:v>46.795521675757499</c:v>
                </c:pt>
                <c:pt idx="458">
                  <c:v>46.78117625462226</c:v>
                </c:pt>
                <c:pt idx="459">
                  <c:v>46.76696843838495</c:v>
                </c:pt>
                <c:pt idx="460">
                  <c:v>46.752896907104692</c:v>
                </c:pt>
                <c:pt idx="461">
                  <c:v>46.738960353501781</c:v>
                </c:pt>
                <c:pt idx="462">
                  <c:v>46.725157482836302</c:v>
                </c:pt>
                <c:pt idx="463">
                  <c:v>46.711487012787806</c:v>
                </c:pt>
                <c:pt idx="464">
                  <c:v>46.697947673336166</c:v>
                </c:pt>
                <c:pt idx="465">
                  <c:v>46.68453820664363</c:v>
                </c:pt>
                <c:pt idx="466">
                  <c:v>46.671257366937937</c:v>
                </c:pt>
                <c:pt idx="467">
                  <c:v>46.65810392039657</c:v>
                </c:pt>
                <c:pt idx="468">
                  <c:v>46.645076645032184</c:v>
                </c:pt>
                <c:pt idx="469">
                  <c:v>46.632174330579005</c:v>
                </c:pt>
                <c:pt idx="470">
                  <c:v>46.619395778380472</c:v>
                </c:pt>
                <c:pt idx="471">
                  <c:v>46.606739801277804</c:v>
                </c:pt>
                <c:pt idx="472">
                  <c:v>46.594205223499777</c:v>
                </c:pt>
                <c:pt idx="473">
                  <c:v>46.581790880553442</c:v>
                </c:pt>
                <c:pt idx="474">
                  <c:v>46.569495619115969</c:v>
                </c:pt>
                <c:pt idx="475">
                  <c:v>46.557318296927484</c:v>
                </c:pt>
                <c:pt idx="476">
                  <c:v>46.545257782684963</c:v>
                </c:pt>
                <c:pt idx="477">
                  <c:v>46.533312955937134</c:v>
                </c:pt>
                <c:pt idx="478">
                  <c:v>46.521482706980358</c:v>
                </c:pt>
                <c:pt idx="479">
                  <c:v>46.509765936755564</c:v>
                </c:pt>
                <c:pt idx="480">
                  <c:v>46.49816155674614</c:v>
                </c:pt>
                <c:pt idx="481">
                  <c:v>46.486668488876781</c:v>
                </c:pt>
                <c:pt idx="482">
                  <c:v>46.475285665413367</c:v>
                </c:pt>
                <c:pt idx="483">
                  <c:v>46.464012028863749</c:v>
                </c:pt>
                <c:pt idx="484">
                  <c:v>46.452846531879509</c:v>
                </c:pt>
                <c:pt idx="485">
                  <c:v>46.44178813715866</c:v>
                </c:pt>
                <c:pt idx="486">
                  <c:v>46.430835817349276</c:v>
                </c:pt>
                <c:pt idx="487">
                  <c:v>46.419988554954053</c:v>
                </c:pt>
                <c:pt idx="488">
                  <c:v>46.409245342235771</c:v>
                </c:pt>
                <c:pt idx="489">
                  <c:v>46.398605181123685</c:v>
                </c:pt>
                <c:pt idx="490">
                  <c:v>46.388067083120795</c:v>
                </c:pt>
                <c:pt idx="491">
                  <c:v>46.377630069212017</c:v>
                </c:pt>
                <c:pt idx="492">
                  <c:v>46.367293169773227</c:v>
                </c:pt>
                <c:pt idx="493">
                  <c:v>46.35705542448116</c:v>
                </c:pt>
                <c:pt idx="494">
                  <c:v>46.346915882224252</c:v>
                </c:pt>
                <c:pt idx="495">
                  <c:v>46.336873601014204</c:v>
                </c:pt>
                <c:pt idx="496">
                  <c:v>46.326927647898529</c:v>
                </c:pt>
                <c:pt idx="497">
                  <c:v>46.317077098873845</c:v>
                </c:pt>
                <c:pt idx="498">
                  <c:v>46.307321038800048</c:v>
                </c:pt>
                <c:pt idx="499">
                  <c:v>46.297658561315288</c:v>
                </c:pt>
                <c:pt idx="500">
                  <c:v>46.28808876875177</c:v>
                </c:pt>
                <c:pt idx="501">
                  <c:v>46.278610772052353</c:v>
                </c:pt>
                <c:pt idx="502">
                  <c:v>46.269223690687944</c:v>
                </c:pt>
                <c:pt idx="503">
                  <c:v>46.259926652575722</c:v>
                </c:pt>
                <c:pt idx="504">
                  <c:v>46.250718793998104</c:v>
                </c:pt>
                <c:pt idx="505">
                  <c:v>46.241599259522495</c:v>
                </c:pt>
                <c:pt idx="506">
                  <c:v>46.232567201921832</c:v>
                </c:pt>
                <c:pt idx="507">
                  <c:v>46.223621782095869</c:v>
                </c:pt>
                <c:pt idx="508">
                  <c:v>46.214762168993211</c:v>
                </c:pt>
                <c:pt idx="509">
                  <c:v>46.205987539534135</c:v>
                </c:pt>
                <c:pt idx="510">
                  <c:v>46.197297078534085</c:v>
                </c:pt>
                <c:pt idx="511">
                  <c:v>46.188689978627977</c:v>
                </c:pt>
                <c:pt idx="512">
                  <c:v>46.180165440195175</c:v>
                </c:pt>
                <c:pt idx="513">
                  <c:v>46.171722671285195</c:v>
                </c:pt>
                <c:pt idx="514">
                  <c:v>46.163360887544158</c:v>
                </c:pt>
                <c:pt idx="515">
                  <c:v>46.155079312141886</c:v>
                </c:pt>
                <c:pt idx="516">
                  <c:v>46.146877175699771</c:v>
                </c:pt>
                <c:pt idx="517">
                  <c:v>46.138753716219263</c:v>
                </c:pt>
                <c:pt idx="518">
                  <c:v>46.130708179011108</c:v>
                </c:pt>
                <c:pt idx="519">
                  <c:v>46.122739816625206</c:v>
                </c:pt>
                <c:pt idx="520">
                  <c:v>46.114847888781206</c:v>
                </c:pt>
                <c:pt idx="521">
                  <c:v>46.107031662299697</c:v>
                </c:pt>
                <c:pt idx="522">
                  <c:v>46.099290411034119</c:v>
                </c:pt>
                <c:pt idx="523">
                  <c:v>46.091623415803284</c:v>
                </c:pt>
                <c:pt idx="524">
                  <c:v>46.084029964324579</c:v>
                </c:pt>
                <c:pt idx="525">
                  <c:v>46.076509351147784</c:v>
                </c:pt>
                <c:pt idx="526">
                  <c:v>46.069060877589536</c:v>
                </c:pt>
                <c:pt idx="527">
                  <c:v>46.061683851668413</c:v>
                </c:pt>
                <c:pt idx="528">
                  <c:v>46.054377588040666</c:v>
                </c:pt>
                <c:pt idx="529">
                  <c:v>46.047141407936529</c:v>
                </c:pt>
                <c:pt idx="530">
                  <c:v>46.039974639097153</c:v>
                </c:pt>
                <c:pt idx="531">
                  <c:v>46.03287661571219</c:v>
                </c:pt>
                <c:pt idx="532">
                  <c:v>46.025846678357901</c:v>
                </c:pt>
                <c:pt idx="533">
                  <c:v>46.018884173935895</c:v>
                </c:pt>
                <c:pt idx="534">
                  <c:v>46.011988455612496</c:v>
                </c:pt>
                <c:pt idx="535">
                  <c:v>46.005158882758579</c:v>
                </c:pt>
                <c:pt idx="536">
                  <c:v>45.998394820890134</c:v>
                </c:pt>
                <c:pt idx="537">
                  <c:v>45.991695641609255</c:v>
                </c:pt>
                <c:pt idx="538">
                  <c:v>45.985060722545803</c:v>
                </c:pt>
                <c:pt idx="539">
                  <c:v>45.978489447299552</c:v>
                </c:pt>
                <c:pt idx="540">
                  <c:v>45.971981205382967</c:v>
                </c:pt>
                <c:pt idx="541">
                  <c:v>45.965535392164448</c:v>
                </c:pt>
                <c:pt idx="542">
                  <c:v>45.959151408812168</c:v>
                </c:pt>
                <c:pt idx="543">
                  <c:v>45.95282866223846</c:v>
                </c:pt>
                <c:pt idx="544">
                  <c:v>45.946566565044705</c:v>
                </c:pt>
                <c:pt idx="545">
                  <c:v>45.940364535466742</c:v>
                </c:pt>
                <c:pt idx="546">
                  <c:v>45.934221997320854</c:v>
                </c:pt>
                <c:pt idx="547">
                  <c:v>45.928138379950219</c:v>
                </c:pt>
                <c:pt idx="548">
                  <c:v>45.9221131181719</c:v>
                </c:pt>
                <c:pt idx="549">
                  <c:v>45.91614565222433</c:v>
                </c:pt>
                <c:pt idx="550">
                  <c:v>45.910235427715328</c:v>
                </c:pt>
                <c:pt idx="551">
                  <c:v>45.904381895570573</c:v>
                </c:pt>
                <c:pt idx="552">
                  <c:v>45.898584511982619</c:v>
                </c:pt>
                <c:pt idx="553">
                  <c:v>45.892842738360329</c:v>
                </c:pt>
                <c:pt idx="554">
                  <c:v>45.887156041278899</c:v>
                </c:pt>
                <c:pt idx="555">
                  <c:v>45.881523892430252</c:v>
                </c:pt>
                <c:pt idx="556">
                  <c:v>45.875945768573978</c:v>
                </c:pt>
                <c:pt idx="557">
                  <c:v>45.870421151488728</c:v>
                </c:pt>
                <c:pt idx="558">
                  <c:v>45.864949527924054</c:v>
                </c:pt>
                <c:pt idx="559">
                  <c:v>45.859530389552745</c:v>
                </c:pt>
                <c:pt idx="560">
                  <c:v>45.854163232923582</c:v>
                </c:pt>
                <c:pt idx="561">
                  <c:v>45.84884755941458</c:v>
                </c:pt>
                <c:pt idx="562">
                  <c:v>45.843582875186677</c:v>
                </c:pt>
                <c:pt idx="563">
                  <c:v>45.838368691137816</c:v>
                </c:pt>
                <c:pt idx="564">
                  <c:v>45.83320452285755</c:v>
                </c:pt>
                <c:pt idx="565">
                  <c:v>45.828089890582007</c:v>
                </c:pt>
                <c:pt idx="566">
                  <c:v>45.823024319149333</c:v>
                </c:pt>
                <c:pt idx="567">
                  <c:v>45.818007337955549</c:v>
                </c:pt>
                <c:pt idx="568">
                  <c:v>45.813038480910834</c:v>
                </c:pt>
                <c:pt idx="569">
                  <c:v>45.808117286396204</c:v>
                </c:pt>
                <c:pt idx="570">
                  <c:v>45.803243297220646</c:v>
                </c:pt>
                <c:pt idx="571">
                  <c:v>45.798416060578653</c:v>
                </c:pt>
                <c:pt idx="572">
                  <c:v>45.79363512800812</c:v>
                </c:pt>
                <c:pt idx="573">
                  <c:v>45.788900055348712</c:v>
                </c:pt>
                <c:pt idx="574">
                  <c:v>45.784210402700602</c:v>
                </c:pt>
                <c:pt idx="575">
                  <c:v>45.779565734383588</c:v>
                </c:pt>
                <c:pt idx="576">
                  <c:v>45.774965618896609</c:v>
                </c:pt>
                <c:pt idx="577">
                  <c:v>45.770409628877687</c:v>
                </c:pt>
                <c:pt idx="578">
                  <c:v>45.765897341064203</c:v>
                </c:pt>
                <c:pt idx="579">
                  <c:v>45.76142833625358</c:v>
                </c:pt>
                <c:pt idx="580">
                  <c:v>45.757002199264335</c:v>
                </c:pt>
                <c:pt idx="581">
                  <c:v>45.752618518897506</c:v>
                </c:pt>
                <c:pt idx="582">
                  <c:v>45.748276887898477</c:v>
                </c:pt>
                <c:pt idx="583">
                  <c:v>45.743976902919094</c:v>
                </c:pt>
                <c:pt idx="584">
                  <c:v>45.739718164480237</c:v>
                </c:pt>
                <c:pt idx="585">
                  <c:v>45.73550027693468</c:v>
                </c:pt>
                <c:pt idx="586">
                  <c:v>45.731322848430359</c:v>
                </c:pt>
                <c:pt idx="587">
                  <c:v>45.727185490873943</c:v>
                </c:pt>
                <c:pt idx="588">
                  <c:v>45.723087819894786</c:v>
                </c:pt>
                <c:pt idx="589">
                  <c:v>45.719029454809231</c:v>
                </c:pt>
                <c:pt idx="590">
                  <c:v>45.715010018585239</c:v>
                </c:pt>
                <c:pt idx="591">
                  <c:v>45.711029137807344</c:v>
                </c:pt>
                <c:pt idx="592">
                  <c:v>45.70708644264198</c:v>
                </c:pt>
                <c:pt idx="593">
                  <c:v>45.703181566803131</c:v>
                </c:pt>
                <c:pt idx="594">
                  <c:v>45.699314147518265</c:v>
                </c:pt>
                <c:pt idx="595">
                  <c:v>45.695483825494676</c:v>
                </c:pt>
                <c:pt idx="596">
                  <c:v>45.691690244886075</c:v>
                </c:pt>
                <c:pt idx="597">
                  <c:v>45.687933053259542</c:v>
                </c:pt>
                <c:pt idx="598">
                  <c:v>45.684211901562776</c:v>
                </c:pt>
                <c:pt idx="599">
                  <c:v>45.680526444091697</c:v>
                </c:pt>
                <c:pt idx="600">
                  <c:v>45.676876338458271</c:v>
                </c:pt>
                <c:pt idx="601">
                  <c:v>45.673261245558763</c:v>
                </c:pt>
                <c:pt idx="602">
                  <c:v>45.669680829542195</c:v>
                </c:pt>
                <c:pt idx="603">
                  <c:v>45.666134757779162</c:v>
                </c:pt>
                <c:pt idx="604">
                  <c:v>45.662622700830923</c:v>
                </c:pt>
                <c:pt idx="605">
                  <c:v>45.659144332418784</c:v>
                </c:pt>
                <c:pt idx="606">
                  <c:v>45.655699329393826</c:v>
                </c:pt>
                <c:pt idx="607">
                  <c:v>45.652287371706819</c:v>
                </c:pt>
                <c:pt idx="608">
                  <c:v>45.648908142378566</c:v>
                </c:pt>
                <c:pt idx="609">
                  <c:v>45.645561327470382</c:v>
                </c:pt>
                <c:pt idx="610">
                  <c:v>45.642246616054983</c:v>
                </c:pt>
                <c:pt idx="611">
                  <c:v>45.63896370018756</c:v>
                </c:pt>
                <c:pt idx="612">
                  <c:v>45.6357122748772</c:v>
                </c:pt>
                <c:pt idx="613">
                  <c:v>45.632492038058537</c:v>
                </c:pt>
                <c:pt idx="614">
                  <c:v>45.629302690563691</c:v>
                </c:pt>
                <c:pt idx="615">
                  <c:v>45.626143936094479</c:v>
                </c:pt>
                <c:pt idx="616">
                  <c:v>45.623015481194884</c:v>
                </c:pt>
                <c:pt idx="617">
                  <c:v>45.619917035223779</c:v>
                </c:pt>
                <c:pt idx="618">
                  <c:v>45.616848310327967</c:v>
                </c:pt>
                <c:pt idx="619">
                  <c:v>45.613809021415392</c:v>
                </c:pt>
                <c:pt idx="620">
                  <c:v>45.610798886128684</c:v>
                </c:pt>
                <c:pt idx="621">
                  <c:v>45.6078176248189</c:v>
                </c:pt>
                <c:pt idx="622">
                  <c:v>45.604864960519571</c:v>
                </c:pt>
                <c:pt idx="623">
                  <c:v>45.60194061892097</c:v>
                </c:pt>
                <c:pt idx="624">
                  <c:v>45.599044328344597</c:v>
                </c:pt>
                <c:pt idx="625">
                  <c:v>45.596175819717978</c:v>
                </c:pt>
                <c:pt idx="626">
                  <c:v>45.593334826549636</c:v>
                </c:pt>
                <c:pt idx="627">
                  <c:v>45.590521084904367</c:v>
                </c:pt>
                <c:pt idx="628">
                  <c:v>45.587734333378677</c:v>
                </c:pt>
                <c:pt idx="629">
                  <c:v>45.584974313076536</c:v>
                </c:pt>
                <c:pt idx="630">
                  <c:v>45.582240767585297</c:v>
                </c:pt>
                <c:pt idx="631">
                  <c:v>45.579533442951913</c:v>
                </c:pt>
                <c:pt idx="632">
                  <c:v>45.576852087659283</c:v>
                </c:pt>
                <c:pt idx="633">
                  <c:v>45.574196452602955</c:v>
                </c:pt>
                <c:pt idx="634">
                  <c:v>45.571566291067931</c:v>
                </c:pt>
                <c:pt idx="635">
                  <c:v>45.568961358705764</c:v>
                </c:pt>
                <c:pt idx="636">
                  <c:v>45.566381413511863</c:v>
                </c:pt>
                <c:pt idx="637">
                  <c:v>45.563826215803012</c:v>
                </c:pt>
                <c:pt idx="638">
                  <c:v>45.561295528195096</c:v>
                </c:pt>
                <c:pt idx="639">
                  <c:v>45.558789115581042</c:v>
                </c:pt>
                <c:pt idx="640">
                  <c:v>45.556306745108984</c:v>
                </c:pt>
                <c:pt idx="641">
                  <c:v>45.553848186160629</c:v>
                </c:pt>
                <c:pt idx="642">
                  <c:v>45.551413210329841</c:v>
                </c:pt>
                <c:pt idx="643">
                  <c:v>45.549001591401399</c:v>
                </c:pt>
                <c:pt idx="644">
                  <c:v>45.546613105330017</c:v>
                </c:pt>
                <c:pt idx="645">
                  <c:v>45.544247530219486</c:v>
                </c:pt>
                <c:pt idx="646">
                  <c:v>45.5419046463021</c:v>
                </c:pt>
                <c:pt idx="647">
                  <c:v>45.539584235918198</c:v>
                </c:pt>
                <c:pt idx="648">
                  <c:v>45.537286083495985</c:v>
                </c:pt>
                <c:pt idx="649">
                  <c:v>45.53500997553148</c:v>
                </c:pt>
                <c:pt idx="650">
                  <c:v>45.532755700568686</c:v>
                </c:pt>
                <c:pt idx="651">
                  <c:v>45.530523049179934</c:v>
                </c:pt>
                <c:pt idx="652">
                  <c:v>45.528311813946459</c:v>
                </c:pt>
                <c:pt idx="653">
                  <c:v>45.526121789439088</c:v>
                </c:pt>
                <c:pt idx="654">
                  <c:v>45.523952772199188</c:v>
                </c:pt>
                <c:pt idx="655">
                  <c:v>45.521804560719758</c:v>
                </c:pt>
                <c:pt idx="656">
                  <c:v>45.519676955426689</c:v>
                </c:pt>
                <c:pt idx="657">
                  <c:v>45.517569758660244</c:v>
                </c:pt>
                <c:pt idx="658">
                  <c:v>45.515482774656689</c:v>
                </c:pt>
                <c:pt idx="659">
                  <c:v>45.513415809530109</c:v>
                </c:pt>
                <c:pt idx="660">
                  <c:v>45.511368671254374</c:v>
                </c:pt>
                <c:pt idx="661">
                  <c:v>45.509341169645346</c:v>
                </c:pt>
                <c:pt idx="662">
                  <c:v>45.507333116343155</c:v>
                </c:pt>
                <c:pt idx="663">
                  <c:v>45.505344324794734</c:v>
                </c:pt>
                <c:pt idx="664">
                  <c:v>45.503374610236484</c:v>
                </c:pt>
                <c:pt idx="665">
                  <c:v>45.501423789677112</c:v>
                </c:pt>
                <c:pt idx="666">
                  <c:v>45.499491681880606</c:v>
                </c:pt>
                <c:pt idx="667">
                  <c:v>45.497578107349426</c:v>
                </c:pt>
                <c:pt idx="668">
                  <c:v>45.495682888307819</c:v>
                </c:pt>
                <c:pt idx="669">
                  <c:v>45.493805848685298</c:v>
                </c:pt>
                <c:pt idx="670">
                  <c:v>45.491946814100295</c:v>
                </c:pt>
                <c:pt idx="671">
                  <c:v>45.490105611843937</c:v>
                </c:pt>
                <c:pt idx="672">
                  <c:v>45.488282070864031</c:v>
                </c:pt>
                <c:pt idx="673">
                  <c:v>45.486476021749169</c:v>
                </c:pt>
                <c:pt idx="674">
                  <c:v>45.484687296712963</c:v>
                </c:pt>
                <c:pt idx="675">
                  <c:v>45.482915729578487</c:v>
                </c:pt>
                <c:pt idx="676">
                  <c:v>45.481161155762805</c:v>
                </c:pt>
                <c:pt idx="677">
                  <c:v>45.479423412261731</c:v>
                </c:pt>
                <c:pt idx="678">
                  <c:v>45.477702337634639</c:v>
                </c:pt>
                <c:pt idx="679">
                  <c:v>45.475997771989476</c:v>
                </c:pt>
                <c:pt idx="680">
                  <c:v>45.474309556967938</c:v>
                </c:pt>
                <c:pt idx="681">
                  <c:v>45.472637535730712</c:v>
                </c:pt>
                <c:pt idx="682">
                  <c:v>45.470981552942931</c:v>
                </c:pt>
                <c:pt idx="683">
                  <c:v>45.469341454759743</c:v>
                </c:pt>
                <c:pt idx="684">
                  <c:v>45.467717088812023</c:v>
                </c:pt>
                <c:pt idx="685">
                  <c:v>45.46610830419219</c:v>
                </c:pt>
                <c:pt idx="686">
                  <c:v>45.464514951440222</c:v>
                </c:pt>
                <c:pt idx="687">
                  <c:v>45.462936882529746</c:v>
                </c:pt>
                <c:pt idx="688">
                  <c:v>45.461373950854302</c:v>
                </c:pt>
                <c:pt idx="689">
                  <c:v>45.459826011213714</c:v>
                </c:pt>
                <c:pt idx="690">
                  <c:v>45.458292919800606</c:v>
                </c:pt>
                <c:pt idx="691">
                  <c:v>45.456774534187026</c:v>
                </c:pt>
                <c:pt idx="692">
                  <c:v>45.455270713311236</c:v>
                </c:pt>
                <c:pt idx="693">
                  <c:v>45.45378131746461</c:v>
                </c:pt>
                <c:pt idx="694">
                  <c:v>45.452306208278614</c:v>
                </c:pt>
                <c:pt idx="695">
                  <c:v>45.450845248712007</c:v>
                </c:pt>
                <c:pt idx="696">
                  <c:v>45.449398303038066</c:v>
                </c:pt>
                <c:pt idx="697">
                  <c:v>45.447965236831998</c:v>
                </c:pt>
                <c:pt idx="698">
                  <c:v>45.446545916958442</c:v>
                </c:pt>
                <c:pt idx="699">
                  <c:v>45.445140211559121</c:v>
                </c:pt>
                <c:pt idx="700">
                  <c:v>45.443747990040549</c:v>
                </c:pt>
                <c:pt idx="701">
                  <c:v>45.442369123061958</c:v>
                </c:pt>
                <c:pt idx="702">
                  <c:v>45.441003482523215</c:v>
                </c:pt>
                <c:pt idx="703">
                  <c:v>45.439650941552983</c:v>
                </c:pt>
                <c:pt idx="704">
                  <c:v>45.438311374496898</c:v>
                </c:pt>
                <c:pt idx="705">
                  <c:v>45.436984656905899</c:v>
                </c:pt>
                <c:pt idx="706">
                  <c:v>45.435670665524668</c:v>
                </c:pt>
                <c:pt idx="707">
                  <c:v>45.434369278280208</c:v>
                </c:pt>
                <c:pt idx="708">
                  <c:v>45.433080374270446</c:v>
                </c:pt>
                <c:pt idx="709">
                  <c:v>45.431803833753051</c:v>
                </c:pt>
                <c:pt idx="710">
                  <c:v>45.43053953813429</c:v>
                </c:pt>
                <c:pt idx="711">
                  <c:v>45.429287369957997</c:v>
                </c:pt>
                <c:pt idx="712">
                  <c:v>45.428047212894697</c:v>
                </c:pt>
                <c:pt idx="713">
                  <c:v>45.426818951730752</c:v>
                </c:pt>
                <c:pt idx="714">
                  <c:v>45.425602472357703</c:v>
                </c:pt>
                <c:pt idx="715">
                  <c:v>45.424397661761638</c:v>
                </c:pt>
                <c:pt idx="716">
                  <c:v>45.423204408012701</c:v>
                </c:pt>
                <c:pt idx="717">
                  <c:v>45.422022600254707</c:v>
                </c:pt>
                <c:pt idx="718">
                  <c:v>45.420852128694818</c:v>
                </c:pt>
                <c:pt idx="719">
                  <c:v>45.419692884593367</c:v>
                </c:pt>
                <c:pt idx="720">
                  <c:v>45.418544760253731</c:v>
                </c:pt>
                <c:pt idx="721">
                  <c:v>45.417407649012361</c:v>
                </c:pt>
                <c:pt idx="722">
                  <c:v>45.41628144522884</c:v>
                </c:pt>
                <c:pt idx="723">
                  <c:v>45.41516604427607</c:v>
                </c:pt>
                <c:pt idx="724">
                  <c:v>45.414061342530587</c:v>
                </c:pt>
                <c:pt idx="725">
                  <c:v>45.412967237362892</c:v>
                </c:pt>
                <c:pt idx="726">
                  <c:v>45.411883627127928</c:v>
                </c:pt>
                <c:pt idx="727">
                  <c:v>45.410810411155666</c:v>
                </c:pt>
                <c:pt idx="728">
                  <c:v>45.409747489741711</c:v>
                </c:pt>
                <c:pt idx="729">
                  <c:v>45.408694764138062</c:v>
                </c:pt>
                <c:pt idx="730">
                  <c:v>45.407652136543938</c:v>
                </c:pt>
                <c:pt idx="731">
                  <c:v>45.406619510096682</c:v>
                </c:pt>
                <c:pt idx="732">
                  <c:v>45.405596788862773</c:v>
                </c:pt>
                <c:pt idx="733">
                  <c:v>45.404583877828905</c:v>
                </c:pt>
                <c:pt idx="734">
                  <c:v>45.403580682893164</c:v>
                </c:pt>
                <c:pt idx="735">
                  <c:v>45.402587110856281</c:v>
                </c:pt>
                <c:pt idx="736">
                  <c:v>45.401603069412992</c:v>
                </c:pt>
                <c:pt idx="737">
                  <c:v>45.400628467143441</c:v>
                </c:pt>
                <c:pt idx="738">
                  <c:v>45.399663213504681</c:v>
                </c:pt>
                <c:pt idx="739">
                  <c:v>45.398707218822295</c:v>
                </c:pt>
                <c:pt idx="740">
                  <c:v>45.397760394282038</c:v>
                </c:pt>
                <c:pt idx="741">
                  <c:v>45.396822651921596</c:v>
                </c:pt>
                <c:pt idx="742">
                  <c:v>45.395893904622397</c:v>
                </c:pt>
                <c:pt idx="743">
                  <c:v>45.394974066101561</c:v>
                </c:pt>
                <c:pt idx="744">
                  <c:v>45.394063050903831</c:v>
                </c:pt>
                <c:pt idx="745">
                  <c:v>45.393160774393664</c:v>
                </c:pt>
                <c:pt idx="746">
                  <c:v>45.392267152747365</c:v>
                </c:pt>
                <c:pt idx="747">
                  <c:v>45.3913821029453</c:v>
                </c:pt>
                <c:pt idx="748">
                  <c:v>45.390505542764181</c:v>
                </c:pt>
                <c:pt idx="749">
                  <c:v>45.389637390769416</c:v>
                </c:pt>
                <c:pt idx="750">
                  <c:v>45.38877756630756</c:v>
                </c:pt>
              </c:numCache>
            </c:numRef>
          </c:yVal>
          <c:smooth val="0"/>
          <c:extLst>
            <c:ext xmlns:c16="http://schemas.microsoft.com/office/drawing/2014/chart" uri="{C3380CC4-5D6E-409C-BE32-E72D297353CC}">
              <c16:uniqueId val="{00000005-D988-4F7B-8CAF-3E43F52E176F}"/>
            </c:ext>
          </c:extLst>
        </c:ser>
        <c:dLbls>
          <c:showLegendKey val="0"/>
          <c:showVal val="0"/>
          <c:showCatName val="0"/>
          <c:showSerName val="0"/>
          <c:showPercent val="0"/>
          <c:showBubbleSize val="0"/>
        </c:dLbls>
        <c:axId val="498596408"/>
        <c:axId val="498596736"/>
      </c:scatterChart>
      <c:valAx>
        <c:axId val="498596408"/>
        <c:scaling>
          <c:orientation val="minMax"/>
          <c:max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596736"/>
        <c:crosses val="autoZero"/>
        <c:crossBetween val="midCat"/>
        <c:majorUnit val="2"/>
      </c:valAx>
      <c:valAx>
        <c:axId val="498596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Contact</a:t>
                </a:r>
                <a:r>
                  <a:rPr lang="en-US" baseline="0"/>
                  <a:t> Angle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5964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weeks 1-3: Bacteria Count vs Time</a:t>
            </a:r>
            <a:endParaRPr lang="en-US"/>
          </a:p>
        </c:rich>
      </c:tx>
      <c:overlay val="0"/>
      <c:spPr>
        <a:noFill/>
        <a:ln>
          <a:noFill/>
        </a:ln>
        <a:effectLst/>
      </c:spPr>
    </c:title>
    <c:autoTitleDeleted val="0"/>
    <c:plotArea>
      <c:layout>
        <c:manualLayout>
          <c:layoutTarget val="inner"/>
          <c:xMode val="edge"/>
          <c:yMode val="edge"/>
          <c:x val="0.16981651130158107"/>
          <c:y val="0.11674535725527227"/>
          <c:w val="0.63336525333383209"/>
          <c:h val="0.80077104384614817"/>
        </c:manualLayout>
      </c:layout>
      <c:barChart>
        <c:barDir val="col"/>
        <c:grouping val="clustered"/>
        <c:varyColors val="0"/>
        <c:ser>
          <c:idx val="0"/>
          <c:order val="0"/>
          <c:tx>
            <c:v>NG in Water</c:v>
          </c:tx>
          <c:spPr>
            <a:ln w="19050" cap="rnd">
              <a:solidFill>
                <a:srgbClr val="FF0000"/>
              </a:solidFill>
              <a:round/>
            </a:ln>
            <a:effectLst/>
          </c:spPr>
          <c:invertIfNegative val="0"/>
          <c:errBars>
            <c:errBarType val="both"/>
            <c:errValType val="cust"/>
            <c:noEndCap val="0"/>
            <c:plus>
              <c:numRef>
                <c:f>Data!$AD$7:$AD$10</c:f>
                <c:numCache>
                  <c:formatCode>General</c:formatCode>
                  <c:ptCount val="4"/>
                  <c:pt idx="0">
                    <c:v>58946.211786848762</c:v>
                  </c:pt>
                  <c:pt idx="1">
                    <c:v>50767.477613486764</c:v>
                  </c:pt>
                  <c:pt idx="2">
                    <c:v>49653.570326737849</c:v>
                  </c:pt>
                  <c:pt idx="3">
                    <c:v>50317.195406938918</c:v>
                  </c:pt>
                </c:numCache>
              </c:numRef>
            </c:plus>
            <c:minus>
              <c:numRef>
                <c:f>Data!$AD$7:$AD$10</c:f>
                <c:numCache>
                  <c:formatCode>General</c:formatCode>
                  <c:ptCount val="4"/>
                  <c:pt idx="0">
                    <c:v>58946.211786848762</c:v>
                  </c:pt>
                  <c:pt idx="1">
                    <c:v>50767.477613486764</c:v>
                  </c:pt>
                  <c:pt idx="2">
                    <c:v>49653.570326737849</c:v>
                  </c:pt>
                  <c:pt idx="3">
                    <c:v>50317.195406938918</c:v>
                  </c:pt>
                </c:numCache>
              </c:numRef>
            </c:minus>
            <c:spPr>
              <a:noFill/>
              <a:ln w="9525" cap="flat" cmpd="sng" algn="ctr">
                <a:solidFill>
                  <a:schemeClr val="tx1">
                    <a:lumMod val="65000"/>
                    <a:lumOff val="35000"/>
                  </a:schemeClr>
                </a:solidFill>
                <a:round/>
              </a:ln>
              <a:effectLst/>
            </c:spPr>
          </c:errBars>
          <c:cat>
            <c:numRef>
              <c:f>Data!$B$7:$B$10</c:f>
              <c:numCache>
                <c:formatCode>General</c:formatCode>
                <c:ptCount val="4"/>
                <c:pt idx="0">
                  <c:v>0</c:v>
                </c:pt>
                <c:pt idx="1">
                  <c:v>2</c:v>
                </c:pt>
                <c:pt idx="2">
                  <c:v>4</c:v>
                </c:pt>
                <c:pt idx="3">
                  <c:v>6</c:v>
                </c:pt>
              </c:numCache>
            </c:numRef>
          </c:cat>
          <c:val>
            <c:numRef>
              <c:f>Data!$AC$7:$AC$10</c:f>
              <c:numCache>
                <c:formatCode>0.00</c:formatCode>
                <c:ptCount val="4"/>
                <c:pt idx="0">
                  <c:v>69202.600148315963</c:v>
                </c:pt>
                <c:pt idx="1">
                  <c:v>60624.204246630863</c:v>
                </c:pt>
                <c:pt idx="2">
                  <c:v>59034.888708416962</c:v>
                </c:pt>
                <c:pt idx="3">
                  <c:v>59247.026937167604</c:v>
                </c:pt>
              </c:numCache>
            </c:numRef>
          </c:val>
          <c:extLst>
            <c:ext xmlns:c16="http://schemas.microsoft.com/office/drawing/2014/chart" uri="{C3380CC4-5D6E-409C-BE32-E72D297353CC}">
              <c16:uniqueId val="{00000000-9086-49FA-9A51-E5C8B0B294B7}"/>
            </c:ext>
          </c:extLst>
        </c:ser>
        <c:ser>
          <c:idx val="1"/>
          <c:order val="1"/>
          <c:tx>
            <c:v>NT in EtOH</c:v>
          </c:tx>
          <c:spPr>
            <a:ln w="19050" cap="rnd">
              <a:solidFill>
                <a:schemeClr val="accent2"/>
              </a:solidFill>
              <a:round/>
            </a:ln>
            <a:effectLst/>
          </c:spPr>
          <c:invertIfNegative val="0"/>
          <c:errBars>
            <c:errBarType val="both"/>
            <c:errValType val="cust"/>
            <c:noEndCap val="0"/>
            <c:plus>
              <c:numRef>
                <c:f>Data!$AD$12:$AD$15</c:f>
                <c:numCache>
                  <c:formatCode>General</c:formatCode>
                  <c:ptCount val="4"/>
                  <c:pt idx="0">
                    <c:v>74888.083842862063</c:v>
                  </c:pt>
                  <c:pt idx="1">
                    <c:v>85260.359541445185</c:v>
                  </c:pt>
                  <c:pt idx="2">
                    <c:v>78348.008717084915</c:v>
                  </c:pt>
                  <c:pt idx="3">
                    <c:v>64888.408944263487</c:v>
                  </c:pt>
                </c:numCache>
              </c:numRef>
            </c:plus>
            <c:minus>
              <c:numRef>
                <c:f>Data!$AD$12:$AD$15</c:f>
                <c:numCache>
                  <c:formatCode>General</c:formatCode>
                  <c:ptCount val="4"/>
                  <c:pt idx="0">
                    <c:v>74888.083842862063</c:v>
                  </c:pt>
                  <c:pt idx="1">
                    <c:v>85260.359541445185</c:v>
                  </c:pt>
                  <c:pt idx="2">
                    <c:v>78348.008717084915</c:v>
                  </c:pt>
                  <c:pt idx="3">
                    <c:v>64888.408944263487</c:v>
                  </c:pt>
                </c:numCache>
              </c:numRef>
            </c:minus>
            <c:spPr>
              <a:noFill/>
              <a:ln w="9525" cap="flat" cmpd="sng" algn="ctr">
                <a:solidFill>
                  <a:schemeClr val="tx1">
                    <a:lumMod val="65000"/>
                    <a:lumOff val="35000"/>
                  </a:schemeClr>
                </a:solidFill>
                <a:round/>
              </a:ln>
              <a:effectLst/>
            </c:spPr>
          </c:errBars>
          <c:cat>
            <c:numRef>
              <c:f>Data!$B$7:$B$10</c:f>
              <c:numCache>
                <c:formatCode>General</c:formatCode>
                <c:ptCount val="4"/>
                <c:pt idx="0">
                  <c:v>0</c:v>
                </c:pt>
                <c:pt idx="1">
                  <c:v>2</c:v>
                </c:pt>
                <c:pt idx="2">
                  <c:v>4</c:v>
                </c:pt>
                <c:pt idx="3">
                  <c:v>6</c:v>
                </c:pt>
              </c:numCache>
            </c:numRef>
          </c:cat>
          <c:val>
            <c:numRef>
              <c:f>Data!$AC$12:$AC$15</c:f>
              <c:numCache>
                <c:formatCode>0.00</c:formatCode>
                <c:ptCount val="4"/>
                <c:pt idx="0">
                  <c:v>86065.305370366637</c:v>
                </c:pt>
                <c:pt idx="1">
                  <c:v>82786.47788215219</c:v>
                </c:pt>
                <c:pt idx="2">
                  <c:v>79207.866955044621</c:v>
                </c:pt>
                <c:pt idx="3">
                  <c:v>72896.667901930254</c:v>
                </c:pt>
              </c:numCache>
            </c:numRef>
          </c:val>
          <c:extLst>
            <c:ext xmlns:c16="http://schemas.microsoft.com/office/drawing/2014/chart" uri="{C3380CC4-5D6E-409C-BE32-E72D297353CC}">
              <c16:uniqueId val="{00000001-9086-49FA-9A51-E5C8B0B294B7}"/>
            </c:ext>
          </c:extLst>
        </c:ser>
        <c:ser>
          <c:idx val="2"/>
          <c:order val="2"/>
          <c:tx>
            <c:v>NG in Water DDAO</c:v>
          </c:tx>
          <c:spPr>
            <a:ln w="19050" cap="rnd">
              <a:solidFill>
                <a:schemeClr val="accent3"/>
              </a:solidFill>
              <a:round/>
            </a:ln>
            <a:effectLst/>
          </c:spPr>
          <c:invertIfNegative val="0"/>
          <c:errBars>
            <c:errBarType val="both"/>
            <c:errValType val="cust"/>
            <c:noEndCap val="0"/>
            <c:plus>
              <c:numRef>
                <c:f>Data!$AD$17:$AD$20</c:f>
                <c:numCache>
                  <c:formatCode>General</c:formatCode>
                  <c:ptCount val="4"/>
                  <c:pt idx="0">
                    <c:v>82991.856639774793</c:v>
                  </c:pt>
                  <c:pt idx="1">
                    <c:v>74510.530224611008</c:v>
                  </c:pt>
                  <c:pt idx="2">
                    <c:v>72127.741703400199</c:v>
                  </c:pt>
                  <c:pt idx="3">
                    <c:v>65342.165888826472</c:v>
                  </c:pt>
                </c:numCache>
              </c:numRef>
            </c:plus>
            <c:minus>
              <c:numRef>
                <c:f>Data!$AD$17:$AD$20</c:f>
                <c:numCache>
                  <c:formatCode>General</c:formatCode>
                  <c:ptCount val="4"/>
                  <c:pt idx="0">
                    <c:v>82991.856639774793</c:v>
                  </c:pt>
                  <c:pt idx="1">
                    <c:v>74510.530224611008</c:v>
                  </c:pt>
                  <c:pt idx="2">
                    <c:v>72127.741703400199</c:v>
                  </c:pt>
                  <c:pt idx="3">
                    <c:v>65342.165888826472</c:v>
                  </c:pt>
                </c:numCache>
              </c:numRef>
            </c:minus>
            <c:spPr>
              <a:noFill/>
              <a:ln w="9525" cap="flat" cmpd="sng" algn="ctr">
                <a:solidFill>
                  <a:schemeClr val="tx1">
                    <a:lumMod val="65000"/>
                    <a:lumOff val="35000"/>
                  </a:schemeClr>
                </a:solidFill>
                <a:round/>
              </a:ln>
              <a:effectLst/>
            </c:spPr>
          </c:errBars>
          <c:cat>
            <c:numRef>
              <c:f>Data!$B$7:$B$10</c:f>
              <c:numCache>
                <c:formatCode>General</c:formatCode>
                <c:ptCount val="4"/>
                <c:pt idx="0">
                  <c:v>0</c:v>
                </c:pt>
                <c:pt idx="1">
                  <c:v>2</c:v>
                </c:pt>
                <c:pt idx="2">
                  <c:v>4</c:v>
                </c:pt>
                <c:pt idx="3">
                  <c:v>6</c:v>
                </c:pt>
              </c:numCache>
            </c:numRef>
          </c:cat>
          <c:val>
            <c:numRef>
              <c:f>Data!$AC$17:$AC$20</c:f>
              <c:numCache>
                <c:formatCode>0.00</c:formatCode>
                <c:ptCount val="4"/>
                <c:pt idx="0">
                  <c:v>120434.63747249087</c:v>
                </c:pt>
                <c:pt idx="1">
                  <c:v>112145.60871457745</c:v>
                </c:pt>
                <c:pt idx="2">
                  <c:v>103787.53029154953</c:v>
                </c:pt>
                <c:pt idx="3">
                  <c:v>95537.159455957633</c:v>
                </c:pt>
              </c:numCache>
            </c:numRef>
          </c:val>
          <c:extLst>
            <c:ext xmlns:c16="http://schemas.microsoft.com/office/drawing/2014/chart" uri="{C3380CC4-5D6E-409C-BE32-E72D297353CC}">
              <c16:uniqueId val="{00000002-9086-49FA-9A51-E5C8B0B294B7}"/>
            </c:ext>
          </c:extLst>
        </c:ser>
        <c:ser>
          <c:idx val="3"/>
          <c:order val="3"/>
          <c:tx>
            <c:v>NT in Water DDAO</c:v>
          </c:tx>
          <c:spPr>
            <a:ln w="19050" cap="rnd">
              <a:solidFill>
                <a:schemeClr val="accent4"/>
              </a:solidFill>
              <a:round/>
            </a:ln>
            <a:effectLst/>
          </c:spPr>
          <c:invertIfNegative val="0"/>
          <c:errBars>
            <c:errBarType val="both"/>
            <c:errValType val="cust"/>
            <c:noEndCap val="0"/>
            <c:plus>
              <c:numRef>
                <c:f>Data!$AD$22:$AD$25</c:f>
                <c:numCache>
                  <c:formatCode>General</c:formatCode>
                  <c:ptCount val="4"/>
                  <c:pt idx="0">
                    <c:v>105891.01710536235</c:v>
                  </c:pt>
                  <c:pt idx="1">
                    <c:v>89712.666586858526</c:v>
                  </c:pt>
                  <c:pt idx="2">
                    <c:v>84944.313249267114</c:v>
                  </c:pt>
                  <c:pt idx="3">
                    <c:v>78889.797191425081</c:v>
                  </c:pt>
                </c:numCache>
              </c:numRef>
            </c:plus>
            <c:minus>
              <c:numRef>
                <c:f>Data!$AD$22:$AD$25</c:f>
                <c:numCache>
                  <c:formatCode>General</c:formatCode>
                  <c:ptCount val="4"/>
                  <c:pt idx="0">
                    <c:v>105891.01710536235</c:v>
                  </c:pt>
                  <c:pt idx="1">
                    <c:v>89712.666586858526</c:v>
                  </c:pt>
                  <c:pt idx="2">
                    <c:v>84944.313249267114</c:v>
                  </c:pt>
                  <c:pt idx="3">
                    <c:v>78889.797191425081</c:v>
                  </c:pt>
                </c:numCache>
              </c:numRef>
            </c:minus>
            <c:spPr>
              <a:noFill/>
              <a:ln w="9525" cap="flat" cmpd="sng" algn="ctr">
                <a:solidFill>
                  <a:schemeClr val="tx1">
                    <a:lumMod val="65000"/>
                    <a:lumOff val="35000"/>
                  </a:schemeClr>
                </a:solidFill>
                <a:round/>
              </a:ln>
              <a:effectLst/>
            </c:spPr>
          </c:errBars>
          <c:cat>
            <c:numRef>
              <c:f>Data!$B$17:$B$20</c:f>
              <c:numCache>
                <c:formatCode>General</c:formatCode>
                <c:ptCount val="4"/>
                <c:pt idx="0">
                  <c:v>0</c:v>
                </c:pt>
                <c:pt idx="1">
                  <c:v>2</c:v>
                </c:pt>
                <c:pt idx="2">
                  <c:v>4</c:v>
                </c:pt>
                <c:pt idx="3">
                  <c:v>6</c:v>
                </c:pt>
              </c:numCache>
            </c:numRef>
          </c:cat>
          <c:val>
            <c:numRef>
              <c:f>Data!$AC$22:$AC$25</c:f>
              <c:numCache>
                <c:formatCode>0.00</c:formatCode>
                <c:ptCount val="4"/>
                <c:pt idx="0">
                  <c:v>148489.03698067676</c:v>
                </c:pt>
                <c:pt idx="1">
                  <c:v>130804.79556197519</c:v>
                </c:pt>
                <c:pt idx="2">
                  <c:v>123345.50505124223</c:v>
                </c:pt>
                <c:pt idx="3">
                  <c:v>113953.05139896386</c:v>
                </c:pt>
              </c:numCache>
            </c:numRef>
          </c:val>
          <c:extLst>
            <c:ext xmlns:c16="http://schemas.microsoft.com/office/drawing/2014/chart" uri="{C3380CC4-5D6E-409C-BE32-E72D297353CC}">
              <c16:uniqueId val="{00000003-9086-49FA-9A51-E5C8B0B294B7}"/>
            </c:ext>
          </c:extLst>
        </c:ser>
        <c:ser>
          <c:idx val="4"/>
          <c:order val="4"/>
          <c:tx>
            <c:v>NG in EtOH DDAO</c:v>
          </c:tx>
          <c:spPr>
            <a:ln w="19050" cap="rnd">
              <a:solidFill>
                <a:schemeClr val="accent5"/>
              </a:solidFill>
              <a:round/>
            </a:ln>
            <a:effectLst/>
          </c:spPr>
          <c:invertIfNegative val="0"/>
          <c:errBars>
            <c:errBarType val="both"/>
            <c:errValType val="fixedVal"/>
            <c:noEndCap val="0"/>
            <c:val val="1"/>
            <c:spPr>
              <a:noFill/>
              <a:ln w="9525" cap="flat" cmpd="sng" algn="ctr">
                <a:solidFill>
                  <a:schemeClr val="tx1">
                    <a:lumMod val="65000"/>
                    <a:lumOff val="35000"/>
                  </a:schemeClr>
                </a:solidFill>
                <a:round/>
              </a:ln>
              <a:effectLst/>
            </c:spPr>
          </c:errBars>
          <c:cat>
            <c:numRef>
              <c:f>Data!$B$27:$B$30</c:f>
              <c:numCache>
                <c:formatCode>General</c:formatCode>
                <c:ptCount val="4"/>
                <c:pt idx="0">
                  <c:v>0</c:v>
                </c:pt>
                <c:pt idx="1">
                  <c:v>2</c:v>
                </c:pt>
                <c:pt idx="2">
                  <c:v>4</c:v>
                </c:pt>
                <c:pt idx="3">
                  <c:v>6</c:v>
                </c:pt>
              </c:numCache>
            </c:numRef>
          </c:cat>
          <c:val>
            <c:numRef>
              <c:f>Data!$AC$27:$AC$30</c:f>
              <c:numCache>
                <c:formatCode>0.00</c:formatCode>
                <c:ptCount val="4"/>
                <c:pt idx="0">
                  <c:v>141989.84975336169</c:v>
                </c:pt>
                <c:pt idx="1">
                  <c:v>133483.41497568795</c:v>
                </c:pt>
                <c:pt idx="2">
                  <c:v>127472.89780621963</c:v>
                </c:pt>
                <c:pt idx="3">
                  <c:v>120400.42977447939</c:v>
                </c:pt>
              </c:numCache>
            </c:numRef>
          </c:val>
          <c:extLst>
            <c:ext xmlns:c16="http://schemas.microsoft.com/office/drawing/2014/chart" uri="{C3380CC4-5D6E-409C-BE32-E72D297353CC}">
              <c16:uniqueId val="{00000004-9086-49FA-9A51-E5C8B0B294B7}"/>
            </c:ext>
          </c:extLst>
        </c:ser>
        <c:ser>
          <c:idx val="5"/>
          <c:order val="5"/>
          <c:tx>
            <c:v>NT in EtOH DDAO</c:v>
          </c:tx>
          <c:spPr>
            <a:ln w="19050" cap="rnd">
              <a:solidFill>
                <a:schemeClr val="accent6"/>
              </a:solidFill>
              <a:round/>
            </a:ln>
            <a:effectLst/>
          </c:spPr>
          <c:invertIfNegative val="0"/>
          <c:errBars>
            <c:errBarType val="both"/>
            <c:errValType val="cust"/>
            <c:noEndCap val="0"/>
            <c:plus>
              <c:numRef>
                <c:f>Data!$AD$32:$AD$35</c:f>
                <c:numCache>
                  <c:formatCode>General</c:formatCode>
                  <c:ptCount val="4"/>
                  <c:pt idx="0">
                    <c:v>98665.114099311671</c:v>
                  </c:pt>
                  <c:pt idx="1">
                    <c:v>81403.207478565688</c:v>
                  </c:pt>
                  <c:pt idx="2">
                    <c:v>75471.14890263087</c:v>
                  </c:pt>
                  <c:pt idx="3">
                    <c:v>71863.599402982858</c:v>
                  </c:pt>
                </c:numCache>
              </c:numRef>
            </c:plus>
            <c:minus>
              <c:numRef>
                <c:f>Data!$AD$32:$AD$35</c:f>
                <c:numCache>
                  <c:formatCode>General</c:formatCode>
                  <c:ptCount val="4"/>
                  <c:pt idx="0">
                    <c:v>98665.114099311671</c:v>
                  </c:pt>
                  <c:pt idx="1">
                    <c:v>81403.207478565688</c:v>
                  </c:pt>
                  <c:pt idx="2">
                    <c:v>75471.14890263087</c:v>
                  </c:pt>
                  <c:pt idx="3">
                    <c:v>71863.599402982858</c:v>
                  </c:pt>
                </c:numCache>
              </c:numRef>
            </c:minus>
            <c:spPr>
              <a:noFill/>
              <a:ln w="9525" cap="flat" cmpd="sng" algn="ctr">
                <a:solidFill>
                  <a:schemeClr val="tx1">
                    <a:lumMod val="65000"/>
                    <a:lumOff val="35000"/>
                  </a:schemeClr>
                </a:solidFill>
                <a:round/>
              </a:ln>
              <a:effectLst/>
            </c:spPr>
          </c:errBars>
          <c:cat>
            <c:numRef>
              <c:f>Data!$B$32:$B$35</c:f>
              <c:numCache>
                <c:formatCode>General</c:formatCode>
                <c:ptCount val="4"/>
                <c:pt idx="0">
                  <c:v>0</c:v>
                </c:pt>
                <c:pt idx="1">
                  <c:v>2</c:v>
                </c:pt>
                <c:pt idx="2">
                  <c:v>4</c:v>
                </c:pt>
                <c:pt idx="3">
                  <c:v>6</c:v>
                </c:pt>
              </c:numCache>
            </c:numRef>
          </c:cat>
          <c:val>
            <c:numRef>
              <c:f>Data!$AC$32:$AC$35</c:f>
              <c:numCache>
                <c:formatCode>0.00</c:formatCode>
                <c:ptCount val="4"/>
                <c:pt idx="0">
                  <c:v>124991.41033164806</c:v>
                </c:pt>
                <c:pt idx="1">
                  <c:v>107713.10946951239</c:v>
                </c:pt>
                <c:pt idx="2">
                  <c:v>98132.761131635736</c:v>
                </c:pt>
                <c:pt idx="3">
                  <c:v>95490.584204401865</c:v>
                </c:pt>
              </c:numCache>
            </c:numRef>
          </c:val>
          <c:extLst>
            <c:ext xmlns:c16="http://schemas.microsoft.com/office/drawing/2014/chart" uri="{C3380CC4-5D6E-409C-BE32-E72D297353CC}">
              <c16:uniqueId val="{00000005-9086-49FA-9A51-E5C8B0B294B7}"/>
            </c:ext>
          </c:extLst>
        </c:ser>
        <c:ser>
          <c:idx val="6"/>
          <c:order val="6"/>
          <c:tx>
            <c:v>Surf</c:v>
          </c:tx>
          <c:spPr>
            <a:ln w="19050" cap="rnd">
              <a:solidFill>
                <a:srgbClr val="CC00FF"/>
              </a:solidFill>
              <a:round/>
            </a:ln>
            <a:effectLst/>
          </c:spPr>
          <c:invertIfNegative val="0"/>
          <c:errBars>
            <c:errBarType val="both"/>
            <c:errValType val="cust"/>
            <c:noEndCap val="0"/>
            <c:plus>
              <c:numRef>
                <c:f>Data!$AD$37:$AD$40</c:f>
                <c:numCache>
                  <c:formatCode>General</c:formatCode>
                  <c:ptCount val="4"/>
                  <c:pt idx="0">
                    <c:v>46992.427045048375</c:v>
                  </c:pt>
                  <c:pt idx="1">
                    <c:v>43853.365145394331</c:v>
                  </c:pt>
                  <c:pt idx="2">
                    <c:v>39946.655099252654</c:v>
                  </c:pt>
                  <c:pt idx="3">
                    <c:v>38961.539594024427</c:v>
                  </c:pt>
                </c:numCache>
              </c:numRef>
            </c:plus>
            <c:minus>
              <c:numRef>
                <c:f>Data!$AD$37:$AD$40</c:f>
                <c:numCache>
                  <c:formatCode>General</c:formatCode>
                  <c:ptCount val="4"/>
                  <c:pt idx="0">
                    <c:v>46992.427045048375</c:v>
                  </c:pt>
                  <c:pt idx="1">
                    <c:v>43853.365145394331</c:v>
                  </c:pt>
                  <c:pt idx="2">
                    <c:v>39946.655099252654</c:v>
                  </c:pt>
                  <c:pt idx="3">
                    <c:v>38961.539594024427</c:v>
                  </c:pt>
                </c:numCache>
              </c:numRef>
            </c:minus>
            <c:spPr>
              <a:noFill/>
              <a:ln w="9525" cap="flat" cmpd="sng" algn="ctr">
                <a:solidFill>
                  <a:schemeClr val="tx1">
                    <a:lumMod val="65000"/>
                    <a:lumOff val="35000"/>
                  </a:schemeClr>
                </a:solidFill>
                <a:round/>
              </a:ln>
              <a:effectLst/>
            </c:spPr>
          </c:errBars>
          <c:cat>
            <c:numRef>
              <c:f>Data!$B$37:$B$40</c:f>
              <c:numCache>
                <c:formatCode>General</c:formatCode>
                <c:ptCount val="4"/>
                <c:pt idx="0">
                  <c:v>0</c:v>
                </c:pt>
                <c:pt idx="1">
                  <c:v>2</c:v>
                </c:pt>
                <c:pt idx="2">
                  <c:v>4</c:v>
                </c:pt>
                <c:pt idx="3">
                  <c:v>6</c:v>
                </c:pt>
              </c:numCache>
            </c:numRef>
          </c:cat>
          <c:val>
            <c:numRef>
              <c:f>Data!$AC$37:$AC$40</c:f>
              <c:numCache>
                <c:formatCode>0.00</c:formatCode>
                <c:ptCount val="4"/>
                <c:pt idx="0">
                  <c:v>66999.049343909079</c:v>
                </c:pt>
                <c:pt idx="1">
                  <c:v>62238.691255239326</c:v>
                </c:pt>
                <c:pt idx="2">
                  <c:v>56401.295918041382</c:v>
                </c:pt>
                <c:pt idx="3">
                  <c:v>54960.113056932896</c:v>
                </c:pt>
              </c:numCache>
            </c:numRef>
          </c:val>
          <c:extLst>
            <c:ext xmlns:c16="http://schemas.microsoft.com/office/drawing/2014/chart" uri="{C3380CC4-5D6E-409C-BE32-E72D297353CC}">
              <c16:uniqueId val="{00000006-9086-49FA-9A51-E5C8B0B294B7}"/>
            </c:ext>
          </c:extLst>
        </c:ser>
        <c:ser>
          <c:idx val="7"/>
          <c:order val="7"/>
          <c:tx>
            <c:v>OPTB</c:v>
          </c:tx>
          <c:spPr>
            <a:ln w="19050" cap="rnd">
              <a:solidFill>
                <a:schemeClr val="tx1"/>
              </a:solidFill>
              <a:round/>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numRef>
              <c:f>Data!$B$42:$B$45</c:f>
              <c:numCache>
                <c:formatCode>General</c:formatCode>
                <c:ptCount val="4"/>
                <c:pt idx="0">
                  <c:v>0</c:v>
                </c:pt>
                <c:pt idx="1">
                  <c:v>2</c:v>
                </c:pt>
                <c:pt idx="2">
                  <c:v>4</c:v>
                </c:pt>
                <c:pt idx="3">
                  <c:v>6</c:v>
                </c:pt>
              </c:numCache>
            </c:numRef>
          </c:cat>
          <c:val>
            <c:numRef>
              <c:f>Data!$AC$42:$AC$45</c:f>
              <c:numCache>
                <c:formatCode>0.00</c:formatCode>
                <c:ptCount val="4"/>
                <c:pt idx="0">
                  <c:v>70334.372108012612</c:v>
                </c:pt>
                <c:pt idx="1">
                  <c:v>63779.852753914827</c:v>
                </c:pt>
                <c:pt idx="2">
                  <c:v>60107.29933235007</c:v>
                </c:pt>
                <c:pt idx="3">
                  <c:v>53927.467520897437</c:v>
                </c:pt>
              </c:numCache>
            </c:numRef>
          </c:val>
          <c:extLst>
            <c:ext xmlns:c16="http://schemas.microsoft.com/office/drawing/2014/chart" uri="{C3380CC4-5D6E-409C-BE32-E72D297353CC}">
              <c16:uniqueId val="{00000007-9086-49FA-9A51-E5C8B0B294B7}"/>
            </c:ext>
          </c:extLst>
        </c:ser>
        <c:dLbls>
          <c:showLegendKey val="0"/>
          <c:showVal val="0"/>
          <c:showCatName val="0"/>
          <c:showSerName val="0"/>
          <c:showPercent val="0"/>
          <c:showBubbleSize val="0"/>
        </c:dLbls>
        <c:gapWidth val="150"/>
        <c:axId val="446050296"/>
        <c:axId val="446050688"/>
      </c:barChart>
      <c:catAx>
        <c:axId val="4460502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050688"/>
        <c:crosses val="autoZero"/>
        <c:auto val="1"/>
        <c:lblAlgn val="ctr"/>
        <c:lblOffset val="100"/>
        <c:noMultiLvlLbl val="0"/>
      </c:catAx>
      <c:valAx>
        <c:axId val="44605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a:t>
                </a:r>
                <a:r>
                  <a:rPr lang="en-US" baseline="0"/>
                  <a:t> Fluorescence Units</a:t>
                </a:r>
                <a:endParaRPr lang="en-US"/>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050296"/>
        <c:crosses val="autoZero"/>
        <c:crossBetween val="between"/>
      </c:valAx>
      <c:spPr>
        <a:noFill/>
        <a:ln>
          <a:noFill/>
        </a:ln>
        <a:effectLst/>
      </c:spPr>
    </c:plotArea>
    <c:legend>
      <c:legendPos val="r"/>
      <c:layout>
        <c:manualLayout>
          <c:xMode val="edge"/>
          <c:yMode val="edge"/>
          <c:x val="0.79864738997886542"/>
          <c:y val="0.32578966896153688"/>
          <c:w val="0.19908261170441577"/>
          <c:h val="0.424932152602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US"/>
              <a:t>Diiodomethane</a:t>
            </a:r>
            <a:r>
              <a:rPr lang="es-US" baseline="0"/>
              <a:t> on Nanogard</a:t>
            </a:r>
          </a:p>
          <a:p>
            <a:pPr>
              <a:defRPr/>
            </a:pPr>
            <a:endParaRPr lang="es-US"/>
          </a:p>
        </c:rich>
      </c:tx>
      <c:overlay val="0"/>
    </c:title>
    <c:autoTitleDeleted val="0"/>
    <c:plotArea>
      <c:layout>
        <c:manualLayout>
          <c:layoutTarget val="inner"/>
          <c:xMode val="edge"/>
          <c:yMode val="edge"/>
          <c:x val="0.12739183831367271"/>
          <c:y val="0.17593699117026981"/>
          <c:w val="0.66766304092798889"/>
          <c:h val="0.60229699898362565"/>
        </c:manualLayout>
      </c:layout>
      <c:scatterChart>
        <c:scatterStyle val="smoothMarker"/>
        <c:varyColors val="0"/>
        <c:ser>
          <c:idx val="0"/>
          <c:order val="0"/>
          <c:tx>
            <c:v>2,5</c:v>
          </c:tx>
          <c:marker>
            <c:symbol val="none"/>
          </c:marker>
          <c:xVal>
            <c:numRef>
              <c:f>'Raw Data Time Penetration'!$T$2:$T$15</c:f>
              <c:numCache>
                <c:formatCode>General</c:formatCode>
                <c:ptCount val="14"/>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numCache>
            </c:numRef>
          </c:xVal>
          <c:yVal>
            <c:numRef>
              <c:f>'Raw Data Time Penetration'!$AN$2:$AN$15</c:f>
              <c:numCache>
                <c:formatCode>General</c:formatCode>
                <c:ptCount val="14"/>
                <c:pt idx="0">
                  <c:v>0</c:v>
                </c:pt>
                <c:pt idx="1">
                  <c:v>0.8571428571428571</c:v>
                </c:pt>
                <c:pt idx="2">
                  <c:v>1.0909090909090908</c:v>
                </c:pt>
                <c:pt idx="3">
                  <c:v>1.2000000000000002</c:v>
                </c:pt>
                <c:pt idx="4">
                  <c:v>1.263157894736842</c:v>
                </c:pt>
                <c:pt idx="5">
                  <c:v>1.3043478260869565</c:v>
                </c:pt>
                <c:pt idx="6">
                  <c:v>1.3333333333333333</c:v>
                </c:pt>
                <c:pt idx="7">
                  <c:v>1.3548387096774193</c:v>
                </c:pt>
                <c:pt idx="8">
                  <c:v>1.3714285714285714</c:v>
                </c:pt>
                <c:pt idx="9">
                  <c:v>1.3846153846153846</c:v>
                </c:pt>
                <c:pt idx="10">
                  <c:v>1.3953488372093024</c:v>
                </c:pt>
                <c:pt idx="11">
                  <c:v>1.4042553191489362</c:v>
                </c:pt>
                <c:pt idx="12">
                  <c:v>1.4117647058823528</c:v>
                </c:pt>
                <c:pt idx="13">
                  <c:v>1.4181818181818182</c:v>
                </c:pt>
              </c:numCache>
            </c:numRef>
          </c:yVal>
          <c:smooth val="1"/>
          <c:extLst>
            <c:ext xmlns:c16="http://schemas.microsoft.com/office/drawing/2014/chart" uri="{C3380CC4-5D6E-409C-BE32-E72D297353CC}">
              <c16:uniqueId val="{00000000-9923-4836-B326-849650E61026}"/>
            </c:ext>
          </c:extLst>
        </c:ser>
        <c:ser>
          <c:idx val="1"/>
          <c:order val="1"/>
          <c:tx>
            <c:v>2,4</c:v>
          </c:tx>
          <c:marker>
            <c:symbol val="none"/>
          </c:marker>
          <c:xVal>
            <c:numRef>
              <c:f>'Raw Data Time Penetration'!$W$16:$W$30</c:f>
              <c:numCache>
                <c:formatCode>General</c:formatCode>
                <c:ptCount val="15"/>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numCache>
            </c:numRef>
          </c:xVal>
          <c:yVal>
            <c:numRef>
              <c:f>'Raw Data Time Penetration'!$AN$16:$AN$30</c:f>
              <c:numCache>
                <c:formatCode>General</c:formatCode>
                <c:ptCount val="15"/>
                <c:pt idx="0">
                  <c:v>0</c:v>
                </c:pt>
                <c:pt idx="1">
                  <c:v>1</c:v>
                </c:pt>
                <c:pt idx="2">
                  <c:v>1.2</c:v>
                </c:pt>
                <c:pt idx="3">
                  <c:v>1.2857142857142858</c:v>
                </c:pt>
                <c:pt idx="4">
                  <c:v>1.3333333333333335</c:v>
                </c:pt>
                <c:pt idx="5">
                  <c:v>1.3636363636363638</c:v>
                </c:pt>
                <c:pt idx="6">
                  <c:v>1.3846153846153846</c:v>
                </c:pt>
                <c:pt idx="7">
                  <c:v>1.4</c:v>
                </c:pt>
                <c:pt idx="8">
                  <c:v>1.4117647058823528</c:v>
                </c:pt>
                <c:pt idx="9">
                  <c:v>1.4210526315789473</c:v>
                </c:pt>
                <c:pt idx="10">
                  <c:v>1.4285714285714284</c:v>
                </c:pt>
                <c:pt idx="11">
                  <c:v>1.4347826086956521</c:v>
                </c:pt>
                <c:pt idx="12">
                  <c:v>1.44</c:v>
                </c:pt>
                <c:pt idx="13">
                  <c:v>1.4444444444444444</c:v>
                </c:pt>
                <c:pt idx="14">
                  <c:v>1.4482758620689653</c:v>
                </c:pt>
              </c:numCache>
            </c:numRef>
          </c:yVal>
          <c:smooth val="1"/>
          <c:extLst>
            <c:ext xmlns:c16="http://schemas.microsoft.com/office/drawing/2014/chart" uri="{C3380CC4-5D6E-409C-BE32-E72D297353CC}">
              <c16:uniqueId val="{00000001-9923-4836-B326-849650E61026}"/>
            </c:ext>
          </c:extLst>
        </c:ser>
        <c:ser>
          <c:idx val="2"/>
          <c:order val="2"/>
          <c:tx>
            <c:v>2,3</c:v>
          </c:tx>
          <c:marker>
            <c:symbol val="none"/>
          </c:marker>
          <c:xVal>
            <c:numRef>
              <c:f>'Raw Data Time Penetration'!$W$31:$W$39</c:f>
              <c:numCache>
                <c:formatCode>General</c:formatCode>
                <c:ptCount val="9"/>
                <c:pt idx="0">
                  <c:v>0</c:v>
                </c:pt>
                <c:pt idx="1">
                  <c:v>0.04</c:v>
                </c:pt>
                <c:pt idx="2">
                  <c:v>0.08</c:v>
                </c:pt>
                <c:pt idx="3">
                  <c:v>0.12</c:v>
                </c:pt>
                <c:pt idx="4">
                  <c:v>0.16</c:v>
                </c:pt>
                <c:pt idx="5">
                  <c:v>0.2</c:v>
                </c:pt>
                <c:pt idx="6">
                  <c:v>0.24</c:v>
                </c:pt>
                <c:pt idx="7">
                  <c:v>0.28000000000000003</c:v>
                </c:pt>
                <c:pt idx="8">
                  <c:v>0.32</c:v>
                </c:pt>
              </c:numCache>
            </c:numRef>
          </c:xVal>
          <c:yVal>
            <c:numRef>
              <c:f>'Raw Data Time Penetration'!$AN$31:$AN$39</c:f>
              <c:numCache>
                <c:formatCode>General</c:formatCode>
                <c:ptCount val="9"/>
                <c:pt idx="0">
                  <c:v>0</c:v>
                </c:pt>
                <c:pt idx="1">
                  <c:v>1.0344827586206897</c:v>
                </c:pt>
                <c:pt idx="2">
                  <c:v>1.2244897959183674</c:v>
                </c:pt>
                <c:pt idx="3">
                  <c:v>1.3043478260869565</c:v>
                </c:pt>
                <c:pt idx="4">
                  <c:v>1.3483146067415732</c:v>
                </c:pt>
                <c:pt idx="5">
                  <c:v>1.3761467889908259</c:v>
                </c:pt>
                <c:pt idx="6">
                  <c:v>1.3953488372093024</c:v>
                </c:pt>
                <c:pt idx="7">
                  <c:v>1.4093959731543624</c:v>
                </c:pt>
                <c:pt idx="8">
                  <c:v>1.4201183431952662</c:v>
                </c:pt>
              </c:numCache>
            </c:numRef>
          </c:yVal>
          <c:smooth val="1"/>
          <c:extLst>
            <c:ext xmlns:c16="http://schemas.microsoft.com/office/drawing/2014/chart" uri="{C3380CC4-5D6E-409C-BE32-E72D297353CC}">
              <c16:uniqueId val="{00000002-9923-4836-B326-849650E61026}"/>
            </c:ext>
          </c:extLst>
        </c:ser>
        <c:ser>
          <c:idx val="3"/>
          <c:order val="3"/>
          <c:tx>
            <c:v>2,2</c:v>
          </c:tx>
          <c:marker>
            <c:symbol val="none"/>
          </c:marker>
          <c:xVal>
            <c:numRef>
              <c:f>'Raw Data Time Penetration'!$W$40:$W$43</c:f>
              <c:numCache>
                <c:formatCode>General</c:formatCode>
                <c:ptCount val="4"/>
                <c:pt idx="0">
                  <c:v>0</c:v>
                </c:pt>
                <c:pt idx="1">
                  <c:v>0.04</c:v>
                </c:pt>
                <c:pt idx="2">
                  <c:v>0.08</c:v>
                </c:pt>
                <c:pt idx="3">
                  <c:v>0.12</c:v>
                </c:pt>
              </c:numCache>
            </c:numRef>
          </c:xVal>
          <c:yVal>
            <c:numRef>
              <c:f>'Raw Data Time Penetration'!$AN$40:$AN$43</c:f>
              <c:numCache>
                <c:formatCode>General</c:formatCode>
                <c:ptCount val="4"/>
                <c:pt idx="0">
                  <c:v>0</c:v>
                </c:pt>
                <c:pt idx="1">
                  <c:v>0.70588235294117652</c:v>
                </c:pt>
                <c:pt idx="2">
                  <c:v>0.96</c:v>
                </c:pt>
                <c:pt idx="3">
                  <c:v>1.0909090909090908</c:v>
                </c:pt>
              </c:numCache>
            </c:numRef>
          </c:yVal>
          <c:smooth val="1"/>
          <c:extLst>
            <c:ext xmlns:c16="http://schemas.microsoft.com/office/drawing/2014/chart" uri="{C3380CC4-5D6E-409C-BE32-E72D297353CC}">
              <c16:uniqueId val="{00000003-9923-4836-B326-849650E61026}"/>
            </c:ext>
          </c:extLst>
        </c:ser>
        <c:ser>
          <c:idx val="4"/>
          <c:order val="4"/>
          <c:tx>
            <c:v>2,1</c:v>
          </c:tx>
          <c:marker>
            <c:symbol val="none"/>
          </c:marker>
          <c:xVal>
            <c:numRef>
              <c:f>'Raw Data Time Penetration'!$W$44:$W$48</c:f>
              <c:numCache>
                <c:formatCode>General</c:formatCode>
                <c:ptCount val="5"/>
                <c:pt idx="0">
                  <c:v>0</c:v>
                </c:pt>
                <c:pt idx="1">
                  <c:v>0.04</c:v>
                </c:pt>
                <c:pt idx="2">
                  <c:v>0.08</c:v>
                </c:pt>
                <c:pt idx="3">
                  <c:v>0.12</c:v>
                </c:pt>
                <c:pt idx="4">
                  <c:v>0.16</c:v>
                </c:pt>
              </c:numCache>
            </c:numRef>
          </c:xVal>
          <c:yVal>
            <c:numRef>
              <c:f>'Raw Data Time Penetration'!$AN$44:$AN$48</c:f>
              <c:numCache>
                <c:formatCode>General</c:formatCode>
                <c:ptCount val="5"/>
                <c:pt idx="0">
                  <c:v>0</c:v>
                </c:pt>
                <c:pt idx="1">
                  <c:v>1.0452961672473868</c:v>
                </c:pt>
                <c:pt idx="2">
                  <c:v>1.2320328542094456</c:v>
                </c:pt>
                <c:pt idx="3">
                  <c:v>1.3100436681222707</c:v>
                </c:pt>
                <c:pt idx="4">
                  <c:v>1.3528748590755355</c:v>
                </c:pt>
              </c:numCache>
            </c:numRef>
          </c:yVal>
          <c:smooth val="1"/>
          <c:extLst>
            <c:ext xmlns:c16="http://schemas.microsoft.com/office/drawing/2014/chart" uri="{C3380CC4-5D6E-409C-BE32-E72D297353CC}">
              <c16:uniqueId val="{00000004-9923-4836-B326-849650E61026}"/>
            </c:ext>
          </c:extLst>
        </c:ser>
        <c:ser>
          <c:idx val="5"/>
          <c:order val="5"/>
          <c:tx>
            <c:v>1,6</c:v>
          </c:tx>
          <c:marker>
            <c:symbol val="none"/>
          </c:marker>
          <c:xVal>
            <c:numRef>
              <c:f>'Raw Data Time Penetration'!$W$49:$W$53</c:f>
              <c:numCache>
                <c:formatCode>General</c:formatCode>
                <c:ptCount val="5"/>
                <c:pt idx="0">
                  <c:v>0</c:v>
                </c:pt>
                <c:pt idx="1">
                  <c:v>0.04</c:v>
                </c:pt>
                <c:pt idx="2">
                  <c:v>0.08</c:v>
                </c:pt>
                <c:pt idx="3">
                  <c:v>0.12</c:v>
                </c:pt>
                <c:pt idx="4">
                  <c:v>0.16</c:v>
                </c:pt>
              </c:numCache>
            </c:numRef>
          </c:xVal>
          <c:yVal>
            <c:numRef>
              <c:f>'Raw Data Time Penetration'!$AN$49:$AN$53</c:f>
              <c:numCache>
                <c:formatCode>General</c:formatCode>
                <c:ptCount val="5"/>
                <c:pt idx="0">
                  <c:v>0</c:v>
                </c:pt>
                <c:pt idx="1">
                  <c:v>0.92307692307692313</c:v>
                </c:pt>
                <c:pt idx="2">
                  <c:v>1.1428571428571428</c:v>
                </c:pt>
                <c:pt idx="3">
                  <c:v>1.2413793103448276</c:v>
                </c:pt>
                <c:pt idx="4">
                  <c:v>1.2972972972972974</c:v>
                </c:pt>
              </c:numCache>
            </c:numRef>
          </c:yVal>
          <c:smooth val="1"/>
          <c:extLst>
            <c:ext xmlns:c16="http://schemas.microsoft.com/office/drawing/2014/chart" uri="{C3380CC4-5D6E-409C-BE32-E72D297353CC}">
              <c16:uniqueId val="{00000005-9923-4836-B326-849650E61026}"/>
            </c:ext>
          </c:extLst>
        </c:ser>
        <c:ser>
          <c:idx val="6"/>
          <c:order val="6"/>
          <c:tx>
            <c:v>1,5</c:v>
          </c:tx>
          <c:marker>
            <c:symbol val="none"/>
          </c:marker>
          <c:xVal>
            <c:numRef>
              <c:f>'Raw Data Time Penetration'!$W$54:$W$59</c:f>
              <c:numCache>
                <c:formatCode>General</c:formatCode>
                <c:ptCount val="6"/>
                <c:pt idx="0">
                  <c:v>0</c:v>
                </c:pt>
                <c:pt idx="1">
                  <c:v>0.04</c:v>
                </c:pt>
                <c:pt idx="2">
                  <c:v>0.08</c:v>
                </c:pt>
                <c:pt idx="3">
                  <c:v>0.12</c:v>
                </c:pt>
                <c:pt idx="4">
                  <c:v>0.16</c:v>
                </c:pt>
                <c:pt idx="5">
                  <c:v>0.2</c:v>
                </c:pt>
              </c:numCache>
            </c:numRef>
          </c:xVal>
          <c:yVal>
            <c:numRef>
              <c:f>'Raw Data Time Penetration'!$AN$54:$AN$59</c:f>
              <c:numCache>
                <c:formatCode>General</c:formatCode>
                <c:ptCount val="6"/>
                <c:pt idx="0">
                  <c:v>0</c:v>
                </c:pt>
                <c:pt idx="1">
                  <c:v>0.66666666666666674</c:v>
                </c:pt>
                <c:pt idx="2">
                  <c:v>0.92307692307692313</c:v>
                </c:pt>
                <c:pt idx="3">
                  <c:v>1.0588235294117647</c:v>
                </c:pt>
                <c:pt idx="4">
                  <c:v>1.1428571428571428</c:v>
                </c:pt>
                <c:pt idx="5">
                  <c:v>1.2000000000000002</c:v>
                </c:pt>
              </c:numCache>
            </c:numRef>
          </c:yVal>
          <c:smooth val="1"/>
          <c:extLst>
            <c:ext xmlns:c16="http://schemas.microsoft.com/office/drawing/2014/chart" uri="{C3380CC4-5D6E-409C-BE32-E72D297353CC}">
              <c16:uniqueId val="{00000006-9923-4836-B326-849650E61026}"/>
            </c:ext>
          </c:extLst>
        </c:ser>
        <c:ser>
          <c:idx val="7"/>
          <c:order val="7"/>
          <c:tx>
            <c:v>1,4</c:v>
          </c:tx>
          <c:marker>
            <c:symbol val="none"/>
          </c:marker>
          <c:xVal>
            <c:numRef>
              <c:f>'Raw Data Time Penetration'!$W$60:$W$65</c:f>
              <c:numCache>
                <c:formatCode>General</c:formatCode>
                <c:ptCount val="6"/>
                <c:pt idx="0">
                  <c:v>0</c:v>
                </c:pt>
                <c:pt idx="1">
                  <c:v>0.04</c:v>
                </c:pt>
                <c:pt idx="2">
                  <c:v>0.08</c:v>
                </c:pt>
                <c:pt idx="3">
                  <c:v>0.12</c:v>
                </c:pt>
                <c:pt idx="4">
                  <c:v>0.16</c:v>
                </c:pt>
                <c:pt idx="5">
                  <c:v>0.2</c:v>
                </c:pt>
              </c:numCache>
            </c:numRef>
          </c:xVal>
          <c:yVal>
            <c:numRef>
              <c:f>'Raw Data Time Penetration'!$AN$60:$AN$65</c:f>
              <c:numCache>
                <c:formatCode>General</c:formatCode>
                <c:ptCount val="6"/>
                <c:pt idx="0">
                  <c:v>0</c:v>
                </c:pt>
                <c:pt idx="1">
                  <c:v>0.67415730337078661</c:v>
                </c:pt>
                <c:pt idx="2">
                  <c:v>0.93023255813953487</c:v>
                </c:pt>
                <c:pt idx="3">
                  <c:v>1.0650887573964498</c:v>
                </c:pt>
                <c:pt idx="4">
                  <c:v>1.1483253588516746</c:v>
                </c:pt>
                <c:pt idx="5">
                  <c:v>1.2048192771084336</c:v>
                </c:pt>
              </c:numCache>
            </c:numRef>
          </c:yVal>
          <c:smooth val="1"/>
          <c:extLst>
            <c:ext xmlns:c16="http://schemas.microsoft.com/office/drawing/2014/chart" uri="{C3380CC4-5D6E-409C-BE32-E72D297353CC}">
              <c16:uniqueId val="{00000007-9923-4836-B326-849650E61026}"/>
            </c:ext>
          </c:extLst>
        </c:ser>
        <c:ser>
          <c:idx val="8"/>
          <c:order val="8"/>
          <c:tx>
            <c:v>1,3</c:v>
          </c:tx>
          <c:marker>
            <c:symbol val="none"/>
          </c:marker>
          <c:xVal>
            <c:numRef>
              <c:f>'Raw Data Time Penetration'!$W$66:$W$75</c:f>
              <c:numCache>
                <c:formatCode>General</c:formatCode>
                <c:ptCount val="10"/>
                <c:pt idx="0">
                  <c:v>0</c:v>
                </c:pt>
                <c:pt idx="1">
                  <c:v>0.04</c:v>
                </c:pt>
                <c:pt idx="2">
                  <c:v>0.08</c:v>
                </c:pt>
                <c:pt idx="3">
                  <c:v>0.12</c:v>
                </c:pt>
                <c:pt idx="4">
                  <c:v>0.16</c:v>
                </c:pt>
                <c:pt idx="5">
                  <c:v>0.2</c:v>
                </c:pt>
                <c:pt idx="6">
                  <c:v>0.24</c:v>
                </c:pt>
                <c:pt idx="7">
                  <c:v>0.28000000000000003</c:v>
                </c:pt>
                <c:pt idx="8">
                  <c:v>0.32</c:v>
                </c:pt>
                <c:pt idx="9">
                  <c:v>0.36</c:v>
                </c:pt>
              </c:numCache>
            </c:numRef>
          </c:xVal>
          <c:yVal>
            <c:numRef>
              <c:f>'Raw Data Time Penetration'!$AN$66:$AN$75</c:f>
              <c:numCache>
                <c:formatCode>General</c:formatCode>
                <c:ptCount val="10"/>
                <c:pt idx="0">
                  <c:v>0</c:v>
                </c:pt>
                <c:pt idx="1">
                  <c:v>1.0169491525423731</c:v>
                </c:pt>
                <c:pt idx="2">
                  <c:v>1.2121212121212122</c:v>
                </c:pt>
                <c:pt idx="3">
                  <c:v>1.2949640287769786</c:v>
                </c:pt>
                <c:pt idx="4">
                  <c:v>1.3407821229050281</c:v>
                </c:pt>
                <c:pt idx="5">
                  <c:v>1.3698630136986303</c:v>
                </c:pt>
                <c:pt idx="6">
                  <c:v>1.3899613899613898</c:v>
                </c:pt>
                <c:pt idx="7">
                  <c:v>1.4046822742474916</c:v>
                </c:pt>
                <c:pt idx="8">
                  <c:v>1.415929203539823</c:v>
                </c:pt>
                <c:pt idx="9">
                  <c:v>1.4248021108179418</c:v>
                </c:pt>
              </c:numCache>
            </c:numRef>
          </c:yVal>
          <c:smooth val="1"/>
          <c:extLst>
            <c:ext xmlns:c16="http://schemas.microsoft.com/office/drawing/2014/chart" uri="{C3380CC4-5D6E-409C-BE32-E72D297353CC}">
              <c16:uniqueId val="{00000008-9923-4836-B326-849650E61026}"/>
            </c:ext>
          </c:extLst>
        </c:ser>
        <c:ser>
          <c:idx val="9"/>
          <c:order val="9"/>
          <c:tx>
            <c:v>1,2</c:v>
          </c:tx>
          <c:marker>
            <c:symbol val="none"/>
          </c:marker>
          <c:xVal>
            <c:numRef>
              <c:f>'Raw Data Time Penetration'!$W$76:$W$80</c:f>
              <c:numCache>
                <c:formatCode>General</c:formatCode>
                <c:ptCount val="5"/>
                <c:pt idx="0">
                  <c:v>0</c:v>
                </c:pt>
                <c:pt idx="1">
                  <c:v>0.04</c:v>
                </c:pt>
                <c:pt idx="2">
                  <c:v>0.08</c:v>
                </c:pt>
                <c:pt idx="3">
                  <c:v>0.12</c:v>
                </c:pt>
                <c:pt idx="4">
                  <c:v>0.16</c:v>
                </c:pt>
              </c:numCache>
            </c:numRef>
          </c:xVal>
          <c:yVal>
            <c:numRef>
              <c:f>'Raw Data Time Penetration'!$AN$76:$AN$80</c:f>
              <c:numCache>
                <c:formatCode>General</c:formatCode>
                <c:ptCount val="5"/>
                <c:pt idx="0">
                  <c:v>0</c:v>
                </c:pt>
                <c:pt idx="1">
                  <c:v>0.65934065934065944</c:v>
                </c:pt>
                <c:pt idx="2">
                  <c:v>0.91603053435114501</c:v>
                </c:pt>
                <c:pt idx="3">
                  <c:v>1.0526315789473686</c:v>
                </c:pt>
                <c:pt idx="4">
                  <c:v>1.1374407582938391</c:v>
                </c:pt>
              </c:numCache>
            </c:numRef>
          </c:yVal>
          <c:smooth val="1"/>
          <c:extLst>
            <c:ext xmlns:c16="http://schemas.microsoft.com/office/drawing/2014/chart" uri="{C3380CC4-5D6E-409C-BE32-E72D297353CC}">
              <c16:uniqueId val="{00000009-9923-4836-B326-849650E61026}"/>
            </c:ext>
          </c:extLst>
        </c:ser>
        <c:ser>
          <c:idx val="10"/>
          <c:order val="10"/>
          <c:tx>
            <c:v>1,1</c:v>
          </c:tx>
          <c:marker>
            <c:symbol val="none"/>
          </c:marker>
          <c:xVal>
            <c:numRef>
              <c:f>'Raw Data Time Penetration'!$W$81:$W$90</c:f>
              <c:numCache>
                <c:formatCode>General</c:formatCode>
                <c:ptCount val="10"/>
                <c:pt idx="0">
                  <c:v>0</c:v>
                </c:pt>
                <c:pt idx="1">
                  <c:v>0.04</c:v>
                </c:pt>
                <c:pt idx="2">
                  <c:v>0.08</c:v>
                </c:pt>
                <c:pt idx="3">
                  <c:v>0.12</c:v>
                </c:pt>
                <c:pt idx="4">
                  <c:v>0.16</c:v>
                </c:pt>
                <c:pt idx="5">
                  <c:v>0.2</c:v>
                </c:pt>
                <c:pt idx="6">
                  <c:v>0.24</c:v>
                </c:pt>
                <c:pt idx="7">
                  <c:v>0.28000000000000003</c:v>
                </c:pt>
                <c:pt idx="8">
                  <c:v>0.32</c:v>
                </c:pt>
                <c:pt idx="9">
                  <c:v>0.36</c:v>
                </c:pt>
              </c:numCache>
            </c:numRef>
          </c:xVal>
          <c:yVal>
            <c:numRef>
              <c:f>'Raw Data Time Penetration'!$AN$81:$AN$90</c:f>
              <c:numCache>
                <c:formatCode>General</c:formatCode>
                <c:ptCount val="10"/>
                <c:pt idx="0">
                  <c:v>0</c:v>
                </c:pt>
                <c:pt idx="1">
                  <c:v>0.92024539877300593</c:v>
                </c:pt>
                <c:pt idx="2">
                  <c:v>1.1406844106463878</c:v>
                </c:pt>
                <c:pt idx="3">
                  <c:v>1.2396694214876034</c:v>
                </c:pt>
                <c:pt idx="4">
                  <c:v>1.2958963282937366</c:v>
                </c:pt>
                <c:pt idx="5">
                  <c:v>1.3321492007104796</c:v>
                </c:pt>
                <c:pt idx="6">
                  <c:v>1.3574660633484164</c:v>
                </c:pt>
                <c:pt idx="7">
                  <c:v>1.3761467889908259</c:v>
                </c:pt>
                <c:pt idx="8">
                  <c:v>1.3904982618771728</c:v>
                </c:pt>
                <c:pt idx="9">
                  <c:v>1.4018691588785046</c:v>
                </c:pt>
              </c:numCache>
            </c:numRef>
          </c:yVal>
          <c:smooth val="1"/>
          <c:extLst>
            <c:ext xmlns:c16="http://schemas.microsoft.com/office/drawing/2014/chart" uri="{C3380CC4-5D6E-409C-BE32-E72D297353CC}">
              <c16:uniqueId val="{0000000A-9923-4836-B326-849650E61026}"/>
            </c:ext>
          </c:extLst>
        </c:ser>
        <c:dLbls>
          <c:showLegendKey val="0"/>
          <c:showVal val="0"/>
          <c:showCatName val="0"/>
          <c:showSerName val="0"/>
          <c:showPercent val="0"/>
          <c:showBubbleSize val="0"/>
        </c:dLbls>
        <c:axId val="507909464"/>
        <c:axId val="507909856"/>
      </c:scatterChart>
      <c:valAx>
        <c:axId val="507909464"/>
        <c:scaling>
          <c:orientation val="minMax"/>
        </c:scaling>
        <c:delete val="0"/>
        <c:axPos val="b"/>
        <c:title>
          <c:tx>
            <c:rich>
              <a:bodyPr/>
              <a:lstStyle/>
              <a:p>
                <a:pPr>
                  <a:defRPr/>
                </a:pPr>
                <a:r>
                  <a:rPr lang="es-US"/>
                  <a:t>Time (</a:t>
                </a:r>
                <a:r>
                  <a:rPr lang="es-US" baseline="0"/>
                  <a:t>second)</a:t>
                </a:r>
                <a:endParaRPr lang="es-US"/>
              </a:p>
            </c:rich>
          </c:tx>
          <c:overlay val="0"/>
        </c:title>
        <c:numFmt formatCode="General" sourceLinked="1"/>
        <c:majorTickMark val="out"/>
        <c:minorTickMark val="none"/>
        <c:tickLblPos val="nextTo"/>
        <c:crossAx val="507909856"/>
        <c:crosses val="autoZero"/>
        <c:crossBetween val="midCat"/>
        <c:majorUnit val="5.000000000000001E-2"/>
      </c:valAx>
      <c:valAx>
        <c:axId val="507909856"/>
        <c:scaling>
          <c:orientation val="minMax"/>
        </c:scaling>
        <c:delete val="0"/>
        <c:axPos val="l"/>
        <c:majorGridlines/>
        <c:title>
          <c:tx>
            <c:rich>
              <a:bodyPr rot="-5400000" vert="horz"/>
              <a:lstStyle/>
              <a:p>
                <a:pPr>
                  <a:defRPr/>
                </a:pPr>
                <a:r>
                  <a:rPr lang="es-US"/>
                  <a:t>volume Penetrated (uL)</a:t>
                </a:r>
              </a:p>
            </c:rich>
          </c:tx>
          <c:overlay val="0"/>
        </c:title>
        <c:numFmt formatCode="General" sourceLinked="1"/>
        <c:majorTickMark val="out"/>
        <c:minorTickMark val="none"/>
        <c:tickLblPos val="nextTo"/>
        <c:crossAx val="507909464"/>
        <c:crosses val="autoZero"/>
        <c:crossBetween val="midCat"/>
      </c:valAx>
    </c:plotArea>
    <c:legend>
      <c:legendPos val="r"/>
      <c:layout>
        <c:manualLayout>
          <c:xMode val="edge"/>
          <c:yMode val="edge"/>
          <c:x val="0.84830738661649807"/>
          <c:y val="5.4792043848382599E-2"/>
          <c:w val="0.10163300923165171"/>
          <c:h val="0.91281443528120088"/>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US"/>
              <a:t>Formamide </a:t>
            </a:r>
            <a:r>
              <a:rPr lang="es-US" baseline="0"/>
              <a:t>on Nanogard</a:t>
            </a:r>
            <a:endParaRPr lang="es-US"/>
          </a:p>
        </c:rich>
      </c:tx>
      <c:overlay val="0"/>
    </c:title>
    <c:autoTitleDeleted val="0"/>
    <c:plotArea>
      <c:layout/>
      <c:scatterChart>
        <c:scatterStyle val="smoothMarker"/>
        <c:varyColors val="0"/>
        <c:ser>
          <c:idx val="0"/>
          <c:order val="0"/>
          <c:tx>
            <c:v>1,2</c:v>
          </c:tx>
          <c:marker>
            <c:symbol val="none"/>
          </c:marker>
          <c:xVal>
            <c:numRef>
              <c:f>'Raw Data Time Penetration'!$W$10033:$W$10048</c:f>
              <c:numCache>
                <c:formatCode>General</c:formatCode>
                <c:ptCount val="16"/>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numCache>
            </c:numRef>
          </c:xVal>
          <c:yVal>
            <c:numRef>
              <c:f>'Raw Data Time Penetration'!$AN$10033:$AN$10048</c:f>
              <c:numCache>
                <c:formatCode>General</c:formatCode>
                <c:ptCount val="16"/>
                <c:pt idx="0">
                  <c:v>0</c:v>
                </c:pt>
                <c:pt idx="1">
                  <c:v>2.5</c:v>
                </c:pt>
                <c:pt idx="2">
                  <c:v>3.3333333333333339</c:v>
                </c:pt>
                <c:pt idx="3">
                  <c:v>3.75</c:v>
                </c:pt>
                <c:pt idx="4">
                  <c:v>3.9999999999999996</c:v>
                </c:pt>
                <c:pt idx="5">
                  <c:v>4.1666666666666661</c:v>
                </c:pt>
                <c:pt idx="6">
                  <c:v>4.2857142857142865</c:v>
                </c:pt>
                <c:pt idx="7">
                  <c:v>4.3750000000000009</c:v>
                </c:pt>
                <c:pt idx="8">
                  <c:v>4.4444444444444446</c:v>
                </c:pt>
                <c:pt idx="9">
                  <c:v>4.5</c:v>
                </c:pt>
                <c:pt idx="10">
                  <c:v>4.5454545454545459</c:v>
                </c:pt>
                <c:pt idx="11">
                  <c:v>4.5833333333333339</c:v>
                </c:pt>
                <c:pt idx="12">
                  <c:v>4.615384615384615</c:v>
                </c:pt>
                <c:pt idx="13">
                  <c:v>4.6428571428571423</c:v>
                </c:pt>
                <c:pt idx="14">
                  <c:v>4.6666666666666661</c:v>
                </c:pt>
                <c:pt idx="15">
                  <c:v>4.6875</c:v>
                </c:pt>
              </c:numCache>
            </c:numRef>
          </c:yVal>
          <c:smooth val="1"/>
          <c:extLst>
            <c:ext xmlns:c16="http://schemas.microsoft.com/office/drawing/2014/chart" uri="{C3380CC4-5D6E-409C-BE32-E72D297353CC}">
              <c16:uniqueId val="{00000000-9609-4E6C-96A8-0D1ED3B9F4FF}"/>
            </c:ext>
          </c:extLst>
        </c:ser>
        <c:ser>
          <c:idx val="1"/>
          <c:order val="1"/>
          <c:tx>
            <c:v>3,2</c:v>
          </c:tx>
          <c:marker>
            <c:symbol val="none"/>
          </c:marker>
          <c:xVal>
            <c:numRef>
              <c:f>'Raw Data Time Penetration'!$W$10049:$W$10073</c:f>
              <c:numCache>
                <c:formatCode>General</c:formatCode>
                <c:ptCount val="25"/>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pt idx="24">
                  <c:v>0.96</c:v>
                </c:pt>
              </c:numCache>
            </c:numRef>
          </c:xVal>
          <c:yVal>
            <c:numRef>
              <c:f>'Raw Data Time Penetration'!$AN$10049:$AN$10073</c:f>
              <c:numCache>
                <c:formatCode>General</c:formatCode>
                <c:ptCount val="25"/>
                <c:pt idx="0">
                  <c:v>0</c:v>
                </c:pt>
                <c:pt idx="1">
                  <c:v>2.2222222222222223</c:v>
                </c:pt>
                <c:pt idx="2">
                  <c:v>3.0769230769230771</c:v>
                </c:pt>
                <c:pt idx="3">
                  <c:v>3.5294117647058827</c:v>
                </c:pt>
                <c:pt idx="4">
                  <c:v>3.8095238095238093</c:v>
                </c:pt>
                <c:pt idx="5">
                  <c:v>4</c:v>
                </c:pt>
                <c:pt idx="6">
                  <c:v>4.1379310344827589</c:v>
                </c:pt>
                <c:pt idx="7">
                  <c:v>4.2424242424242422</c:v>
                </c:pt>
                <c:pt idx="8">
                  <c:v>4.3243243243243246</c:v>
                </c:pt>
                <c:pt idx="9">
                  <c:v>4.3902439024390247</c:v>
                </c:pt>
                <c:pt idx="10">
                  <c:v>4.4444444444444446</c:v>
                </c:pt>
                <c:pt idx="11">
                  <c:v>4.4897959183673466</c:v>
                </c:pt>
                <c:pt idx="12">
                  <c:v>4.5283018867924527</c:v>
                </c:pt>
                <c:pt idx="13">
                  <c:v>4.5614035087719298</c:v>
                </c:pt>
                <c:pt idx="14">
                  <c:v>4.5901639344262293</c:v>
                </c:pt>
                <c:pt idx="15">
                  <c:v>4.615384615384615</c:v>
                </c:pt>
                <c:pt idx="16">
                  <c:v>4.6376811594202891</c:v>
                </c:pt>
                <c:pt idx="17">
                  <c:v>4.6575342465753424</c:v>
                </c:pt>
                <c:pt idx="18">
                  <c:v>4.6753246753246751</c:v>
                </c:pt>
                <c:pt idx="19">
                  <c:v>4.6913580246913575</c:v>
                </c:pt>
                <c:pt idx="20">
                  <c:v>4.7058823529411766</c:v>
                </c:pt>
                <c:pt idx="21">
                  <c:v>4.7191011235955056</c:v>
                </c:pt>
                <c:pt idx="22">
                  <c:v>4.7311827956989241</c:v>
                </c:pt>
                <c:pt idx="23">
                  <c:v>4.7422680412371134</c:v>
                </c:pt>
                <c:pt idx="24">
                  <c:v>4.7524752475247523</c:v>
                </c:pt>
              </c:numCache>
            </c:numRef>
          </c:yVal>
          <c:smooth val="1"/>
          <c:extLst>
            <c:ext xmlns:c16="http://schemas.microsoft.com/office/drawing/2014/chart" uri="{C3380CC4-5D6E-409C-BE32-E72D297353CC}">
              <c16:uniqueId val="{00000001-9609-4E6C-96A8-0D1ED3B9F4FF}"/>
            </c:ext>
          </c:extLst>
        </c:ser>
        <c:ser>
          <c:idx val="2"/>
          <c:order val="2"/>
          <c:tx>
            <c:v>2,1</c:v>
          </c:tx>
          <c:marker>
            <c:symbol val="none"/>
          </c:marker>
          <c:xVal>
            <c:numRef>
              <c:f>'Raw Data Time Penetration'!$W$10074:$W$10114</c:f>
              <c:numCache>
                <c:formatCode>General</c:formatCode>
                <c:ptCount val="41"/>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pt idx="24">
                  <c:v>0.96</c:v>
                </c:pt>
                <c:pt idx="25">
                  <c:v>1</c:v>
                </c:pt>
                <c:pt idx="26">
                  <c:v>1.04</c:v>
                </c:pt>
                <c:pt idx="27">
                  <c:v>1.08</c:v>
                </c:pt>
                <c:pt idx="28">
                  <c:v>1.1200000000000001</c:v>
                </c:pt>
                <c:pt idx="29">
                  <c:v>1.1599999999999999</c:v>
                </c:pt>
                <c:pt idx="30">
                  <c:v>1.2</c:v>
                </c:pt>
                <c:pt idx="31">
                  <c:v>1.24</c:v>
                </c:pt>
                <c:pt idx="32">
                  <c:v>1.28</c:v>
                </c:pt>
                <c:pt idx="33">
                  <c:v>1.32</c:v>
                </c:pt>
                <c:pt idx="34">
                  <c:v>1.36</c:v>
                </c:pt>
                <c:pt idx="35">
                  <c:v>1.4</c:v>
                </c:pt>
                <c:pt idx="36">
                  <c:v>1.44</c:v>
                </c:pt>
                <c:pt idx="37">
                  <c:v>1.48</c:v>
                </c:pt>
                <c:pt idx="38">
                  <c:v>1.52</c:v>
                </c:pt>
                <c:pt idx="39">
                  <c:v>1.56</c:v>
                </c:pt>
                <c:pt idx="40">
                  <c:v>1.6</c:v>
                </c:pt>
              </c:numCache>
            </c:numRef>
          </c:xVal>
          <c:yVal>
            <c:numRef>
              <c:f>'Raw Data Time Penetration'!$AN$10074:$AN$10114</c:f>
              <c:numCache>
                <c:formatCode>General</c:formatCode>
                <c:ptCount val="41"/>
                <c:pt idx="0">
                  <c:v>0</c:v>
                </c:pt>
                <c:pt idx="1">
                  <c:v>3.3333333333333339</c:v>
                </c:pt>
                <c:pt idx="2">
                  <c:v>3.9999999999999996</c:v>
                </c:pt>
                <c:pt idx="3">
                  <c:v>4.2857142857142865</c:v>
                </c:pt>
                <c:pt idx="4">
                  <c:v>4.4444444444444446</c:v>
                </c:pt>
                <c:pt idx="5">
                  <c:v>4.5454545454545459</c:v>
                </c:pt>
                <c:pt idx="6">
                  <c:v>4.615384615384615</c:v>
                </c:pt>
                <c:pt idx="7">
                  <c:v>4.6666666666666661</c:v>
                </c:pt>
                <c:pt idx="8">
                  <c:v>4.7058823529411766</c:v>
                </c:pt>
                <c:pt idx="9">
                  <c:v>4.7368421052631575</c:v>
                </c:pt>
                <c:pt idx="10">
                  <c:v>4.7619047619047619</c:v>
                </c:pt>
                <c:pt idx="11">
                  <c:v>4.7826086956521738</c:v>
                </c:pt>
                <c:pt idx="12">
                  <c:v>4.8</c:v>
                </c:pt>
                <c:pt idx="13">
                  <c:v>4.8148148148148149</c:v>
                </c:pt>
                <c:pt idx="14">
                  <c:v>4.8275862068965516</c:v>
                </c:pt>
                <c:pt idx="15">
                  <c:v>4.8387096774193541</c:v>
                </c:pt>
                <c:pt idx="16">
                  <c:v>4.8484848484848486</c:v>
                </c:pt>
                <c:pt idx="17">
                  <c:v>4.8571428571428568</c:v>
                </c:pt>
                <c:pt idx="18">
                  <c:v>4.8648648648648649</c:v>
                </c:pt>
                <c:pt idx="19">
                  <c:v>4.8717948717948714</c:v>
                </c:pt>
                <c:pt idx="20">
                  <c:v>4.8780487804878048</c:v>
                </c:pt>
                <c:pt idx="21">
                  <c:v>4.8837209302325579</c:v>
                </c:pt>
                <c:pt idx="22">
                  <c:v>4.8888888888888884</c:v>
                </c:pt>
                <c:pt idx="23">
                  <c:v>4.8936170212765955</c:v>
                </c:pt>
                <c:pt idx="24">
                  <c:v>4.8979591836734695</c:v>
                </c:pt>
                <c:pt idx="25">
                  <c:v>4.901960784313725</c:v>
                </c:pt>
                <c:pt idx="26">
                  <c:v>4.9056603773584904</c:v>
                </c:pt>
                <c:pt idx="27">
                  <c:v>4.9090909090909092</c:v>
                </c:pt>
                <c:pt idx="28">
                  <c:v>4.9122807017543852</c:v>
                </c:pt>
                <c:pt idx="29">
                  <c:v>4.9152542372881349</c:v>
                </c:pt>
                <c:pt idx="30">
                  <c:v>4.918032786885246</c:v>
                </c:pt>
                <c:pt idx="31">
                  <c:v>4.92063492063492</c:v>
                </c:pt>
                <c:pt idx="32">
                  <c:v>4.9230769230769225</c:v>
                </c:pt>
                <c:pt idx="33">
                  <c:v>4.9253731343283578</c:v>
                </c:pt>
                <c:pt idx="34">
                  <c:v>4.9275362318840576</c:v>
                </c:pt>
                <c:pt idx="35">
                  <c:v>4.929577464788732</c:v>
                </c:pt>
                <c:pt idx="36">
                  <c:v>4.9315068493150687</c:v>
                </c:pt>
                <c:pt idx="37">
                  <c:v>4.9333333333333336</c:v>
                </c:pt>
                <c:pt idx="38">
                  <c:v>4.9350649350649354</c:v>
                </c:pt>
                <c:pt idx="39">
                  <c:v>4.9367088607594942</c:v>
                </c:pt>
                <c:pt idx="40">
                  <c:v>4.9382716049382713</c:v>
                </c:pt>
              </c:numCache>
            </c:numRef>
          </c:yVal>
          <c:smooth val="1"/>
          <c:extLst>
            <c:ext xmlns:c16="http://schemas.microsoft.com/office/drawing/2014/chart" uri="{C3380CC4-5D6E-409C-BE32-E72D297353CC}">
              <c16:uniqueId val="{00000002-9609-4E6C-96A8-0D1ED3B9F4FF}"/>
            </c:ext>
          </c:extLst>
        </c:ser>
        <c:ser>
          <c:idx val="3"/>
          <c:order val="3"/>
          <c:tx>
            <c:v>3,1</c:v>
          </c:tx>
          <c:marker>
            <c:symbol val="none"/>
          </c:marker>
          <c:xVal>
            <c:numRef>
              <c:f>'Raw Data Time Penetration'!$W$10115:$W$10123</c:f>
              <c:numCache>
                <c:formatCode>General</c:formatCode>
                <c:ptCount val="9"/>
                <c:pt idx="0">
                  <c:v>0</c:v>
                </c:pt>
                <c:pt idx="1">
                  <c:v>0.04</c:v>
                </c:pt>
                <c:pt idx="2">
                  <c:v>0.08</c:v>
                </c:pt>
                <c:pt idx="3">
                  <c:v>0.12</c:v>
                </c:pt>
                <c:pt idx="4">
                  <c:v>0.16</c:v>
                </c:pt>
                <c:pt idx="5">
                  <c:v>0.2</c:v>
                </c:pt>
                <c:pt idx="6">
                  <c:v>0.24</c:v>
                </c:pt>
                <c:pt idx="7">
                  <c:v>0.28000000000000003</c:v>
                </c:pt>
                <c:pt idx="8">
                  <c:v>0.32</c:v>
                </c:pt>
              </c:numCache>
            </c:numRef>
          </c:xVal>
          <c:yVal>
            <c:numRef>
              <c:f>'Raw Data Time Penetration'!$AN$10115:$AN$10123</c:f>
              <c:numCache>
                <c:formatCode>General</c:formatCode>
                <c:ptCount val="9"/>
                <c:pt idx="0">
                  <c:v>0</c:v>
                </c:pt>
                <c:pt idx="1">
                  <c:v>3.278688524590164</c:v>
                </c:pt>
                <c:pt idx="2">
                  <c:v>3.9603960396039599</c:v>
                </c:pt>
                <c:pt idx="3">
                  <c:v>4.2553191489361701</c:v>
                </c:pt>
                <c:pt idx="4">
                  <c:v>4.4198895027624312</c:v>
                </c:pt>
                <c:pt idx="5">
                  <c:v>4.5248868778280542</c:v>
                </c:pt>
                <c:pt idx="6">
                  <c:v>4.5977011494252871</c:v>
                </c:pt>
                <c:pt idx="7">
                  <c:v>4.6511627906976747</c:v>
                </c:pt>
                <c:pt idx="8">
                  <c:v>4.6920821114369495</c:v>
                </c:pt>
              </c:numCache>
            </c:numRef>
          </c:yVal>
          <c:smooth val="1"/>
          <c:extLst>
            <c:ext xmlns:c16="http://schemas.microsoft.com/office/drawing/2014/chart" uri="{C3380CC4-5D6E-409C-BE32-E72D297353CC}">
              <c16:uniqueId val="{00000003-9609-4E6C-96A8-0D1ED3B9F4FF}"/>
            </c:ext>
          </c:extLst>
        </c:ser>
        <c:ser>
          <c:idx val="4"/>
          <c:order val="4"/>
          <c:tx>
            <c:v>1,5</c:v>
          </c:tx>
          <c:marker>
            <c:symbol val="none"/>
          </c:marker>
          <c:xVal>
            <c:numRef>
              <c:f>'Raw Data Time Penetration'!$W$10124:$W$10139</c:f>
              <c:numCache>
                <c:formatCode>General</c:formatCode>
                <c:ptCount val="16"/>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numCache>
            </c:numRef>
          </c:xVal>
          <c:yVal>
            <c:numRef>
              <c:f>'Raw Data Time Penetration'!$AN$10124:$AN$10139</c:f>
              <c:numCache>
                <c:formatCode>General</c:formatCode>
                <c:ptCount val="16"/>
                <c:pt idx="0">
                  <c:v>0</c:v>
                </c:pt>
                <c:pt idx="1">
                  <c:v>3.0769230769230771</c:v>
                </c:pt>
                <c:pt idx="2">
                  <c:v>3.8095238095238093</c:v>
                </c:pt>
                <c:pt idx="3">
                  <c:v>4.1379310344827589</c:v>
                </c:pt>
                <c:pt idx="4">
                  <c:v>4.3243243243243246</c:v>
                </c:pt>
                <c:pt idx="5">
                  <c:v>4.4444444444444446</c:v>
                </c:pt>
                <c:pt idx="6">
                  <c:v>4.5283018867924527</c:v>
                </c:pt>
                <c:pt idx="7">
                  <c:v>4.5901639344262293</c:v>
                </c:pt>
                <c:pt idx="8">
                  <c:v>4.6376811594202891</c:v>
                </c:pt>
                <c:pt idx="9">
                  <c:v>4.6753246753246751</c:v>
                </c:pt>
                <c:pt idx="10">
                  <c:v>4.7058823529411766</c:v>
                </c:pt>
                <c:pt idx="11">
                  <c:v>4.7311827956989241</c:v>
                </c:pt>
                <c:pt idx="12">
                  <c:v>4.7524752475247523</c:v>
                </c:pt>
                <c:pt idx="13">
                  <c:v>4.7706422018348622</c:v>
                </c:pt>
                <c:pt idx="14">
                  <c:v>4.7863247863247862</c:v>
                </c:pt>
                <c:pt idx="15">
                  <c:v>4.8</c:v>
                </c:pt>
              </c:numCache>
            </c:numRef>
          </c:yVal>
          <c:smooth val="1"/>
          <c:extLst>
            <c:ext xmlns:c16="http://schemas.microsoft.com/office/drawing/2014/chart" uri="{C3380CC4-5D6E-409C-BE32-E72D297353CC}">
              <c16:uniqueId val="{00000004-9609-4E6C-96A8-0D1ED3B9F4FF}"/>
            </c:ext>
          </c:extLst>
        </c:ser>
        <c:ser>
          <c:idx val="5"/>
          <c:order val="5"/>
          <c:tx>
            <c:v>1,4</c:v>
          </c:tx>
          <c:marker>
            <c:symbol val="none"/>
          </c:marker>
          <c:xVal>
            <c:numRef>
              <c:f>'Raw Data Time Penetration'!$W$10140:$W$10158</c:f>
              <c:numCache>
                <c:formatCode>General</c:formatCode>
                <c:ptCount val="19"/>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numCache>
            </c:numRef>
          </c:xVal>
          <c:yVal>
            <c:numRef>
              <c:f>'Raw Data Time Penetration'!$AN$10140:$AN$10158</c:f>
              <c:numCache>
                <c:formatCode>General</c:formatCode>
                <c:ptCount val="19"/>
                <c:pt idx="0">
                  <c:v>0</c:v>
                </c:pt>
                <c:pt idx="1">
                  <c:v>2.5316455696202533</c:v>
                </c:pt>
                <c:pt idx="2">
                  <c:v>3.3613445378151265</c:v>
                </c:pt>
                <c:pt idx="3">
                  <c:v>3.773584905660377</c:v>
                </c:pt>
                <c:pt idx="4">
                  <c:v>4.0201005025125625</c:v>
                </c:pt>
                <c:pt idx="5">
                  <c:v>4.1841004184100417</c:v>
                </c:pt>
                <c:pt idx="6">
                  <c:v>4.301075268817204</c:v>
                </c:pt>
                <c:pt idx="7">
                  <c:v>4.3887147335423196</c:v>
                </c:pt>
                <c:pt idx="8">
                  <c:v>4.4568245125348191</c:v>
                </c:pt>
                <c:pt idx="9">
                  <c:v>4.511278195488722</c:v>
                </c:pt>
                <c:pt idx="10">
                  <c:v>4.5558086560364472</c:v>
                </c:pt>
                <c:pt idx="11">
                  <c:v>4.5929018789144056</c:v>
                </c:pt>
                <c:pt idx="12">
                  <c:v>4.6242774566473983</c:v>
                </c:pt>
                <c:pt idx="13">
                  <c:v>4.6511627906976747</c:v>
                </c:pt>
                <c:pt idx="14">
                  <c:v>4.674457429048414</c:v>
                </c:pt>
                <c:pt idx="15">
                  <c:v>4.6948356807511731</c:v>
                </c:pt>
                <c:pt idx="16">
                  <c:v>4.7128129602356408</c:v>
                </c:pt>
                <c:pt idx="17">
                  <c:v>4.7287899860917939</c:v>
                </c:pt>
                <c:pt idx="18">
                  <c:v>4.7430830039525693</c:v>
                </c:pt>
              </c:numCache>
            </c:numRef>
          </c:yVal>
          <c:smooth val="1"/>
          <c:extLst>
            <c:ext xmlns:c16="http://schemas.microsoft.com/office/drawing/2014/chart" uri="{C3380CC4-5D6E-409C-BE32-E72D297353CC}">
              <c16:uniqueId val="{00000005-9609-4E6C-96A8-0D1ED3B9F4FF}"/>
            </c:ext>
          </c:extLst>
        </c:ser>
        <c:ser>
          <c:idx val="6"/>
          <c:order val="6"/>
          <c:tx>
            <c:v>1,3</c:v>
          </c:tx>
          <c:marker>
            <c:symbol val="none"/>
          </c:marker>
          <c:xVal>
            <c:numRef>
              <c:f>'Raw Data Time Penetration'!$W$10159:$W$10178</c:f>
              <c:numCache>
                <c:formatCode>General</c:formatCode>
                <c:ptCount val="20"/>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numCache>
            </c:numRef>
          </c:xVal>
          <c:yVal>
            <c:numRef>
              <c:f>'Raw Data Time Penetration'!$AN$10159:$AN$10178</c:f>
              <c:numCache>
                <c:formatCode>General</c:formatCode>
                <c:ptCount val="20"/>
                <c:pt idx="0">
                  <c:v>0</c:v>
                </c:pt>
                <c:pt idx="1">
                  <c:v>2.4390243902439024</c:v>
                </c:pt>
                <c:pt idx="2">
                  <c:v>3.278688524590164</c:v>
                </c:pt>
                <c:pt idx="3">
                  <c:v>3.7037037037037033</c:v>
                </c:pt>
                <c:pt idx="4">
                  <c:v>3.9603960396039599</c:v>
                </c:pt>
                <c:pt idx="5">
                  <c:v>4.1322314049586781</c:v>
                </c:pt>
                <c:pt idx="6">
                  <c:v>4.2553191489361701</c:v>
                </c:pt>
                <c:pt idx="7">
                  <c:v>4.3478260869565224</c:v>
                </c:pt>
                <c:pt idx="8">
                  <c:v>4.4198895027624312</c:v>
                </c:pt>
                <c:pt idx="9">
                  <c:v>4.477611940298508</c:v>
                </c:pt>
                <c:pt idx="10">
                  <c:v>4.5248868778280542</c:v>
                </c:pt>
                <c:pt idx="11">
                  <c:v>4.5643153526970961</c:v>
                </c:pt>
                <c:pt idx="12">
                  <c:v>4.5977011494252871</c:v>
                </c:pt>
                <c:pt idx="13">
                  <c:v>4.6263345195729535</c:v>
                </c:pt>
                <c:pt idx="14">
                  <c:v>4.6511627906976747</c:v>
                </c:pt>
                <c:pt idx="15">
                  <c:v>4.6728971962616823</c:v>
                </c:pt>
                <c:pt idx="16">
                  <c:v>4.6920821114369495</c:v>
                </c:pt>
                <c:pt idx="17">
                  <c:v>4.7091412742382275</c:v>
                </c:pt>
                <c:pt idx="18">
                  <c:v>4.7244094488188972</c:v>
                </c:pt>
                <c:pt idx="19">
                  <c:v>4.7381546134663335</c:v>
                </c:pt>
              </c:numCache>
            </c:numRef>
          </c:yVal>
          <c:smooth val="1"/>
          <c:extLst>
            <c:ext xmlns:c16="http://schemas.microsoft.com/office/drawing/2014/chart" uri="{C3380CC4-5D6E-409C-BE32-E72D297353CC}">
              <c16:uniqueId val="{00000006-9609-4E6C-96A8-0D1ED3B9F4FF}"/>
            </c:ext>
          </c:extLst>
        </c:ser>
        <c:ser>
          <c:idx val="7"/>
          <c:order val="7"/>
          <c:tx>
            <c:v>1,1</c:v>
          </c:tx>
          <c:marker>
            <c:symbol val="none"/>
          </c:marker>
          <c:xVal>
            <c:numRef>
              <c:f>'Raw Data Time Penetration'!$W$10179:$W$10194</c:f>
              <c:numCache>
                <c:formatCode>General</c:formatCode>
                <c:ptCount val="16"/>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numCache>
            </c:numRef>
          </c:xVal>
          <c:yVal>
            <c:numRef>
              <c:f>'Raw Data Time Penetration'!$AN$10179:$AN$10194</c:f>
              <c:numCache>
                <c:formatCode>General</c:formatCode>
                <c:ptCount val="16"/>
                <c:pt idx="0">
                  <c:v>0</c:v>
                </c:pt>
                <c:pt idx="1">
                  <c:v>2.9850746268656714</c:v>
                </c:pt>
                <c:pt idx="2">
                  <c:v>3.7383177570093462</c:v>
                </c:pt>
                <c:pt idx="3">
                  <c:v>4.0816326530612246</c:v>
                </c:pt>
                <c:pt idx="4">
                  <c:v>4.2780748663101607</c:v>
                </c:pt>
                <c:pt idx="5">
                  <c:v>4.4052863436123353</c:v>
                </c:pt>
                <c:pt idx="6">
                  <c:v>4.4943820224719095</c:v>
                </c:pt>
                <c:pt idx="7">
                  <c:v>4.5602605863192185</c:v>
                </c:pt>
                <c:pt idx="8">
                  <c:v>4.6109510086455332</c:v>
                </c:pt>
                <c:pt idx="9">
                  <c:v>4.6511627906976747</c:v>
                </c:pt>
                <c:pt idx="10">
                  <c:v>4.6838407494145198</c:v>
                </c:pt>
                <c:pt idx="11">
                  <c:v>4.7109207708779435</c:v>
                </c:pt>
                <c:pt idx="12">
                  <c:v>4.7337278106508869</c:v>
                </c:pt>
                <c:pt idx="13">
                  <c:v>4.753199268738574</c:v>
                </c:pt>
                <c:pt idx="14">
                  <c:v>4.7700170357751279</c:v>
                </c:pt>
                <c:pt idx="15">
                  <c:v>4.7846889952153111</c:v>
                </c:pt>
              </c:numCache>
            </c:numRef>
          </c:yVal>
          <c:smooth val="1"/>
          <c:extLst>
            <c:ext xmlns:c16="http://schemas.microsoft.com/office/drawing/2014/chart" uri="{C3380CC4-5D6E-409C-BE32-E72D297353CC}">
              <c16:uniqueId val="{00000007-9609-4E6C-96A8-0D1ED3B9F4FF}"/>
            </c:ext>
          </c:extLst>
        </c:ser>
        <c:dLbls>
          <c:showLegendKey val="0"/>
          <c:showVal val="0"/>
          <c:showCatName val="0"/>
          <c:showSerName val="0"/>
          <c:showPercent val="0"/>
          <c:showBubbleSize val="0"/>
        </c:dLbls>
        <c:axId val="519529960"/>
        <c:axId val="519530352"/>
      </c:scatterChart>
      <c:valAx>
        <c:axId val="519529960"/>
        <c:scaling>
          <c:orientation val="minMax"/>
        </c:scaling>
        <c:delete val="0"/>
        <c:axPos val="b"/>
        <c:title>
          <c:tx>
            <c:rich>
              <a:bodyPr/>
              <a:lstStyle/>
              <a:p>
                <a:pPr>
                  <a:defRPr/>
                </a:pPr>
                <a:r>
                  <a:rPr lang="es-US"/>
                  <a:t>Time (seconds)</a:t>
                </a:r>
              </a:p>
            </c:rich>
          </c:tx>
          <c:overlay val="0"/>
        </c:title>
        <c:numFmt formatCode="General" sourceLinked="1"/>
        <c:majorTickMark val="out"/>
        <c:minorTickMark val="none"/>
        <c:tickLblPos val="nextTo"/>
        <c:crossAx val="519530352"/>
        <c:crosses val="autoZero"/>
        <c:crossBetween val="midCat"/>
      </c:valAx>
      <c:valAx>
        <c:axId val="519530352"/>
        <c:scaling>
          <c:orientation val="minMax"/>
        </c:scaling>
        <c:delete val="0"/>
        <c:axPos val="l"/>
        <c:majorGridlines/>
        <c:title>
          <c:tx>
            <c:rich>
              <a:bodyPr rot="-5400000" vert="horz"/>
              <a:lstStyle/>
              <a:p>
                <a:pPr>
                  <a:defRPr/>
                </a:pPr>
                <a:r>
                  <a:rPr lang="es-US"/>
                  <a:t>Volume Penetrated (uL)</a:t>
                </a:r>
              </a:p>
            </c:rich>
          </c:tx>
          <c:overlay val="0"/>
        </c:title>
        <c:numFmt formatCode="General" sourceLinked="1"/>
        <c:majorTickMark val="out"/>
        <c:minorTickMark val="none"/>
        <c:tickLblPos val="nextTo"/>
        <c:crossAx val="519529960"/>
        <c:crosses val="autoZero"/>
        <c:crossBetween val="midCat"/>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US"/>
              <a:t>Bromonaphthalene on Nanogard</a:t>
            </a:r>
          </a:p>
        </c:rich>
      </c:tx>
      <c:overlay val="0"/>
    </c:title>
    <c:autoTitleDeleted val="0"/>
    <c:plotArea>
      <c:layout/>
      <c:scatterChart>
        <c:scatterStyle val="smoothMarker"/>
        <c:varyColors val="0"/>
        <c:ser>
          <c:idx val="0"/>
          <c:order val="0"/>
          <c:tx>
            <c:v>4,2</c:v>
          </c:tx>
          <c:marker>
            <c:symbol val="none"/>
          </c:marker>
          <c:xVal>
            <c:numRef>
              <c:f>'Raw Data Time Penetration'!$W$21261:$W$21284</c:f>
              <c:numCache>
                <c:formatCode>General</c:formatCode>
                <c:ptCount val="24"/>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numCache>
            </c:numRef>
          </c:xVal>
          <c:yVal>
            <c:numRef>
              <c:f>'Raw Data Time Penetration'!$AN$21261:$AN$21284</c:f>
              <c:numCache>
                <c:formatCode>General</c:formatCode>
                <c:ptCount val="24"/>
                <c:pt idx="0">
                  <c:v>0</c:v>
                </c:pt>
                <c:pt idx="1">
                  <c:v>2.4137931034482758</c:v>
                </c:pt>
                <c:pt idx="2">
                  <c:v>2.8571428571428572</c:v>
                </c:pt>
                <c:pt idx="3">
                  <c:v>3.0434782608695654</c:v>
                </c:pt>
                <c:pt idx="4">
                  <c:v>3.1460674157303372</c:v>
                </c:pt>
                <c:pt idx="5">
                  <c:v>3.2110091743119269</c:v>
                </c:pt>
                <c:pt idx="6">
                  <c:v>3.2558139534883721</c:v>
                </c:pt>
                <c:pt idx="7">
                  <c:v>3.2885906040268456</c:v>
                </c:pt>
                <c:pt idx="8">
                  <c:v>3.3136094674556213</c:v>
                </c:pt>
                <c:pt idx="9">
                  <c:v>3.333333333333333</c:v>
                </c:pt>
                <c:pt idx="10">
                  <c:v>3.3492822966507179</c:v>
                </c:pt>
                <c:pt idx="11">
                  <c:v>3.3624454148471616</c:v>
                </c:pt>
                <c:pt idx="12">
                  <c:v>3.3734939759036147</c:v>
                </c:pt>
                <c:pt idx="13">
                  <c:v>3.3828996282527881</c:v>
                </c:pt>
                <c:pt idx="14">
                  <c:v>3.3910034602076125</c:v>
                </c:pt>
                <c:pt idx="15">
                  <c:v>3.3980582524271847</c:v>
                </c:pt>
                <c:pt idx="16">
                  <c:v>3.4042553191489362</c:v>
                </c:pt>
                <c:pt idx="17">
                  <c:v>3.4097421203438394</c:v>
                </c:pt>
                <c:pt idx="18">
                  <c:v>3.4146341463414633</c:v>
                </c:pt>
                <c:pt idx="19">
                  <c:v>3.4190231362467864</c:v>
                </c:pt>
                <c:pt idx="20">
                  <c:v>3.4229828850855744</c:v>
                </c:pt>
                <c:pt idx="21">
                  <c:v>3.4265734265734262</c:v>
                </c:pt>
                <c:pt idx="22">
                  <c:v>3.4298440979955456</c:v>
                </c:pt>
                <c:pt idx="23">
                  <c:v>3.4328358208955221</c:v>
                </c:pt>
              </c:numCache>
            </c:numRef>
          </c:yVal>
          <c:smooth val="1"/>
          <c:extLst>
            <c:ext xmlns:c16="http://schemas.microsoft.com/office/drawing/2014/chart" uri="{C3380CC4-5D6E-409C-BE32-E72D297353CC}">
              <c16:uniqueId val="{00000000-EB38-43D6-88D2-80267CF4B5C8}"/>
            </c:ext>
          </c:extLst>
        </c:ser>
        <c:ser>
          <c:idx val="1"/>
          <c:order val="1"/>
          <c:tx>
            <c:v>4,1</c:v>
          </c:tx>
          <c:marker>
            <c:symbol val="none"/>
          </c:marker>
          <c:xVal>
            <c:numRef>
              <c:f>'Raw Data Time Penetration'!$W$21285:$W$21297</c:f>
              <c:numCache>
                <c:formatCode>General</c:formatCode>
                <c:ptCount val="13"/>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numCache>
            </c:numRef>
          </c:xVal>
          <c:yVal>
            <c:numRef>
              <c:f>'Raw Data Time Penetration'!$AN$21285:$AN$21297</c:f>
              <c:numCache>
                <c:formatCode>General</c:formatCode>
                <c:ptCount val="13"/>
                <c:pt idx="0">
                  <c:v>0</c:v>
                </c:pt>
                <c:pt idx="1">
                  <c:v>2.1705426356589146</c:v>
                </c:pt>
                <c:pt idx="2">
                  <c:v>2.6794258373205739</c:v>
                </c:pt>
                <c:pt idx="3">
                  <c:v>2.9065743944636679</c:v>
                </c:pt>
                <c:pt idx="4">
                  <c:v>3.0352303523035231</c:v>
                </c:pt>
                <c:pt idx="5">
                  <c:v>3.1180400890868598</c:v>
                </c:pt>
                <c:pt idx="6">
                  <c:v>3.1758034026465025</c:v>
                </c:pt>
                <c:pt idx="7">
                  <c:v>3.2183908045977012</c:v>
                </c:pt>
                <c:pt idx="8">
                  <c:v>3.2510885341074016</c:v>
                </c:pt>
                <c:pt idx="9">
                  <c:v>3.2769830949284784</c:v>
                </c:pt>
                <c:pt idx="10">
                  <c:v>3.2979976442873968</c:v>
                </c:pt>
                <c:pt idx="11">
                  <c:v>3.3153928955866521</c:v>
                </c:pt>
                <c:pt idx="12">
                  <c:v>3.3300297324083252</c:v>
                </c:pt>
              </c:numCache>
            </c:numRef>
          </c:yVal>
          <c:smooth val="1"/>
          <c:extLst>
            <c:ext xmlns:c16="http://schemas.microsoft.com/office/drawing/2014/chart" uri="{C3380CC4-5D6E-409C-BE32-E72D297353CC}">
              <c16:uniqueId val="{00000001-EB38-43D6-88D2-80267CF4B5C8}"/>
            </c:ext>
          </c:extLst>
        </c:ser>
        <c:ser>
          <c:idx val="2"/>
          <c:order val="2"/>
          <c:tx>
            <c:v>3,2</c:v>
          </c:tx>
          <c:marker>
            <c:symbol val="none"/>
          </c:marker>
          <c:xVal>
            <c:numRef>
              <c:f>'Raw Data Time Penetration'!$W$21298:$W$21312</c:f>
              <c:numCache>
                <c:formatCode>General</c:formatCode>
                <c:ptCount val="15"/>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numCache>
            </c:numRef>
          </c:xVal>
          <c:yVal>
            <c:numRef>
              <c:f>'Raw Data Time Penetration'!$AN$21298:$AN$21312</c:f>
              <c:numCache>
                <c:formatCode>General</c:formatCode>
                <c:ptCount val="15"/>
                <c:pt idx="0">
                  <c:v>0</c:v>
                </c:pt>
                <c:pt idx="1">
                  <c:v>2.1212121212121211</c:v>
                </c:pt>
                <c:pt idx="2">
                  <c:v>2.6415094339622645</c:v>
                </c:pt>
                <c:pt idx="3">
                  <c:v>2.8767123287671237</c:v>
                </c:pt>
                <c:pt idx="4">
                  <c:v>3.010752688172043</c:v>
                </c:pt>
                <c:pt idx="5">
                  <c:v>3.0973451327433628</c:v>
                </c:pt>
                <c:pt idx="6">
                  <c:v>3.1578947368421053</c:v>
                </c:pt>
                <c:pt idx="7">
                  <c:v>3.202614379084967</c:v>
                </c:pt>
                <c:pt idx="8">
                  <c:v>3.2369942196531793</c:v>
                </c:pt>
                <c:pt idx="9">
                  <c:v>3.2642487046632125</c:v>
                </c:pt>
                <c:pt idx="10">
                  <c:v>3.2863849765258215</c:v>
                </c:pt>
                <c:pt idx="11">
                  <c:v>3.3047210300429182</c:v>
                </c:pt>
                <c:pt idx="12">
                  <c:v>3.3201581027667983</c:v>
                </c:pt>
                <c:pt idx="13">
                  <c:v>3.333333333333333</c:v>
                </c:pt>
                <c:pt idx="14">
                  <c:v>3.3447098976109215</c:v>
                </c:pt>
              </c:numCache>
            </c:numRef>
          </c:yVal>
          <c:smooth val="1"/>
          <c:extLst>
            <c:ext xmlns:c16="http://schemas.microsoft.com/office/drawing/2014/chart" uri="{C3380CC4-5D6E-409C-BE32-E72D297353CC}">
              <c16:uniqueId val="{00000002-EB38-43D6-88D2-80267CF4B5C8}"/>
            </c:ext>
          </c:extLst>
        </c:ser>
        <c:ser>
          <c:idx val="3"/>
          <c:order val="3"/>
          <c:tx>
            <c:v>3,1</c:v>
          </c:tx>
          <c:marker>
            <c:symbol val="none"/>
          </c:marker>
          <c:xVal>
            <c:numRef>
              <c:f>'Raw Data Time Penetration'!$W$21313:$W$21333</c:f>
              <c:numCache>
                <c:formatCode>General</c:formatCode>
                <c:ptCount val="21"/>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numCache>
            </c:numRef>
          </c:xVal>
          <c:yVal>
            <c:numRef>
              <c:f>'Raw Data Time Penetration'!$AN$21313:$AN$21333</c:f>
              <c:numCache>
                <c:formatCode>General</c:formatCode>
                <c:ptCount val="21"/>
                <c:pt idx="0">
                  <c:v>0</c:v>
                </c:pt>
                <c:pt idx="1">
                  <c:v>2.5</c:v>
                </c:pt>
                <c:pt idx="2">
                  <c:v>2.916666666666667</c:v>
                </c:pt>
                <c:pt idx="3">
                  <c:v>3.0882352941176467</c:v>
                </c:pt>
                <c:pt idx="4">
                  <c:v>3.1818181818181821</c:v>
                </c:pt>
                <c:pt idx="5">
                  <c:v>3.2407407407407405</c:v>
                </c:pt>
                <c:pt idx="6">
                  <c:v>3.28125</c:v>
                </c:pt>
                <c:pt idx="7">
                  <c:v>3.310810810810811</c:v>
                </c:pt>
                <c:pt idx="8">
                  <c:v>3.333333333333333</c:v>
                </c:pt>
                <c:pt idx="9">
                  <c:v>3.3510638297872339</c:v>
                </c:pt>
                <c:pt idx="10">
                  <c:v>3.365384615384615</c:v>
                </c:pt>
                <c:pt idx="11">
                  <c:v>3.3771929824561404</c:v>
                </c:pt>
                <c:pt idx="12">
                  <c:v>3.387096774193548</c:v>
                </c:pt>
                <c:pt idx="13">
                  <c:v>3.3955223880597014</c:v>
                </c:pt>
                <c:pt idx="14">
                  <c:v>3.4027777777777777</c:v>
                </c:pt>
                <c:pt idx="15">
                  <c:v>3.4090909090909092</c:v>
                </c:pt>
                <c:pt idx="16">
                  <c:v>3.4146341463414633</c:v>
                </c:pt>
                <c:pt idx="17">
                  <c:v>3.4195402298850577</c:v>
                </c:pt>
                <c:pt idx="18">
                  <c:v>3.4239130434782608</c:v>
                </c:pt>
                <c:pt idx="19">
                  <c:v>3.4278350515463916</c:v>
                </c:pt>
                <c:pt idx="20">
                  <c:v>3.4313725490196076</c:v>
                </c:pt>
              </c:numCache>
            </c:numRef>
          </c:yVal>
          <c:smooth val="1"/>
          <c:extLst>
            <c:ext xmlns:c16="http://schemas.microsoft.com/office/drawing/2014/chart" uri="{C3380CC4-5D6E-409C-BE32-E72D297353CC}">
              <c16:uniqueId val="{00000003-EB38-43D6-88D2-80267CF4B5C8}"/>
            </c:ext>
          </c:extLst>
        </c:ser>
        <c:ser>
          <c:idx val="4"/>
          <c:order val="4"/>
          <c:tx>
            <c:v>2,2</c:v>
          </c:tx>
          <c:marker>
            <c:symbol val="none"/>
          </c:marker>
          <c:xVal>
            <c:numRef>
              <c:f>'Raw Data Time Penetration'!$W$21334:$W$21358</c:f>
              <c:numCache>
                <c:formatCode>General</c:formatCode>
                <c:ptCount val="25"/>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pt idx="24">
                  <c:v>0.96</c:v>
                </c:pt>
              </c:numCache>
            </c:numRef>
          </c:xVal>
          <c:yVal>
            <c:numRef>
              <c:f>'Raw Data Time Penetration'!$AN$21334:$AN$21358</c:f>
              <c:numCache>
                <c:formatCode>General</c:formatCode>
                <c:ptCount val="25"/>
                <c:pt idx="0">
                  <c:v>0</c:v>
                </c:pt>
                <c:pt idx="1">
                  <c:v>2.157164869029276</c:v>
                </c:pt>
                <c:pt idx="2">
                  <c:v>2.6692087702573883</c:v>
                </c:pt>
                <c:pt idx="3">
                  <c:v>2.8985507246376807</c:v>
                </c:pt>
                <c:pt idx="4">
                  <c:v>3.0286641427798808</c:v>
                </c:pt>
                <c:pt idx="5">
                  <c:v>3.1124944419742109</c:v>
                </c:pt>
                <c:pt idx="6">
                  <c:v>3.1710079275198191</c:v>
                </c:pt>
                <c:pt idx="7">
                  <c:v>3.2141685798622501</c:v>
                </c:pt>
                <c:pt idx="8">
                  <c:v>3.2473180632067269</c:v>
                </c:pt>
                <c:pt idx="9">
                  <c:v>3.273577552611068</c:v>
                </c:pt>
                <c:pt idx="10">
                  <c:v>3.2948929159802312</c:v>
                </c:pt>
                <c:pt idx="11">
                  <c:v>3.3125403312540334</c:v>
                </c:pt>
                <c:pt idx="12">
                  <c:v>3.3273915626856803</c:v>
                </c:pt>
                <c:pt idx="13">
                  <c:v>3.3400623967700493</c:v>
                </c:pt>
                <c:pt idx="14">
                  <c:v>3.3510001709693964</c:v>
                </c:pt>
                <c:pt idx="15">
                  <c:v>3.3605376860297644</c:v>
                </c:pt>
                <c:pt idx="16">
                  <c:v>3.36892765829448</c:v>
                </c:pt>
                <c:pt idx="17">
                  <c:v>3.3763654419066533</c:v>
                </c:pt>
                <c:pt idx="18">
                  <c:v>3.3830044301248487</c:v>
                </c:pt>
                <c:pt idx="19">
                  <c:v>3.388966747356351</c:v>
                </c:pt>
                <c:pt idx="20">
                  <c:v>3.3943508304036851</c:v>
                </c:pt>
                <c:pt idx="21">
                  <c:v>3.3992369060006933</c:v>
                </c:pt>
                <c:pt idx="22">
                  <c:v>3.4036910155818321</c:v>
                </c:pt>
                <c:pt idx="23">
                  <c:v>3.407768017779659</c:v>
                </c:pt>
                <c:pt idx="24">
                  <c:v>3.4115138592750531</c:v>
                </c:pt>
              </c:numCache>
            </c:numRef>
          </c:yVal>
          <c:smooth val="1"/>
          <c:extLst>
            <c:ext xmlns:c16="http://schemas.microsoft.com/office/drawing/2014/chart" uri="{C3380CC4-5D6E-409C-BE32-E72D297353CC}">
              <c16:uniqueId val="{00000004-EB38-43D6-88D2-80267CF4B5C8}"/>
            </c:ext>
          </c:extLst>
        </c:ser>
        <c:ser>
          <c:idx val="5"/>
          <c:order val="5"/>
          <c:tx>
            <c:v>2,1</c:v>
          </c:tx>
          <c:marker>
            <c:symbol val="none"/>
          </c:marker>
          <c:xVal>
            <c:numRef>
              <c:f>'Raw Data Time Penetration'!$W$21359:$W$21372</c:f>
              <c:numCache>
                <c:formatCode>General</c:formatCode>
                <c:ptCount val="14"/>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numCache>
            </c:numRef>
          </c:xVal>
          <c:yVal>
            <c:numRef>
              <c:f>'Raw Data Time Penetration'!$AN$21359:$AN$21372</c:f>
              <c:numCache>
                <c:formatCode>General</c:formatCode>
                <c:ptCount val="14"/>
                <c:pt idx="0">
                  <c:v>0</c:v>
                </c:pt>
                <c:pt idx="1">
                  <c:v>2.074074074074074</c:v>
                </c:pt>
                <c:pt idx="2">
                  <c:v>2.6046511627906979</c:v>
                </c:pt>
                <c:pt idx="3">
                  <c:v>2.8474576271186445</c:v>
                </c:pt>
                <c:pt idx="4">
                  <c:v>2.9866666666666668</c:v>
                </c:pt>
                <c:pt idx="5">
                  <c:v>3.0769230769230766</c:v>
                </c:pt>
                <c:pt idx="6">
                  <c:v>3.1401869158878499</c:v>
                </c:pt>
                <c:pt idx="7">
                  <c:v>3.1869918699186992</c:v>
                </c:pt>
                <c:pt idx="8">
                  <c:v>3.2230215827338129</c:v>
                </c:pt>
                <c:pt idx="9">
                  <c:v>3.2516129032258063</c:v>
                </c:pt>
                <c:pt idx="10">
                  <c:v>3.2748538011695905</c:v>
                </c:pt>
                <c:pt idx="11">
                  <c:v>3.2941176470588234</c:v>
                </c:pt>
                <c:pt idx="12">
                  <c:v>3.3103448275862073</c:v>
                </c:pt>
                <c:pt idx="13">
                  <c:v>3.3242009132420094</c:v>
                </c:pt>
              </c:numCache>
            </c:numRef>
          </c:yVal>
          <c:smooth val="1"/>
          <c:extLst>
            <c:ext xmlns:c16="http://schemas.microsoft.com/office/drawing/2014/chart" uri="{C3380CC4-5D6E-409C-BE32-E72D297353CC}">
              <c16:uniqueId val="{00000005-EB38-43D6-88D2-80267CF4B5C8}"/>
            </c:ext>
          </c:extLst>
        </c:ser>
        <c:ser>
          <c:idx val="6"/>
          <c:order val="6"/>
          <c:tx>
            <c:v>1,2</c:v>
          </c:tx>
          <c:marker>
            <c:symbol val="none"/>
          </c:marker>
          <c:xVal>
            <c:numRef>
              <c:f>'Raw Data Time Penetration'!$W$21373:$W$21400</c:f>
              <c:numCache>
                <c:formatCode>General</c:formatCode>
                <c:ptCount val="28"/>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pt idx="24">
                  <c:v>0.96</c:v>
                </c:pt>
                <c:pt idx="25">
                  <c:v>1</c:v>
                </c:pt>
                <c:pt idx="26">
                  <c:v>1.04</c:v>
                </c:pt>
                <c:pt idx="27">
                  <c:v>1.08</c:v>
                </c:pt>
              </c:numCache>
            </c:numRef>
          </c:xVal>
          <c:yVal>
            <c:numRef>
              <c:f>'Raw Data Time Penetration'!$AN$21373:$AN$21400</c:f>
              <c:numCache>
                <c:formatCode>General</c:formatCode>
                <c:ptCount val="28"/>
                <c:pt idx="0">
                  <c:v>0</c:v>
                </c:pt>
                <c:pt idx="1">
                  <c:v>1.8181818181818183</c:v>
                </c:pt>
                <c:pt idx="2">
                  <c:v>2.3931623931623931</c:v>
                </c:pt>
                <c:pt idx="3">
                  <c:v>2.6751592356687897</c:v>
                </c:pt>
                <c:pt idx="4">
                  <c:v>2.8426395939086295</c:v>
                </c:pt>
                <c:pt idx="5">
                  <c:v>2.9535864978902953</c:v>
                </c:pt>
                <c:pt idx="6">
                  <c:v>3.0324909747292423</c:v>
                </c:pt>
                <c:pt idx="7">
                  <c:v>3.0914826498422716</c:v>
                </c:pt>
                <c:pt idx="8">
                  <c:v>3.1372549019607843</c:v>
                </c:pt>
                <c:pt idx="9">
                  <c:v>3.1738035264483631</c:v>
                </c:pt>
                <c:pt idx="10">
                  <c:v>3.2036613272311216</c:v>
                </c:pt>
                <c:pt idx="11">
                  <c:v>3.2285115303983232</c:v>
                </c:pt>
                <c:pt idx="12">
                  <c:v>3.2495164410058024</c:v>
                </c:pt>
                <c:pt idx="13">
                  <c:v>3.2675044883303408</c:v>
                </c:pt>
                <c:pt idx="14">
                  <c:v>3.283082077051926</c:v>
                </c:pt>
                <c:pt idx="15">
                  <c:v>3.2967032967032965</c:v>
                </c:pt>
                <c:pt idx="16">
                  <c:v>3.3087149187592315</c:v>
                </c:pt>
                <c:pt idx="17">
                  <c:v>3.3193863319386328</c:v>
                </c:pt>
                <c:pt idx="18">
                  <c:v>3.3289299867899604</c:v>
                </c:pt>
                <c:pt idx="19">
                  <c:v>3.3375156838143036</c:v>
                </c:pt>
                <c:pt idx="20">
                  <c:v>3.3452807646356035</c:v>
                </c:pt>
                <c:pt idx="21">
                  <c:v>3.3523375142531355</c:v>
                </c:pt>
                <c:pt idx="22">
                  <c:v>3.3587786259541983</c:v>
                </c:pt>
                <c:pt idx="23">
                  <c:v>3.3646812957157781</c:v>
                </c:pt>
                <c:pt idx="24">
                  <c:v>3.3701103309929787</c:v>
                </c:pt>
                <c:pt idx="25">
                  <c:v>3.3751205400192865</c:v>
                </c:pt>
                <c:pt idx="26">
                  <c:v>3.3797585886722379</c:v>
                </c:pt>
                <c:pt idx="27">
                  <c:v>3.3840644583706356</c:v>
                </c:pt>
              </c:numCache>
            </c:numRef>
          </c:yVal>
          <c:smooth val="1"/>
          <c:extLst>
            <c:ext xmlns:c16="http://schemas.microsoft.com/office/drawing/2014/chart" uri="{C3380CC4-5D6E-409C-BE32-E72D297353CC}">
              <c16:uniqueId val="{00000006-EB38-43D6-88D2-80267CF4B5C8}"/>
            </c:ext>
          </c:extLst>
        </c:ser>
        <c:ser>
          <c:idx val="7"/>
          <c:order val="7"/>
          <c:tx>
            <c:v>1,1</c:v>
          </c:tx>
          <c:marker>
            <c:symbol val="none"/>
          </c:marker>
          <c:xVal>
            <c:numRef>
              <c:f>'Raw Data Time Penetration'!$W$21401:$W$21437</c:f>
              <c:numCache>
                <c:formatCode>General</c:formatCode>
                <c:ptCount val="37"/>
                <c:pt idx="0">
                  <c:v>0</c:v>
                </c:pt>
                <c:pt idx="1">
                  <c:v>0.04</c:v>
                </c:pt>
                <c:pt idx="2">
                  <c:v>0.08</c:v>
                </c:pt>
                <c:pt idx="3">
                  <c:v>0.12</c:v>
                </c:pt>
                <c:pt idx="4">
                  <c:v>0.16</c:v>
                </c:pt>
                <c:pt idx="5">
                  <c:v>0.2</c:v>
                </c:pt>
                <c:pt idx="6">
                  <c:v>0.24</c:v>
                </c:pt>
                <c:pt idx="7">
                  <c:v>0.28000000000000003</c:v>
                </c:pt>
                <c:pt idx="8">
                  <c:v>0.32</c:v>
                </c:pt>
                <c:pt idx="9">
                  <c:v>0.36</c:v>
                </c:pt>
                <c:pt idx="10">
                  <c:v>0.4</c:v>
                </c:pt>
                <c:pt idx="11">
                  <c:v>0.44</c:v>
                </c:pt>
                <c:pt idx="12">
                  <c:v>0.48</c:v>
                </c:pt>
                <c:pt idx="13">
                  <c:v>0.52</c:v>
                </c:pt>
                <c:pt idx="14">
                  <c:v>0.56000000000000005</c:v>
                </c:pt>
                <c:pt idx="15">
                  <c:v>0.6</c:v>
                </c:pt>
                <c:pt idx="16">
                  <c:v>0.64</c:v>
                </c:pt>
                <c:pt idx="17">
                  <c:v>0.68</c:v>
                </c:pt>
                <c:pt idx="18">
                  <c:v>0.72</c:v>
                </c:pt>
                <c:pt idx="19">
                  <c:v>0.76</c:v>
                </c:pt>
                <c:pt idx="20">
                  <c:v>0.8</c:v>
                </c:pt>
                <c:pt idx="21">
                  <c:v>0.84</c:v>
                </c:pt>
                <c:pt idx="22">
                  <c:v>0.88</c:v>
                </c:pt>
                <c:pt idx="23">
                  <c:v>0.92</c:v>
                </c:pt>
                <c:pt idx="24">
                  <c:v>0.96</c:v>
                </c:pt>
                <c:pt idx="25">
                  <c:v>1</c:v>
                </c:pt>
                <c:pt idx="26">
                  <c:v>1.04</c:v>
                </c:pt>
                <c:pt idx="27">
                  <c:v>1.08</c:v>
                </c:pt>
                <c:pt idx="28">
                  <c:v>1.1200000000000001</c:v>
                </c:pt>
                <c:pt idx="29">
                  <c:v>1.1599999999999999</c:v>
                </c:pt>
                <c:pt idx="30">
                  <c:v>1.2</c:v>
                </c:pt>
                <c:pt idx="31">
                  <c:v>1.24</c:v>
                </c:pt>
                <c:pt idx="32">
                  <c:v>1.28</c:v>
                </c:pt>
                <c:pt idx="33">
                  <c:v>1.32</c:v>
                </c:pt>
                <c:pt idx="34">
                  <c:v>1.36</c:v>
                </c:pt>
                <c:pt idx="35">
                  <c:v>1.4</c:v>
                </c:pt>
                <c:pt idx="36">
                  <c:v>1.44</c:v>
                </c:pt>
              </c:numCache>
            </c:numRef>
          </c:xVal>
          <c:yVal>
            <c:numRef>
              <c:f>'Raw Data Time Penetration'!$AN$21401:$AN$21437</c:f>
              <c:numCache>
                <c:formatCode>General</c:formatCode>
                <c:ptCount val="37"/>
                <c:pt idx="0">
                  <c:v>0</c:v>
                </c:pt>
                <c:pt idx="1">
                  <c:v>2.3333333333333335</c:v>
                </c:pt>
                <c:pt idx="2">
                  <c:v>2.8</c:v>
                </c:pt>
                <c:pt idx="3">
                  <c:v>3</c:v>
                </c:pt>
                <c:pt idx="4">
                  <c:v>3.1111111111111112</c:v>
                </c:pt>
                <c:pt idx="5">
                  <c:v>3.1818181818181821</c:v>
                </c:pt>
                <c:pt idx="6">
                  <c:v>3.2307692307692304</c:v>
                </c:pt>
                <c:pt idx="7">
                  <c:v>3.2666666666666662</c:v>
                </c:pt>
                <c:pt idx="8">
                  <c:v>3.2941176470588234</c:v>
                </c:pt>
                <c:pt idx="9">
                  <c:v>3.3157894736842102</c:v>
                </c:pt>
                <c:pt idx="10">
                  <c:v>3.333333333333333</c:v>
                </c:pt>
                <c:pt idx="11">
                  <c:v>3.3478260869565215</c:v>
                </c:pt>
                <c:pt idx="12">
                  <c:v>3.36</c:v>
                </c:pt>
                <c:pt idx="13">
                  <c:v>3.3703703703703702</c:v>
                </c:pt>
                <c:pt idx="14">
                  <c:v>3.3793103448275859</c:v>
                </c:pt>
                <c:pt idx="15">
                  <c:v>3.387096774193548</c:v>
                </c:pt>
                <c:pt idx="16">
                  <c:v>3.393939393939394</c:v>
                </c:pt>
                <c:pt idx="17">
                  <c:v>3.4</c:v>
                </c:pt>
                <c:pt idx="18">
                  <c:v>3.4054054054054053</c:v>
                </c:pt>
                <c:pt idx="19">
                  <c:v>3.4102564102564101</c:v>
                </c:pt>
                <c:pt idx="20">
                  <c:v>3.4146341463414633</c:v>
                </c:pt>
                <c:pt idx="21">
                  <c:v>3.4186046511627906</c:v>
                </c:pt>
                <c:pt idx="22">
                  <c:v>3.4222222222222221</c:v>
                </c:pt>
                <c:pt idx="23">
                  <c:v>3.4255319148936167</c:v>
                </c:pt>
                <c:pt idx="24">
                  <c:v>3.4285714285714284</c:v>
                </c:pt>
                <c:pt idx="25">
                  <c:v>3.4313725490196076</c:v>
                </c:pt>
                <c:pt idx="26">
                  <c:v>3.4339622641509435</c:v>
                </c:pt>
                <c:pt idx="27">
                  <c:v>3.4363636363636365</c:v>
                </c:pt>
                <c:pt idx="28">
                  <c:v>3.4385964912280702</c:v>
                </c:pt>
                <c:pt idx="29">
                  <c:v>3.4406779661016946</c:v>
                </c:pt>
                <c:pt idx="30">
                  <c:v>3.442622950819672</c:v>
                </c:pt>
                <c:pt idx="31">
                  <c:v>3.4444444444444442</c:v>
                </c:pt>
                <c:pt idx="32">
                  <c:v>3.4461538461538459</c:v>
                </c:pt>
                <c:pt idx="33">
                  <c:v>3.4477611940298507</c:v>
                </c:pt>
                <c:pt idx="34">
                  <c:v>3.4492753623188404</c:v>
                </c:pt>
                <c:pt idx="35">
                  <c:v>3.450704225352113</c:v>
                </c:pt>
                <c:pt idx="36">
                  <c:v>3.4520547945205475</c:v>
                </c:pt>
              </c:numCache>
            </c:numRef>
          </c:yVal>
          <c:smooth val="1"/>
          <c:extLst>
            <c:ext xmlns:c16="http://schemas.microsoft.com/office/drawing/2014/chart" uri="{C3380CC4-5D6E-409C-BE32-E72D297353CC}">
              <c16:uniqueId val="{00000007-EB38-43D6-88D2-80267CF4B5C8}"/>
            </c:ext>
          </c:extLst>
        </c:ser>
        <c:dLbls>
          <c:showLegendKey val="0"/>
          <c:showVal val="0"/>
          <c:showCatName val="0"/>
          <c:showSerName val="0"/>
          <c:showPercent val="0"/>
          <c:showBubbleSize val="0"/>
        </c:dLbls>
        <c:axId val="436742728"/>
        <c:axId val="436743120"/>
      </c:scatterChart>
      <c:valAx>
        <c:axId val="436742728"/>
        <c:scaling>
          <c:orientation val="minMax"/>
          <c:max val="1.7000000000000002"/>
          <c:min val="0"/>
        </c:scaling>
        <c:delete val="0"/>
        <c:axPos val="b"/>
        <c:title>
          <c:tx>
            <c:rich>
              <a:bodyPr/>
              <a:lstStyle/>
              <a:p>
                <a:pPr>
                  <a:defRPr/>
                </a:pPr>
                <a:r>
                  <a:rPr lang="es-US"/>
                  <a:t>Time (</a:t>
                </a:r>
                <a:r>
                  <a:rPr lang="es-US" baseline="0"/>
                  <a:t>second)</a:t>
                </a:r>
                <a:endParaRPr lang="es-US"/>
              </a:p>
            </c:rich>
          </c:tx>
          <c:overlay val="0"/>
        </c:title>
        <c:numFmt formatCode="General" sourceLinked="1"/>
        <c:majorTickMark val="out"/>
        <c:minorTickMark val="none"/>
        <c:tickLblPos val="nextTo"/>
        <c:crossAx val="436743120"/>
        <c:crosses val="autoZero"/>
        <c:crossBetween val="midCat"/>
        <c:minorUnit val="1.0000000000000002E-2"/>
      </c:valAx>
      <c:valAx>
        <c:axId val="436743120"/>
        <c:scaling>
          <c:orientation val="minMax"/>
          <c:min val="0"/>
        </c:scaling>
        <c:delete val="0"/>
        <c:axPos val="l"/>
        <c:majorGridlines/>
        <c:title>
          <c:tx>
            <c:rich>
              <a:bodyPr rot="-5400000" vert="horz"/>
              <a:lstStyle/>
              <a:p>
                <a:pPr>
                  <a:defRPr/>
                </a:pPr>
                <a:r>
                  <a:rPr lang="es-US"/>
                  <a:t>Volume penetrated</a:t>
                </a:r>
                <a:r>
                  <a:rPr lang="es-US" baseline="0"/>
                  <a:t> (uL)</a:t>
                </a:r>
                <a:endParaRPr lang="es-US"/>
              </a:p>
            </c:rich>
          </c:tx>
          <c:overlay val="0"/>
        </c:title>
        <c:numFmt formatCode="General" sourceLinked="1"/>
        <c:majorTickMark val="out"/>
        <c:minorTickMark val="none"/>
        <c:tickLblPos val="nextTo"/>
        <c:crossAx val="436742728"/>
        <c:crosses val="autoZero"/>
        <c:crossBetween val="midCat"/>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0.76091</cdr:x>
      <cdr:y>0.29792</cdr:y>
    </cdr:from>
    <cdr:to>
      <cdr:x>0.77115</cdr:x>
      <cdr:y>0.31398</cdr:y>
    </cdr:to>
    <cdr:sp macro="" textlink="">
      <cdr:nvSpPr>
        <cdr:cNvPr id="3" name="Oval 2">
          <a:extLst xmlns:a="http://schemas.openxmlformats.org/drawingml/2006/main">
            <a:ext uri="{FF2B5EF4-FFF2-40B4-BE49-F238E27FC236}">
              <a16:creationId xmlns:a16="http://schemas.microsoft.com/office/drawing/2014/main" id="{293E0457-CE43-4904-AE23-FCF3F311734E}"/>
            </a:ext>
          </a:extLst>
        </cdr:cNvPr>
        <cdr:cNvSpPr/>
      </cdr:nvSpPr>
      <cdr:spPr>
        <a:xfrm xmlns:a="http://schemas.openxmlformats.org/drawingml/2006/main">
          <a:off x="3965907" y="1133372"/>
          <a:ext cx="53372" cy="61097"/>
        </a:xfrm>
        <a:prstGeom xmlns:a="http://schemas.openxmlformats.org/drawingml/2006/main" prst="ellipse">
          <a:avLst/>
        </a:prstGeom>
        <a:noFill xmlns:a="http://schemas.openxmlformats.org/drawingml/2006/main"/>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0.76312</cdr:x>
      <cdr:y>0.38825</cdr:y>
    </cdr:from>
    <cdr:to>
      <cdr:x>0.77335</cdr:x>
      <cdr:y>0.40564</cdr:y>
    </cdr:to>
    <cdr:sp macro="" textlink="">
      <cdr:nvSpPr>
        <cdr:cNvPr id="4" name="Rectangle 3">
          <a:extLst xmlns:a="http://schemas.openxmlformats.org/drawingml/2006/main">
            <a:ext uri="{FF2B5EF4-FFF2-40B4-BE49-F238E27FC236}">
              <a16:creationId xmlns:a16="http://schemas.microsoft.com/office/drawing/2014/main" id="{8560243F-B85F-4692-8DA5-45498882F0F4}"/>
            </a:ext>
          </a:extLst>
        </cdr:cNvPr>
        <cdr:cNvSpPr/>
      </cdr:nvSpPr>
      <cdr:spPr>
        <a:xfrm xmlns:a="http://schemas.openxmlformats.org/drawingml/2006/main">
          <a:off x="3977460" y="1476995"/>
          <a:ext cx="53320" cy="66194"/>
        </a:xfrm>
        <a:prstGeom xmlns:a="http://schemas.openxmlformats.org/drawingml/2006/main" prst="rect">
          <a:avLst/>
        </a:prstGeom>
        <a:noFill xmlns:a="http://schemas.openxmlformats.org/drawingml/2006/main"/>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0.74903</cdr:x>
      <cdr:y>0.21473</cdr:y>
    </cdr:from>
    <cdr:to>
      <cdr:x>1</cdr:x>
      <cdr:y>0.74485</cdr:y>
    </cdr:to>
    <cdr:sp macro="" textlink="">
      <cdr:nvSpPr>
        <cdr:cNvPr id="5" name="TextBox 4">
          <a:extLst xmlns:a="http://schemas.openxmlformats.org/drawingml/2006/main">
            <a:ext uri="{FF2B5EF4-FFF2-40B4-BE49-F238E27FC236}">
              <a16:creationId xmlns:a16="http://schemas.microsoft.com/office/drawing/2014/main" id="{B95C9273-5270-42D6-8F42-E48687782FDE}"/>
            </a:ext>
          </a:extLst>
        </cdr:cNvPr>
        <cdr:cNvSpPr txBox="1"/>
      </cdr:nvSpPr>
      <cdr:spPr>
        <a:xfrm xmlns:a="http://schemas.openxmlformats.org/drawingml/2006/main">
          <a:off x="3903980" y="816881"/>
          <a:ext cx="1308100" cy="20167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Zinc</a:t>
          </a:r>
          <a:r>
            <a:rPr lang="en-US" sz="1100" baseline="0"/>
            <a:t> Oxide</a:t>
          </a:r>
        </a:p>
        <a:p xmlns:a="http://schemas.openxmlformats.org/drawingml/2006/main">
          <a:r>
            <a:rPr lang="en-US" sz="1100" baseline="0"/>
            <a:t>   Titanium Dioxide    </a:t>
          </a:r>
        </a:p>
        <a:p xmlns:a="http://schemas.openxmlformats.org/drawingml/2006/main">
          <a:r>
            <a:rPr lang="en-US" sz="1100" baseline="0"/>
            <a:t>     (21nm)</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Titanium Dioxide </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(100nm)</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Diiodomethane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Formamide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Bromonapthalene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Water</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Ethylene Glycol</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Ethanol</a:t>
          </a:r>
          <a:endParaRPr lang="en-US">
            <a:effectLst/>
          </a:endParaRPr>
        </a:p>
        <a:p xmlns:a="http://schemas.openxmlformats.org/drawingml/2006/main">
          <a:endParaRPr lang="en-US" sz="1100"/>
        </a:p>
      </cdr:txBody>
    </cdr:sp>
  </cdr:relSizeAnchor>
  <cdr:relSizeAnchor xmlns:cdr="http://schemas.openxmlformats.org/drawingml/2006/chartDrawing">
    <cdr:from>
      <cdr:x>0.75323</cdr:x>
      <cdr:y>0.4688</cdr:y>
    </cdr:from>
    <cdr:to>
      <cdr:x>0.77778</cdr:x>
      <cdr:y>0.4688</cdr:y>
    </cdr:to>
    <cdr:cxnSp macro="">
      <cdr:nvCxnSpPr>
        <cdr:cNvPr id="24" name="Straight Connector 23">
          <a:extLst xmlns:a="http://schemas.openxmlformats.org/drawingml/2006/main">
            <a:ext uri="{FF2B5EF4-FFF2-40B4-BE49-F238E27FC236}">
              <a16:creationId xmlns:a16="http://schemas.microsoft.com/office/drawing/2014/main" id="{DC277EBC-75FC-4181-AB9E-9B3FC476B564}"/>
            </a:ext>
          </a:extLst>
        </cdr:cNvPr>
        <cdr:cNvCxnSpPr/>
      </cdr:nvCxnSpPr>
      <cdr:spPr>
        <a:xfrm xmlns:a="http://schemas.openxmlformats.org/drawingml/2006/main">
          <a:off x="3925878" y="1783433"/>
          <a:ext cx="127957" cy="0"/>
        </a:xfrm>
        <a:prstGeom xmlns:a="http://schemas.openxmlformats.org/drawingml/2006/main" prst="line">
          <a:avLst/>
        </a:prstGeom>
        <a:ln xmlns:a="http://schemas.openxmlformats.org/drawingml/2006/main">
          <a:solidFill>
            <a:schemeClr val="bg2">
              <a:lumMod val="90000"/>
            </a:schemeClr>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0.75278</cdr:x>
      <cdr:y>0.51542</cdr:y>
    </cdr:from>
    <cdr:to>
      <cdr:x>0.77733</cdr:x>
      <cdr:y>0.51542</cdr:y>
    </cdr:to>
    <cdr:cxnSp macro="">
      <cdr:nvCxnSpPr>
        <cdr:cNvPr id="26" name="Straight Connector 25">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3923541" y="1960792"/>
          <a:ext cx="127957" cy="0"/>
        </a:xfrm>
        <a:prstGeom xmlns:a="http://schemas.openxmlformats.org/drawingml/2006/main" prst="line">
          <a:avLst/>
        </a:prstGeom>
        <a:ln xmlns:a="http://schemas.openxmlformats.org/drawingml/2006/main">
          <a:solidFill>
            <a:srgbClr val="C0000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0.75236</cdr:x>
      <cdr:y>0.56079</cdr:y>
    </cdr:from>
    <cdr:to>
      <cdr:x>0.77691</cdr:x>
      <cdr:y>0.56079</cdr:y>
    </cdr:to>
    <cdr:cxnSp macro="">
      <cdr:nvCxnSpPr>
        <cdr:cNvPr id="27" name="Straight Connector 26">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3921344" y="2133421"/>
          <a:ext cx="127956" cy="0"/>
        </a:xfrm>
        <a:prstGeom xmlns:a="http://schemas.openxmlformats.org/drawingml/2006/main" prst="line">
          <a:avLst/>
        </a:prstGeom>
        <a:ln xmlns:a="http://schemas.openxmlformats.org/drawingml/2006/main">
          <a:solidFill>
            <a:srgbClr val="FFC00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0.75236</cdr:x>
      <cdr:y>0.60796</cdr:y>
    </cdr:from>
    <cdr:to>
      <cdr:x>0.77691</cdr:x>
      <cdr:y>0.60796</cdr:y>
    </cdr:to>
    <cdr:cxnSp macro="">
      <cdr:nvCxnSpPr>
        <cdr:cNvPr id="28" name="Straight Connector 27">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3921344" y="2312859"/>
          <a:ext cx="127956" cy="0"/>
        </a:xfrm>
        <a:prstGeom xmlns:a="http://schemas.openxmlformats.org/drawingml/2006/main" prst="line">
          <a:avLst/>
        </a:prstGeom>
        <a:ln xmlns:a="http://schemas.openxmlformats.org/drawingml/2006/main">
          <a:solidFill>
            <a:srgbClr val="00B0F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0.75229</cdr:x>
      <cdr:y>0.6551</cdr:y>
    </cdr:from>
    <cdr:to>
      <cdr:x>0.77684</cdr:x>
      <cdr:y>0.6551</cdr:y>
    </cdr:to>
    <cdr:cxnSp macro="">
      <cdr:nvCxnSpPr>
        <cdr:cNvPr id="29" name="Straight Connector 28">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3920970" y="2492184"/>
          <a:ext cx="127957" cy="0"/>
        </a:xfrm>
        <a:prstGeom xmlns:a="http://schemas.openxmlformats.org/drawingml/2006/main" prst="line">
          <a:avLst/>
        </a:prstGeom>
        <a:ln xmlns:a="http://schemas.openxmlformats.org/drawingml/2006/main">
          <a:solidFill>
            <a:srgbClr val="00B05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0.75266</cdr:x>
      <cdr:y>0.6926</cdr:y>
    </cdr:from>
    <cdr:to>
      <cdr:x>0.77721</cdr:x>
      <cdr:y>0.6926</cdr:y>
    </cdr:to>
    <cdr:cxnSp macro="">
      <cdr:nvCxnSpPr>
        <cdr:cNvPr id="30" name="Straight Connector 29">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3922907" y="2634845"/>
          <a:ext cx="127957" cy="0"/>
        </a:xfrm>
        <a:prstGeom xmlns:a="http://schemas.openxmlformats.org/drawingml/2006/main" prst="line">
          <a:avLst/>
        </a:prstGeom>
        <a:ln xmlns:a="http://schemas.openxmlformats.org/drawingml/2006/main">
          <a:solidFill>
            <a:schemeClr val="tx1"/>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0.76045</cdr:x>
      <cdr:y>0.25149</cdr:y>
    </cdr:from>
    <cdr:to>
      <cdr:x>0.77273</cdr:x>
      <cdr:y>0.27296</cdr:y>
    </cdr:to>
    <cdr:sp macro="" textlink="">
      <cdr:nvSpPr>
        <cdr:cNvPr id="15" name="Isosceles Triangle 14">
          <a:extLst xmlns:a="http://schemas.openxmlformats.org/drawingml/2006/main">
            <a:ext uri="{FF2B5EF4-FFF2-40B4-BE49-F238E27FC236}">
              <a16:creationId xmlns:a16="http://schemas.microsoft.com/office/drawing/2014/main" id="{08384712-70C0-4D72-ADE2-117745E7134D}"/>
            </a:ext>
          </a:extLst>
        </cdr:cNvPr>
        <cdr:cNvSpPr/>
      </cdr:nvSpPr>
      <cdr:spPr>
        <a:xfrm xmlns:a="http://schemas.openxmlformats.org/drawingml/2006/main">
          <a:off x="3963518" y="956743"/>
          <a:ext cx="64004" cy="81678"/>
        </a:xfrm>
        <a:prstGeom xmlns:a="http://schemas.openxmlformats.org/drawingml/2006/main" prst="triangle">
          <a:avLst/>
        </a:prstGeom>
        <a:noFill xmlns:a="http://schemas.openxmlformats.org/drawingml/2006/main"/>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400"/>
        </a:p>
      </cdr:txBody>
    </cdr:sp>
  </cdr:relSizeAnchor>
</c:userShapes>
</file>

<file path=word/drawings/drawing2.xml><?xml version="1.0" encoding="utf-8"?>
<c:userShapes xmlns:c="http://schemas.openxmlformats.org/drawingml/2006/chart">
  <cdr:relSizeAnchor xmlns:cdr="http://schemas.openxmlformats.org/drawingml/2006/chartDrawing">
    <cdr:from>
      <cdr:x>0.76236</cdr:x>
      <cdr:y>0.2967</cdr:y>
    </cdr:from>
    <cdr:to>
      <cdr:x>0.7726</cdr:x>
      <cdr:y>0.31276</cdr:y>
    </cdr:to>
    <cdr:sp macro="" textlink="">
      <cdr:nvSpPr>
        <cdr:cNvPr id="3" name="Oval 2">
          <a:extLst xmlns:a="http://schemas.openxmlformats.org/drawingml/2006/main">
            <a:ext uri="{FF2B5EF4-FFF2-40B4-BE49-F238E27FC236}">
              <a16:creationId xmlns:a16="http://schemas.microsoft.com/office/drawing/2014/main" id="{293E0457-CE43-4904-AE23-FCF3F311734E}"/>
            </a:ext>
          </a:extLst>
        </cdr:cNvPr>
        <cdr:cNvSpPr/>
      </cdr:nvSpPr>
      <cdr:spPr>
        <a:xfrm xmlns:a="http://schemas.openxmlformats.org/drawingml/2006/main">
          <a:off x="4251368" y="1342556"/>
          <a:ext cx="57105" cy="72672"/>
        </a:xfrm>
        <a:prstGeom xmlns:a="http://schemas.openxmlformats.org/drawingml/2006/main" prst="ellipse">
          <a:avLst/>
        </a:prstGeom>
        <a:noFill xmlns:a="http://schemas.openxmlformats.org/drawingml/2006/main"/>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0.76205</cdr:x>
      <cdr:y>0.36968</cdr:y>
    </cdr:from>
    <cdr:to>
      <cdr:x>0.77228</cdr:x>
      <cdr:y>0.38708</cdr:y>
    </cdr:to>
    <cdr:sp macro="" textlink="">
      <cdr:nvSpPr>
        <cdr:cNvPr id="4" name="Rectangle 3">
          <a:extLst xmlns:a="http://schemas.openxmlformats.org/drawingml/2006/main">
            <a:ext uri="{FF2B5EF4-FFF2-40B4-BE49-F238E27FC236}">
              <a16:creationId xmlns:a16="http://schemas.microsoft.com/office/drawing/2014/main" id="{8560243F-B85F-4692-8DA5-45498882F0F4}"/>
            </a:ext>
          </a:extLst>
        </cdr:cNvPr>
        <cdr:cNvSpPr/>
      </cdr:nvSpPr>
      <cdr:spPr>
        <a:xfrm xmlns:a="http://schemas.openxmlformats.org/drawingml/2006/main">
          <a:off x="4249640" y="1672806"/>
          <a:ext cx="57048" cy="78735"/>
        </a:xfrm>
        <a:prstGeom xmlns:a="http://schemas.openxmlformats.org/drawingml/2006/main" prst="rect">
          <a:avLst/>
        </a:prstGeom>
        <a:noFill xmlns:a="http://schemas.openxmlformats.org/drawingml/2006/main"/>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0.75868</cdr:x>
      <cdr:y>0.2295</cdr:y>
    </cdr:from>
    <cdr:to>
      <cdr:x>1</cdr:x>
      <cdr:y>0.75962</cdr:y>
    </cdr:to>
    <cdr:sp macro="" textlink="">
      <cdr:nvSpPr>
        <cdr:cNvPr id="5" name="TextBox 4">
          <a:extLst xmlns:a="http://schemas.openxmlformats.org/drawingml/2006/main">
            <a:ext uri="{FF2B5EF4-FFF2-40B4-BE49-F238E27FC236}">
              <a16:creationId xmlns:a16="http://schemas.microsoft.com/office/drawing/2014/main" id="{B95C9273-5270-42D6-8F42-E48687782FDE}"/>
            </a:ext>
          </a:extLst>
        </cdr:cNvPr>
        <cdr:cNvSpPr txBox="1"/>
      </cdr:nvSpPr>
      <cdr:spPr>
        <a:xfrm xmlns:a="http://schemas.openxmlformats.org/drawingml/2006/main">
          <a:off x="4013086" y="1015758"/>
          <a:ext cx="1276464" cy="23462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Zinc</a:t>
          </a:r>
          <a:r>
            <a:rPr lang="en-US" sz="1100" baseline="0"/>
            <a:t> Oxide</a:t>
          </a:r>
        </a:p>
        <a:p xmlns:a="http://schemas.openxmlformats.org/drawingml/2006/main">
          <a:r>
            <a:rPr lang="en-US" sz="1100" baseline="0"/>
            <a:t>   Titanium Dioxide (21nm)</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Titanium Dioxide (100nm)</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Formamide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Bromonapthalene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Water</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Ethylene Glycol</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Ethanol</a:t>
          </a:r>
          <a:endParaRPr lang="en-US">
            <a:effectLst/>
          </a:endParaRPr>
        </a:p>
        <a:p xmlns:a="http://schemas.openxmlformats.org/drawingml/2006/main">
          <a:endParaRPr lang="en-US" sz="1100"/>
        </a:p>
      </cdr:txBody>
    </cdr:sp>
  </cdr:relSizeAnchor>
  <cdr:relSizeAnchor xmlns:cdr="http://schemas.openxmlformats.org/drawingml/2006/chartDrawing">
    <cdr:from>
      <cdr:x>0.75633</cdr:x>
      <cdr:y>0.45449</cdr:y>
    </cdr:from>
    <cdr:to>
      <cdr:x>0.78088</cdr:x>
      <cdr:y>0.45449</cdr:y>
    </cdr:to>
    <cdr:cxnSp macro="">
      <cdr:nvCxnSpPr>
        <cdr:cNvPr id="26" name="Straight Connector 25">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4509702" y="2219329"/>
          <a:ext cx="146384" cy="0"/>
        </a:xfrm>
        <a:prstGeom xmlns:a="http://schemas.openxmlformats.org/drawingml/2006/main" prst="line">
          <a:avLst/>
        </a:prstGeom>
        <a:ln xmlns:a="http://schemas.openxmlformats.org/drawingml/2006/main">
          <a:solidFill>
            <a:srgbClr val="C0000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0.75528</cdr:x>
      <cdr:y>0.48938</cdr:y>
    </cdr:from>
    <cdr:to>
      <cdr:x>0.78343</cdr:x>
      <cdr:y>0.48938</cdr:y>
    </cdr:to>
    <cdr:cxnSp macro="">
      <cdr:nvCxnSpPr>
        <cdr:cNvPr id="27" name="Straight Connector 26">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4503466" y="2389710"/>
          <a:ext cx="167867" cy="0"/>
        </a:xfrm>
        <a:prstGeom xmlns:a="http://schemas.openxmlformats.org/drawingml/2006/main" prst="line">
          <a:avLst/>
        </a:prstGeom>
        <a:ln xmlns:a="http://schemas.openxmlformats.org/drawingml/2006/main">
          <a:solidFill>
            <a:srgbClr val="FFC00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0.7564</cdr:x>
      <cdr:y>0.52546</cdr:y>
    </cdr:from>
    <cdr:to>
      <cdr:x>0.78095</cdr:x>
      <cdr:y>0.52546</cdr:y>
    </cdr:to>
    <cdr:cxnSp macro="">
      <cdr:nvCxnSpPr>
        <cdr:cNvPr id="28" name="Straight Connector 27">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4510133" y="2565918"/>
          <a:ext cx="146384" cy="0"/>
        </a:xfrm>
        <a:prstGeom xmlns:a="http://schemas.openxmlformats.org/drawingml/2006/main" prst="line">
          <a:avLst/>
        </a:prstGeom>
        <a:ln xmlns:a="http://schemas.openxmlformats.org/drawingml/2006/main">
          <a:solidFill>
            <a:srgbClr val="00B0F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0.75609</cdr:x>
      <cdr:y>0.56425</cdr:y>
    </cdr:from>
    <cdr:to>
      <cdr:x>0.78064</cdr:x>
      <cdr:y>0.56425</cdr:y>
    </cdr:to>
    <cdr:cxnSp macro="">
      <cdr:nvCxnSpPr>
        <cdr:cNvPr id="29" name="Straight Connector 28">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4216389" y="2553221"/>
          <a:ext cx="136905" cy="0"/>
        </a:xfrm>
        <a:prstGeom xmlns:a="http://schemas.openxmlformats.org/drawingml/2006/main" prst="line">
          <a:avLst/>
        </a:prstGeom>
        <a:ln xmlns:a="http://schemas.openxmlformats.org/drawingml/2006/main">
          <a:solidFill>
            <a:srgbClr val="00B05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0.75653</cdr:x>
      <cdr:y>0.60043</cdr:y>
    </cdr:from>
    <cdr:to>
      <cdr:x>0.78108</cdr:x>
      <cdr:y>0.60043</cdr:y>
    </cdr:to>
    <cdr:cxnSp macro="">
      <cdr:nvCxnSpPr>
        <cdr:cNvPr id="30" name="Straight Connector 29">
          <a:extLst xmlns:a="http://schemas.openxmlformats.org/drawingml/2006/main">
            <a:ext uri="{FF2B5EF4-FFF2-40B4-BE49-F238E27FC236}">
              <a16:creationId xmlns:a16="http://schemas.microsoft.com/office/drawing/2014/main" id="{6DC1FAC3-FE51-496E-A4F1-7154CFDED27A}"/>
            </a:ext>
          </a:extLst>
        </cdr:cNvPr>
        <cdr:cNvCxnSpPr/>
      </cdr:nvCxnSpPr>
      <cdr:spPr>
        <a:xfrm xmlns:a="http://schemas.openxmlformats.org/drawingml/2006/main">
          <a:off x="4218843" y="2716936"/>
          <a:ext cx="136904" cy="0"/>
        </a:xfrm>
        <a:prstGeom xmlns:a="http://schemas.openxmlformats.org/drawingml/2006/main" prst="line">
          <a:avLst/>
        </a:prstGeom>
        <a:ln xmlns:a="http://schemas.openxmlformats.org/drawingml/2006/main">
          <a:solidFill>
            <a:schemeClr val="tx1"/>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0.76131</cdr:x>
      <cdr:y>0.26052</cdr:y>
    </cdr:from>
    <cdr:to>
      <cdr:x>0.77276</cdr:x>
      <cdr:y>0.27926</cdr:y>
    </cdr:to>
    <cdr:sp macro="" textlink="">
      <cdr:nvSpPr>
        <cdr:cNvPr id="11" name="Isosceles Triangle 10">
          <a:extLst xmlns:a="http://schemas.openxmlformats.org/drawingml/2006/main">
            <a:ext uri="{FF2B5EF4-FFF2-40B4-BE49-F238E27FC236}">
              <a16:creationId xmlns:a16="http://schemas.microsoft.com/office/drawing/2014/main" id="{08384712-70C0-4D72-ADE2-117745E7134D}"/>
            </a:ext>
          </a:extLst>
        </cdr:cNvPr>
        <cdr:cNvSpPr/>
      </cdr:nvSpPr>
      <cdr:spPr>
        <a:xfrm xmlns:a="http://schemas.openxmlformats.org/drawingml/2006/main">
          <a:off x="4245513" y="1178872"/>
          <a:ext cx="63852" cy="84798"/>
        </a:xfrm>
        <a:prstGeom xmlns:a="http://schemas.openxmlformats.org/drawingml/2006/main" prst="triangle">
          <a:avLst/>
        </a:prstGeom>
        <a:noFill xmlns:a="http://schemas.openxmlformats.org/drawingml/2006/main"/>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400"/>
        </a:p>
      </cdr:txBody>
    </cdr:sp>
  </cdr:relSizeAnchor>
</c:userShapes>
</file>

<file path=word/drawings/drawing3.xml><?xml version="1.0" encoding="utf-8"?>
<c:userShapes xmlns:c="http://schemas.openxmlformats.org/drawingml/2006/chart">
  <cdr:relSizeAnchor xmlns:cdr="http://schemas.openxmlformats.org/drawingml/2006/chartDrawing">
    <cdr:from>
      <cdr:x>0.67573</cdr:x>
      <cdr:y>0.21038</cdr:y>
    </cdr:from>
    <cdr:to>
      <cdr:x>0.96468</cdr:x>
      <cdr:y>0.8871</cdr:y>
    </cdr:to>
    <cdr:sp macro="" textlink="">
      <cdr:nvSpPr>
        <cdr:cNvPr id="2" name="TextBox 1">
          <a:extLst xmlns:a="http://schemas.openxmlformats.org/drawingml/2006/main">
            <a:ext uri="{FF2B5EF4-FFF2-40B4-BE49-F238E27FC236}">
              <a16:creationId xmlns:a16="http://schemas.microsoft.com/office/drawing/2014/main" id="{EAA64317-562A-411E-BBDB-34ECF79766A1}"/>
            </a:ext>
          </a:extLst>
        </cdr:cNvPr>
        <cdr:cNvSpPr txBox="1"/>
      </cdr:nvSpPr>
      <cdr:spPr>
        <a:xfrm xmlns:a="http://schemas.openxmlformats.org/drawingml/2006/main">
          <a:off x="3522796" y="741425"/>
          <a:ext cx="1506404" cy="23849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 </a:t>
          </a:r>
          <a:endParaRPr lang="en-US" sz="1100" baseline="0">
            <a:effectLst/>
            <a:latin typeface="+mn-lt"/>
            <a:ea typeface="+mn-ea"/>
            <a:cs typeface="+mn-cs"/>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Diiodomethane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Formamide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Bromonapthalene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Water</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Ethylene Glycol</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   Ethanol</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Thin</a:t>
          </a:r>
          <a:r>
            <a:rPr lang="en-US" sz="1100" baseline="0">
              <a:effectLst/>
              <a:latin typeface="+mn-lt"/>
              <a:ea typeface="+mn-ea"/>
              <a:cs typeface="+mn-cs"/>
            </a:rPr>
            <a:t> Layer Wicking</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Static contact angle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Wilhelmy Plate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aseline="0">
              <a:effectLst/>
              <a:latin typeface="+mn-lt"/>
              <a:ea typeface="+mn-ea"/>
              <a:cs typeface="+mn-cs"/>
            </a:rPr>
            <a:t>Washburn</a:t>
          </a:r>
          <a:endParaRPr lang="en-US">
            <a:effectLst/>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en-US">
            <a:effectLst/>
          </a:endParaRPr>
        </a:p>
        <a:p xmlns:a="http://schemas.openxmlformats.org/drawingml/2006/main">
          <a:endParaRPr lang="en-US" sz="1100"/>
        </a:p>
      </cdr:txBody>
    </cdr:sp>
  </cdr:relSizeAnchor>
  <cdr:relSizeAnchor xmlns:cdr="http://schemas.openxmlformats.org/drawingml/2006/chartDrawing">
    <cdr:from>
      <cdr:x>0.6741</cdr:x>
      <cdr:y>0.5804</cdr:y>
    </cdr:from>
    <cdr:to>
      <cdr:x>0.68637</cdr:x>
      <cdr:y>0.60203</cdr:y>
    </cdr:to>
    <cdr:sp macro="" textlink="">
      <cdr:nvSpPr>
        <cdr:cNvPr id="3" name="Rectangle 2">
          <a:extLst xmlns:a="http://schemas.openxmlformats.org/drawingml/2006/main">
            <a:ext uri="{FF2B5EF4-FFF2-40B4-BE49-F238E27FC236}">
              <a16:creationId xmlns:a16="http://schemas.microsoft.com/office/drawing/2014/main" id="{ECB41015-C287-4DFA-BA32-7404A4E551ED}"/>
            </a:ext>
          </a:extLst>
        </cdr:cNvPr>
        <cdr:cNvSpPr/>
      </cdr:nvSpPr>
      <cdr:spPr>
        <a:xfrm xmlns:a="http://schemas.openxmlformats.org/drawingml/2006/main">
          <a:off x="3732645" y="2045474"/>
          <a:ext cx="67942" cy="76229"/>
        </a:xfrm>
        <a:prstGeom xmlns:a="http://schemas.openxmlformats.org/drawingml/2006/main" prst="rect">
          <a:avLst/>
        </a:prstGeom>
        <a:ln xmlns:a="http://schemas.openxmlformats.org/drawingml/2006/main">
          <a:solidFill>
            <a:sysClr val="windowText" lastClr="000000"/>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0.67339</cdr:x>
      <cdr:y>0.67079</cdr:y>
    </cdr:from>
    <cdr:to>
      <cdr:x>0.6884</cdr:x>
      <cdr:y>0.69637</cdr:y>
    </cdr:to>
    <cdr:sp macro="" textlink="">
      <cdr:nvSpPr>
        <cdr:cNvPr id="9" name="Isosceles Triangle 8">
          <a:extLst xmlns:a="http://schemas.openxmlformats.org/drawingml/2006/main">
            <a:ext uri="{FF2B5EF4-FFF2-40B4-BE49-F238E27FC236}">
              <a16:creationId xmlns:a16="http://schemas.microsoft.com/office/drawing/2014/main" id="{EBD23757-6A31-48FF-9C32-F28F15BE9F87}"/>
            </a:ext>
          </a:extLst>
        </cdr:cNvPr>
        <cdr:cNvSpPr/>
      </cdr:nvSpPr>
      <cdr:spPr>
        <a:xfrm xmlns:a="http://schemas.openxmlformats.org/drawingml/2006/main">
          <a:off x="3728668" y="2364044"/>
          <a:ext cx="83168" cy="90151"/>
        </a:xfrm>
        <a:prstGeom xmlns:a="http://schemas.openxmlformats.org/drawingml/2006/main" prst="triangle">
          <a:avLst/>
        </a:prstGeom>
        <a:solidFill xmlns:a="http://schemas.openxmlformats.org/drawingml/2006/main">
          <a:sysClr val="window" lastClr="FFFFFF"/>
        </a:solidFill>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0.97269</cdr:x>
      <cdr:y>1</cdr:y>
    </cdr:from>
    <cdr:to>
      <cdr:x>1</cdr:x>
      <cdr:y>1</cdr:y>
    </cdr:to>
    <cdr:cxnSp macro="">
      <cdr:nvCxnSpPr>
        <cdr:cNvPr id="14" name="Straight Connector 13">
          <a:extLst xmlns:a="http://schemas.openxmlformats.org/drawingml/2006/main">
            <a:ext uri="{FF2B5EF4-FFF2-40B4-BE49-F238E27FC236}">
              <a16:creationId xmlns:a16="http://schemas.microsoft.com/office/drawing/2014/main" id="{72FAE709-934F-44BA-B04B-EBD9FCFB3CE7}"/>
            </a:ext>
          </a:extLst>
        </cdr:cNvPr>
        <cdr:cNvCxnSpPr/>
      </cdr:nvCxnSpPr>
      <cdr:spPr>
        <a:xfrm xmlns:a="http://schemas.openxmlformats.org/drawingml/2006/main">
          <a:off x="26885899" y="6510338"/>
          <a:ext cx="158750" cy="0"/>
        </a:xfrm>
        <a:prstGeom xmlns:a="http://schemas.openxmlformats.org/drawingml/2006/main" prst="line">
          <a:avLst/>
        </a:prstGeom>
        <a:ln xmlns:a="http://schemas.openxmlformats.org/drawingml/2006/main">
          <a:solidFill>
            <a:schemeClr val="bg2">
              <a:lumMod val="90000"/>
            </a:schemeClr>
          </a:solidFill>
        </a:ln>
      </cdr:spPr>
      <cdr:style>
        <a:lnRef xmlns:a="http://schemas.openxmlformats.org/drawingml/2006/main" idx="2">
          <a:schemeClr val="accent4"/>
        </a:lnRef>
        <a:fillRef xmlns:a="http://schemas.openxmlformats.org/drawingml/2006/main" idx="0">
          <a:schemeClr val="accent4"/>
        </a:fillRef>
        <a:effectRef xmlns:a="http://schemas.openxmlformats.org/drawingml/2006/main" idx="1">
          <a:schemeClr val="accent4"/>
        </a:effectRef>
        <a:fontRef xmlns:a="http://schemas.openxmlformats.org/drawingml/2006/main" idx="minor">
          <a:schemeClr val="tx1"/>
        </a:fontRef>
      </cdr:style>
    </cdr:cxnSp>
  </cdr:relSizeAnchor>
  <cdr:relSizeAnchor xmlns:cdr="http://schemas.openxmlformats.org/drawingml/2006/chartDrawing">
    <cdr:from>
      <cdr:x>0.67831</cdr:x>
      <cdr:y>0.30152</cdr:y>
    </cdr:from>
    <cdr:to>
      <cdr:x>0.70534</cdr:x>
      <cdr:y>0.30152</cdr:y>
    </cdr:to>
    <cdr:cxnSp macro="">
      <cdr:nvCxnSpPr>
        <cdr:cNvPr id="15" name="Straight Connector 14"/>
        <cdr:cNvCxnSpPr/>
      </cdr:nvCxnSpPr>
      <cdr:spPr>
        <a:xfrm xmlns:a="http://schemas.openxmlformats.org/drawingml/2006/main">
          <a:off x="3755920" y="1062644"/>
          <a:ext cx="149670" cy="0"/>
        </a:xfrm>
        <a:prstGeom xmlns:a="http://schemas.openxmlformats.org/drawingml/2006/main" prst="line">
          <a:avLst/>
        </a:prstGeom>
        <a:ln xmlns:a="http://schemas.openxmlformats.org/drawingml/2006/main">
          <a:solidFill>
            <a:schemeClr val="bg2">
              <a:lumMod val="90000"/>
            </a:schemeClr>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0.6794</cdr:x>
      <cdr:y>0.3519</cdr:y>
    </cdr:from>
    <cdr:to>
      <cdr:x>0.70643</cdr:x>
      <cdr:y>0.3519</cdr:y>
    </cdr:to>
    <cdr:cxnSp macro="">
      <cdr:nvCxnSpPr>
        <cdr:cNvPr id="16" name="Straight Connector 15"/>
        <cdr:cNvCxnSpPr/>
      </cdr:nvCxnSpPr>
      <cdr:spPr>
        <a:xfrm xmlns:a="http://schemas.openxmlformats.org/drawingml/2006/main">
          <a:off x="3761975" y="1240193"/>
          <a:ext cx="149670" cy="0"/>
        </a:xfrm>
        <a:prstGeom xmlns:a="http://schemas.openxmlformats.org/drawingml/2006/main" prst="line">
          <a:avLst/>
        </a:prstGeom>
        <a:ln xmlns:a="http://schemas.openxmlformats.org/drawingml/2006/main">
          <a:solidFill>
            <a:srgbClr val="C0000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0.67667</cdr:x>
      <cdr:y>0.39977</cdr:y>
    </cdr:from>
    <cdr:to>
      <cdr:x>0.70371</cdr:x>
      <cdr:y>0.39977</cdr:y>
    </cdr:to>
    <cdr:cxnSp macro="">
      <cdr:nvCxnSpPr>
        <cdr:cNvPr id="17" name="Straight Connector 16"/>
        <cdr:cNvCxnSpPr/>
      </cdr:nvCxnSpPr>
      <cdr:spPr>
        <a:xfrm xmlns:a="http://schemas.openxmlformats.org/drawingml/2006/main">
          <a:off x="3746839" y="1408882"/>
          <a:ext cx="149726" cy="0"/>
        </a:xfrm>
        <a:prstGeom xmlns:a="http://schemas.openxmlformats.org/drawingml/2006/main" prst="line">
          <a:avLst/>
        </a:prstGeom>
        <a:ln xmlns:a="http://schemas.openxmlformats.org/drawingml/2006/main">
          <a:solidFill>
            <a:srgbClr val="FFC00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0.67815</cdr:x>
      <cdr:y>0.44501</cdr:y>
    </cdr:from>
    <cdr:to>
      <cdr:x>0.70518</cdr:x>
      <cdr:y>0.44501</cdr:y>
    </cdr:to>
    <cdr:cxnSp macro="">
      <cdr:nvCxnSpPr>
        <cdr:cNvPr id="18" name="Straight Connector 17"/>
        <cdr:cNvCxnSpPr/>
      </cdr:nvCxnSpPr>
      <cdr:spPr>
        <a:xfrm xmlns:a="http://schemas.openxmlformats.org/drawingml/2006/main">
          <a:off x="3755053" y="1568326"/>
          <a:ext cx="149671" cy="0"/>
        </a:xfrm>
        <a:prstGeom xmlns:a="http://schemas.openxmlformats.org/drawingml/2006/main" prst="line">
          <a:avLst/>
        </a:prstGeom>
        <a:ln xmlns:a="http://schemas.openxmlformats.org/drawingml/2006/main">
          <a:solidFill>
            <a:srgbClr val="00B0F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0.67659</cdr:x>
      <cdr:y>0.49239</cdr:y>
    </cdr:from>
    <cdr:to>
      <cdr:x>0.70362</cdr:x>
      <cdr:y>0.49239</cdr:y>
    </cdr:to>
    <cdr:cxnSp macro="">
      <cdr:nvCxnSpPr>
        <cdr:cNvPr id="19" name="Straight Connector 18"/>
        <cdr:cNvCxnSpPr/>
      </cdr:nvCxnSpPr>
      <cdr:spPr>
        <a:xfrm xmlns:a="http://schemas.openxmlformats.org/drawingml/2006/main">
          <a:off x="3746415" y="1735288"/>
          <a:ext cx="149671" cy="0"/>
        </a:xfrm>
        <a:prstGeom xmlns:a="http://schemas.openxmlformats.org/drawingml/2006/main" prst="line">
          <a:avLst/>
        </a:prstGeom>
        <a:ln xmlns:a="http://schemas.openxmlformats.org/drawingml/2006/main">
          <a:solidFill>
            <a:srgbClr val="00B05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0.67577</cdr:x>
      <cdr:y>0.54094</cdr:y>
    </cdr:from>
    <cdr:to>
      <cdr:x>0.7028</cdr:x>
      <cdr:y>0.54094</cdr:y>
    </cdr:to>
    <cdr:cxnSp macro="">
      <cdr:nvCxnSpPr>
        <cdr:cNvPr id="20" name="Straight Connector 19"/>
        <cdr:cNvCxnSpPr/>
      </cdr:nvCxnSpPr>
      <cdr:spPr>
        <a:xfrm xmlns:a="http://schemas.openxmlformats.org/drawingml/2006/main">
          <a:off x="3741855" y="1906410"/>
          <a:ext cx="149671" cy="0"/>
        </a:xfrm>
        <a:prstGeom xmlns:a="http://schemas.openxmlformats.org/drawingml/2006/main" prst="line">
          <a:avLst/>
        </a:prstGeom>
        <a:ln xmlns:a="http://schemas.openxmlformats.org/drawingml/2006/main">
          <a:solidFill>
            <a:schemeClr val="tx1"/>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0.67333</cdr:x>
      <cdr:y>0.62384</cdr:y>
    </cdr:from>
    <cdr:to>
      <cdr:x>0.68752</cdr:x>
      <cdr:y>0.64272</cdr:y>
    </cdr:to>
    <cdr:sp macro="" textlink="">
      <cdr:nvSpPr>
        <cdr:cNvPr id="4" name="Diamond 3"/>
        <cdr:cNvSpPr/>
      </cdr:nvSpPr>
      <cdr:spPr>
        <a:xfrm xmlns:a="http://schemas.openxmlformats.org/drawingml/2006/main">
          <a:off x="3728353" y="2198573"/>
          <a:ext cx="78573" cy="66538"/>
        </a:xfrm>
        <a:prstGeom xmlns:a="http://schemas.openxmlformats.org/drawingml/2006/main" prst="diamond">
          <a:avLst/>
        </a:prstGeom>
        <a:noFill xmlns:a="http://schemas.openxmlformats.org/drawingml/2006/main"/>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0.67157</cdr:x>
      <cdr:y>0.72588</cdr:y>
    </cdr:from>
    <cdr:to>
      <cdr:x>0.68284</cdr:x>
      <cdr:y>0.74307</cdr:y>
    </cdr:to>
    <cdr:sp macro="" textlink="">
      <cdr:nvSpPr>
        <cdr:cNvPr id="13" name="Oval 12"/>
        <cdr:cNvSpPr/>
      </cdr:nvSpPr>
      <cdr:spPr>
        <a:xfrm xmlns:a="http://schemas.openxmlformats.org/drawingml/2006/main">
          <a:off x="3718643" y="2558174"/>
          <a:ext cx="62405" cy="60581"/>
        </a:xfrm>
        <a:prstGeom xmlns:a="http://schemas.openxmlformats.org/drawingml/2006/main" prst="ellipse">
          <a:avLst/>
        </a:prstGeom>
        <a:noFill xmlns:a="http://schemas.openxmlformats.org/drawingml/2006/main"/>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F82029EC4E045AE0952F2FB3CC595" ma:contentTypeVersion="13" ma:contentTypeDescription="Create a new document." ma:contentTypeScope="" ma:versionID="43ef1ce7915a4d86ef3b5283b6158c4a">
  <xsd:schema xmlns:xsd="http://www.w3.org/2001/XMLSchema" xmlns:xs="http://www.w3.org/2001/XMLSchema" xmlns:p="http://schemas.microsoft.com/office/2006/metadata/properties" xmlns:ns3="d8cfba45-c251-4d34-b388-bbb00df12ae7" xmlns:ns4="3b5883ee-9053-4a6b-9d78-3757d13ec3c9" targetNamespace="http://schemas.microsoft.com/office/2006/metadata/properties" ma:root="true" ma:fieldsID="e1f8773d1eb170c8b45ed9d66545f3d5" ns3:_="" ns4:_="">
    <xsd:import namespace="d8cfba45-c251-4d34-b388-bbb00df12ae7"/>
    <xsd:import namespace="3b5883ee-9053-4a6b-9d78-3757d13ec3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fba45-c251-4d34-b388-bbb00df12a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5883ee-9053-4a6b-9d78-3757d13ec3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B547E-E566-F04E-9CF5-A94A14AE4BBC}">
  <ds:schemaRefs>
    <ds:schemaRef ds:uri="http://schemas.openxmlformats.org/officeDocument/2006/bibliography"/>
  </ds:schemaRefs>
</ds:datastoreItem>
</file>

<file path=customXml/itemProps2.xml><?xml version="1.0" encoding="utf-8"?>
<ds:datastoreItem xmlns:ds="http://schemas.openxmlformats.org/officeDocument/2006/customXml" ds:itemID="{CBA3776F-FDE0-42E4-8265-C41A62C788DB}">
  <ds:schemaRefs>
    <ds:schemaRef ds:uri="http://schemas.microsoft.com/sharepoint/v3/contenttype/forms"/>
  </ds:schemaRefs>
</ds:datastoreItem>
</file>

<file path=customXml/itemProps3.xml><?xml version="1.0" encoding="utf-8"?>
<ds:datastoreItem xmlns:ds="http://schemas.openxmlformats.org/officeDocument/2006/customXml" ds:itemID="{5D2685D4-F086-46C7-9295-389C15C89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cfba45-c251-4d34-b388-bbb00df12ae7"/>
    <ds:schemaRef ds:uri="3b5883ee-9053-4a6b-9d78-3757d13ec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57A2A9-2063-4EEE-8EE3-DB2D2CC88E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106</Pages>
  <Words>70329</Words>
  <Characters>400877</Characters>
  <Application>Microsoft Office Word</Application>
  <DocSecurity>0</DocSecurity>
  <Lines>3340</Lines>
  <Paragraphs>940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dc:creator>
  <cp:keywords/>
  <dc:description/>
  <cp:lastModifiedBy>Sabrina Garner</cp:lastModifiedBy>
  <cp:revision>33</cp:revision>
  <cp:lastPrinted>2020-07-30T17:34:00Z</cp:lastPrinted>
  <dcterms:created xsi:type="dcterms:W3CDTF">2020-07-30T03:21:00Z</dcterms:created>
  <dcterms:modified xsi:type="dcterms:W3CDTF">2020-07-30T17:36:00Z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04cd4d59-db21-3831-aaa1-229ae9917f75</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http://www.zotero.org/styles/nature-biotechnology</vt:lpwstr>
  </property>
  <property fmtid="{D5CDD505-2E9C-101B-9397-08002B2CF9AE}" pid="24" name="Mendeley Recent Style Name 9_1">
    <vt:lpwstr>Nature Biotechnology</vt:lpwstr>
  </property>
  <property fmtid="{D5CDD505-2E9C-101B-9397-08002B2CF9AE}" pid="25" name="ContentTypeId">
    <vt:lpwstr>0x0101000FFF82029EC4E045AE0952F2FB3CC595</vt:lpwstr>
  </property>
</Properties>
</file>