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Default Extension="png" ContentType="image/png"/>
  <Default Extension="jpeg" ContentType="image/jpeg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612" w:lineRule="auto" w:before="39"/>
        <w:ind w:left="3007" w:right="3510"/>
        <w:jc w:val="center"/>
      </w:pPr>
      <w:r>
        <w:rPr/>
        <w:t>UNIVERSITY</w:t>
      </w:r>
      <w:r>
        <w:rPr>
          <w:spacing w:val="-10"/>
        </w:rPr>
        <w:t> </w:t>
      </w:r>
      <w:r>
        <w:rPr/>
        <w:t>OF</w:t>
      </w:r>
      <w:r>
        <w:rPr>
          <w:spacing w:val="-10"/>
        </w:rPr>
        <w:t> </w:t>
      </w:r>
      <w:r>
        <w:rPr/>
        <w:t>OKLAHOMA</w:t>
      </w:r>
      <w:r>
        <w:rPr>
          <w:spacing w:val="-51"/>
        </w:rPr>
        <w:t> </w:t>
      </w:r>
      <w:r>
        <w:rPr/>
        <w:t>GRADUATE</w:t>
      </w:r>
      <w:r>
        <w:rPr>
          <w:spacing w:val="1"/>
        </w:rPr>
        <w:t> </w:t>
      </w:r>
      <w:r>
        <w:rPr/>
        <w:t>COLLEGE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rPr>
          <w:sz w:val="26"/>
        </w:rPr>
      </w:pPr>
    </w:p>
    <w:p>
      <w:pPr>
        <w:pStyle w:val="BodyText"/>
        <w:spacing w:line="480" w:lineRule="auto"/>
        <w:ind w:left="703" w:right="1215"/>
        <w:jc w:val="center"/>
      </w:pPr>
      <w:r>
        <w:rPr/>
        <w:t>APPLICATION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NOVEL</w:t>
      </w:r>
      <w:r>
        <w:rPr>
          <w:spacing w:val="-3"/>
        </w:rPr>
        <w:t> </w:t>
      </w:r>
      <w:r>
        <w:rPr/>
        <w:t>LCMS</w:t>
      </w:r>
      <w:r>
        <w:rPr>
          <w:spacing w:val="1"/>
        </w:rPr>
        <w:t> </w:t>
      </w:r>
      <w:r>
        <w:rPr/>
        <w:t>METHOD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ANALYZE</w:t>
      </w:r>
      <w:r>
        <w:rPr>
          <w:spacing w:val="-3"/>
        </w:rPr>
        <w:t> </w:t>
      </w:r>
      <w:r>
        <w:rPr/>
        <w:t>POLAR</w:t>
      </w:r>
      <w:r>
        <w:rPr>
          <w:spacing w:val="-3"/>
        </w:rPr>
        <w:t> </w:t>
      </w:r>
      <w:r>
        <w:rPr/>
        <w:t>BIOMARKERS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52"/>
        </w:rPr>
        <w:t> </w:t>
      </w:r>
      <w:r>
        <w:rPr/>
        <w:t>WOODFORD</w:t>
      </w:r>
      <w:r>
        <w:rPr>
          <w:spacing w:val="-2"/>
        </w:rPr>
        <w:t> </w:t>
      </w:r>
      <w:r>
        <w:rPr/>
        <w:t>SHALE,</w:t>
      </w:r>
      <w:r>
        <w:rPr>
          <w:spacing w:val="2"/>
        </w:rPr>
        <w:t> </w:t>
      </w:r>
      <w:r>
        <w:rPr/>
        <w:t>WYCHE</w:t>
      </w:r>
      <w:r>
        <w:rPr>
          <w:spacing w:val="-1"/>
        </w:rPr>
        <w:t> </w:t>
      </w:r>
      <w:r>
        <w:rPr/>
        <w:t>FARM</w:t>
      </w:r>
      <w:r>
        <w:rPr>
          <w:spacing w:val="-2"/>
        </w:rPr>
        <w:t> </w:t>
      </w:r>
      <w:r>
        <w:rPr/>
        <w:t>SHALE</w:t>
      </w:r>
      <w:r>
        <w:rPr>
          <w:spacing w:val="-1"/>
        </w:rPr>
        <w:t> </w:t>
      </w:r>
      <w:r>
        <w:rPr/>
        <w:t>PIT,</w:t>
      </w:r>
      <w:r>
        <w:rPr>
          <w:spacing w:val="-1"/>
        </w:rPr>
        <w:t> </w:t>
      </w:r>
      <w:r>
        <w:rPr/>
        <w:t>OKLAHOMA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88"/>
        <w:ind w:left="3008" w:right="3505"/>
        <w:jc w:val="center"/>
      </w:pPr>
      <w:r>
        <w:rPr/>
        <w:t>A</w:t>
      </w:r>
      <w:r>
        <w:rPr>
          <w:spacing w:val="-1"/>
        </w:rPr>
        <w:t> </w:t>
      </w:r>
      <w:r>
        <w:rPr/>
        <w:t>THESIS</w:t>
      </w:r>
    </w:p>
    <w:p>
      <w:pPr>
        <w:pStyle w:val="BodyText"/>
      </w:pPr>
    </w:p>
    <w:p>
      <w:pPr>
        <w:pStyle w:val="BodyText"/>
        <w:spacing w:before="161"/>
        <w:ind w:left="703" w:right="1205"/>
        <w:jc w:val="center"/>
      </w:pPr>
      <w:r>
        <w:rPr/>
        <w:t>SUBMITTED</w:t>
      </w:r>
      <w:r>
        <w:rPr>
          <w:spacing w:val="-1"/>
        </w:rPr>
        <w:t> </w:t>
      </w:r>
      <w:r>
        <w:rPr/>
        <w:t>TO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GRADUATE FACULTY</w:t>
      </w:r>
    </w:p>
    <w:p>
      <w:pPr>
        <w:pStyle w:val="BodyText"/>
      </w:pPr>
    </w:p>
    <w:p>
      <w:pPr>
        <w:pStyle w:val="BodyText"/>
        <w:spacing w:line="612" w:lineRule="auto" w:before="158"/>
        <w:ind w:left="2512" w:right="3017"/>
        <w:jc w:val="center"/>
      </w:pPr>
      <w:r>
        <w:rPr/>
        <w:t>In</w:t>
      </w:r>
      <w:r>
        <w:rPr>
          <w:spacing w:val="-3"/>
        </w:rPr>
        <w:t> </w:t>
      </w:r>
      <w:r>
        <w:rPr/>
        <w:t>partial</w:t>
      </w:r>
      <w:r>
        <w:rPr>
          <w:spacing w:val="-3"/>
        </w:rPr>
        <w:t> </w:t>
      </w:r>
      <w:r>
        <w:rPr/>
        <w:t>fulfillment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1"/>
        </w:rPr>
        <w:t> </w:t>
      </w:r>
      <w:r>
        <w:rPr/>
        <w:t>requirement</w:t>
      </w:r>
      <w:r>
        <w:rPr>
          <w:spacing w:val="-2"/>
        </w:rPr>
        <w:t> </w:t>
      </w:r>
      <w:r>
        <w:rPr/>
        <w:t>for</w:t>
      </w:r>
      <w:r>
        <w:rPr>
          <w:spacing w:val="-3"/>
        </w:rPr>
        <w:t> </w:t>
      </w:r>
      <w:r>
        <w:rPr/>
        <w:t>the</w:t>
      </w:r>
      <w:r>
        <w:rPr>
          <w:spacing w:val="-51"/>
        </w:rPr>
        <w:t> </w:t>
      </w:r>
      <w:r>
        <w:rPr/>
        <w:t>Degree</w:t>
      </w:r>
      <w:r>
        <w:rPr>
          <w:spacing w:val="-2"/>
        </w:rPr>
        <w:t> </w:t>
      </w:r>
      <w:r>
        <w:rPr/>
        <w:t>of</w:t>
      </w:r>
    </w:p>
    <w:p>
      <w:pPr>
        <w:pStyle w:val="BodyText"/>
        <w:spacing w:line="292" w:lineRule="exact"/>
        <w:ind w:left="3007" w:right="3510"/>
        <w:jc w:val="center"/>
      </w:pPr>
      <w:r>
        <w:rPr/>
        <w:t>MASTER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SCIENCE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26"/>
        </w:rPr>
      </w:pPr>
    </w:p>
    <w:p>
      <w:pPr>
        <w:pStyle w:val="BodyText"/>
        <w:ind w:left="4261" w:right="4760"/>
        <w:jc w:val="center"/>
      </w:pPr>
      <w:r>
        <w:rPr/>
        <w:t>By</w:t>
      </w:r>
    </w:p>
    <w:p>
      <w:pPr>
        <w:pStyle w:val="BodyText"/>
      </w:pPr>
    </w:p>
    <w:p>
      <w:pPr>
        <w:pStyle w:val="BodyText"/>
        <w:spacing w:before="158"/>
        <w:ind w:left="3008" w:right="3509"/>
        <w:jc w:val="center"/>
      </w:pPr>
      <w:r>
        <w:rPr/>
        <w:t>DEREK</w:t>
      </w:r>
      <w:r>
        <w:rPr>
          <w:spacing w:val="-3"/>
        </w:rPr>
        <w:t> </w:t>
      </w:r>
      <w:r>
        <w:rPr/>
        <w:t>RUSSELL</w:t>
      </w:r>
      <w:r>
        <w:rPr>
          <w:spacing w:val="-3"/>
        </w:rPr>
        <w:t> </w:t>
      </w:r>
      <w:r>
        <w:rPr/>
        <w:t>PARKS</w:t>
      </w:r>
    </w:p>
    <w:p>
      <w:pPr>
        <w:pStyle w:val="BodyText"/>
        <w:spacing w:line="372" w:lineRule="auto" w:before="161"/>
        <w:ind w:left="3844" w:right="4342"/>
        <w:jc w:val="center"/>
      </w:pPr>
      <w:r>
        <w:rPr/>
        <w:t>Norman, Oklahoma</w:t>
      </w:r>
      <w:r>
        <w:rPr>
          <w:spacing w:val="-52"/>
        </w:rPr>
        <w:t> </w:t>
      </w:r>
      <w:r>
        <w:rPr/>
        <w:t>2021</w:t>
      </w:r>
    </w:p>
    <w:p>
      <w:pPr>
        <w:spacing w:after="0" w:line="372" w:lineRule="auto"/>
        <w:jc w:val="center"/>
        <w:sectPr>
          <w:type w:val="continuous"/>
          <w:pgSz w:w="12240" w:h="15840"/>
          <w:pgMar w:top="1400" w:bottom="280" w:left="1320" w:right="82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7"/>
        </w:rPr>
      </w:pPr>
    </w:p>
    <w:p>
      <w:pPr>
        <w:pStyle w:val="BodyText"/>
        <w:spacing w:line="480" w:lineRule="auto" w:before="51"/>
        <w:ind w:left="703" w:right="1215"/>
        <w:jc w:val="center"/>
      </w:pPr>
      <w:r>
        <w:rPr/>
        <w:t>APPLICATION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NOVEL</w:t>
      </w:r>
      <w:r>
        <w:rPr>
          <w:spacing w:val="-3"/>
        </w:rPr>
        <w:t> </w:t>
      </w:r>
      <w:r>
        <w:rPr/>
        <w:t>LCMS</w:t>
      </w:r>
      <w:r>
        <w:rPr>
          <w:spacing w:val="1"/>
        </w:rPr>
        <w:t> </w:t>
      </w:r>
      <w:r>
        <w:rPr/>
        <w:t>METHOD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ANALYZE</w:t>
      </w:r>
      <w:r>
        <w:rPr>
          <w:spacing w:val="-3"/>
        </w:rPr>
        <w:t> </w:t>
      </w:r>
      <w:r>
        <w:rPr/>
        <w:t>POLAR</w:t>
      </w:r>
      <w:r>
        <w:rPr>
          <w:spacing w:val="-3"/>
        </w:rPr>
        <w:t> </w:t>
      </w:r>
      <w:r>
        <w:rPr/>
        <w:t>BIOMARKERS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52"/>
        </w:rPr>
        <w:t> </w:t>
      </w:r>
      <w:r>
        <w:rPr/>
        <w:t>WOODFORD</w:t>
      </w:r>
      <w:r>
        <w:rPr>
          <w:spacing w:val="-2"/>
        </w:rPr>
        <w:t> </w:t>
      </w:r>
      <w:r>
        <w:rPr/>
        <w:t>SHALE,</w:t>
      </w:r>
      <w:r>
        <w:rPr>
          <w:spacing w:val="2"/>
        </w:rPr>
        <w:t> </w:t>
      </w:r>
      <w:r>
        <w:rPr/>
        <w:t>WYCHE</w:t>
      </w:r>
      <w:r>
        <w:rPr>
          <w:spacing w:val="-1"/>
        </w:rPr>
        <w:t> </w:t>
      </w:r>
      <w:r>
        <w:rPr/>
        <w:t>FARM</w:t>
      </w:r>
      <w:r>
        <w:rPr>
          <w:spacing w:val="-2"/>
        </w:rPr>
        <w:t> </w:t>
      </w:r>
      <w:r>
        <w:rPr/>
        <w:t>SHALE</w:t>
      </w:r>
      <w:r>
        <w:rPr>
          <w:spacing w:val="-1"/>
        </w:rPr>
        <w:t> </w:t>
      </w:r>
      <w:r>
        <w:rPr/>
        <w:t>PIT,</w:t>
      </w:r>
      <w:r>
        <w:rPr>
          <w:spacing w:val="-1"/>
        </w:rPr>
        <w:t> </w:t>
      </w:r>
      <w:r>
        <w:rPr/>
        <w:t>OKLAHOMA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"/>
        <w:rPr>
          <w:sz w:val="28"/>
        </w:rPr>
      </w:pPr>
    </w:p>
    <w:p>
      <w:pPr>
        <w:pStyle w:val="BodyText"/>
        <w:spacing w:line="372" w:lineRule="auto"/>
        <w:ind w:left="3008" w:right="3506"/>
        <w:jc w:val="center"/>
      </w:pPr>
      <w:r>
        <w:rPr/>
        <w:t>A</w:t>
      </w:r>
      <w:r>
        <w:rPr>
          <w:spacing w:val="-4"/>
        </w:rPr>
        <w:t> </w:t>
      </w:r>
      <w:r>
        <w:rPr/>
        <w:t>THESIS</w:t>
      </w:r>
      <w:r>
        <w:rPr>
          <w:spacing w:val="-5"/>
        </w:rPr>
        <w:t> </w:t>
      </w:r>
      <w:r>
        <w:rPr/>
        <w:t>APPROVED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THE</w:t>
      </w:r>
      <w:r>
        <w:rPr>
          <w:spacing w:val="-52"/>
        </w:rPr>
        <w:t> </w:t>
      </w:r>
      <w:r>
        <w:rPr/>
        <w:t>SCHOOL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GEOSCIENCES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  <w:rPr>
          <w:sz w:val="28"/>
        </w:rPr>
      </w:pPr>
    </w:p>
    <w:p>
      <w:pPr>
        <w:pStyle w:val="BodyText"/>
        <w:ind w:left="3008" w:right="3510"/>
        <w:jc w:val="center"/>
      </w:pPr>
      <w:r>
        <w:rPr/>
        <w:t>BY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COMMITTEE</w:t>
      </w:r>
      <w:r>
        <w:rPr>
          <w:spacing w:val="-2"/>
        </w:rPr>
        <w:t> </w:t>
      </w:r>
      <w:r>
        <w:rPr/>
        <w:t>CONSISTING</w:t>
      </w:r>
      <w:r>
        <w:rPr>
          <w:spacing w:val="-2"/>
        </w:rPr>
        <w:t> </w:t>
      </w:r>
      <w:r>
        <w:rPr/>
        <w:t>OF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"/>
        <w:rPr>
          <w:sz w:val="28"/>
        </w:rPr>
      </w:pPr>
    </w:p>
    <w:p>
      <w:pPr>
        <w:pStyle w:val="BodyText"/>
        <w:spacing w:line="609" w:lineRule="auto" w:before="1"/>
        <w:ind w:left="7459" w:right="617" w:firstLine="64"/>
        <w:jc w:val="right"/>
      </w:pPr>
      <w:r>
        <w:rPr/>
        <w:t>Dr. Xiaolei Liu, Chair</w:t>
      </w:r>
      <w:r>
        <w:rPr>
          <w:spacing w:val="-52"/>
        </w:rPr>
        <w:t> </w:t>
      </w:r>
      <w:r>
        <w:rPr/>
        <w:t>Dr. Gerilyn Soreghan</w:t>
      </w:r>
      <w:r>
        <w:rPr>
          <w:spacing w:val="-52"/>
        </w:rPr>
        <w:t> </w:t>
      </w:r>
      <w:r>
        <w:rPr/>
        <w:t>Dr.</w:t>
      </w:r>
      <w:r>
        <w:rPr>
          <w:spacing w:val="-2"/>
        </w:rPr>
        <w:t> </w:t>
      </w:r>
      <w:r>
        <w:rPr/>
        <w:t>Michael</w:t>
      </w:r>
      <w:r>
        <w:rPr>
          <w:spacing w:val="-1"/>
        </w:rPr>
        <w:t> </w:t>
      </w:r>
      <w:r>
        <w:rPr/>
        <w:t>Engel</w:t>
      </w:r>
    </w:p>
    <w:p>
      <w:pPr>
        <w:spacing w:after="0" w:line="609" w:lineRule="auto"/>
        <w:jc w:val="right"/>
        <w:sectPr>
          <w:footerReference w:type="default" r:id="rId5"/>
          <w:pgSz w:w="12240" w:h="15840"/>
          <w:pgMar w:footer="1190" w:header="0" w:top="1500" w:bottom="1380" w:left="1320" w:right="82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5"/>
        </w:rPr>
      </w:pPr>
    </w:p>
    <w:p>
      <w:pPr>
        <w:pStyle w:val="BodyText"/>
        <w:spacing w:line="372" w:lineRule="auto" w:before="51"/>
        <w:ind w:left="3840" w:right="3151" w:hanging="1184"/>
      </w:pPr>
      <w:r>
        <w:rPr/>
        <w:t>©</w:t>
      </w:r>
      <w:r>
        <w:rPr>
          <w:spacing w:val="-3"/>
        </w:rPr>
        <w:t> </w:t>
      </w:r>
      <w:r>
        <w:rPr/>
        <w:t>Copyright</w:t>
      </w:r>
      <w:r>
        <w:rPr>
          <w:spacing w:val="-1"/>
        </w:rPr>
        <w:t> </w:t>
      </w:r>
      <w:r>
        <w:rPr/>
        <w:t>by</w:t>
      </w:r>
      <w:r>
        <w:rPr>
          <w:spacing w:val="-4"/>
        </w:rPr>
        <w:t> </w:t>
      </w:r>
      <w:r>
        <w:rPr/>
        <w:t>DEREK</w:t>
      </w:r>
      <w:r>
        <w:rPr>
          <w:spacing w:val="-1"/>
        </w:rPr>
        <w:t> </w:t>
      </w:r>
      <w:r>
        <w:rPr/>
        <w:t>RUSSELL</w:t>
      </w:r>
      <w:r>
        <w:rPr>
          <w:spacing w:val="-1"/>
        </w:rPr>
        <w:t> </w:t>
      </w:r>
      <w:r>
        <w:rPr/>
        <w:t>PARKS</w:t>
      </w:r>
      <w:r>
        <w:rPr>
          <w:spacing w:val="-1"/>
        </w:rPr>
        <w:t> </w:t>
      </w:r>
      <w:r>
        <w:rPr/>
        <w:t>2021</w:t>
      </w:r>
      <w:r>
        <w:rPr>
          <w:spacing w:val="-51"/>
        </w:rPr>
        <w:t> </w:t>
      </w:r>
      <w:r>
        <w:rPr/>
        <w:t>All</w:t>
      </w:r>
      <w:r>
        <w:rPr>
          <w:spacing w:val="-2"/>
        </w:rPr>
        <w:t> </w:t>
      </w:r>
      <w:r>
        <w:rPr/>
        <w:t>Rights</w:t>
      </w:r>
      <w:r>
        <w:rPr>
          <w:spacing w:val="-1"/>
        </w:rPr>
        <w:t> </w:t>
      </w:r>
      <w:r>
        <w:rPr/>
        <w:t>Reserved.</w:t>
      </w:r>
    </w:p>
    <w:p>
      <w:pPr>
        <w:spacing w:after="0" w:line="372" w:lineRule="auto"/>
        <w:sectPr>
          <w:pgSz w:w="12240" w:h="15840"/>
          <w:pgMar w:header="0" w:footer="1190" w:top="1500" w:bottom="1440" w:left="1320" w:right="820"/>
        </w:sectPr>
      </w:pPr>
    </w:p>
    <w:p>
      <w:pPr>
        <w:pStyle w:val="Heading1"/>
        <w:ind w:right="3506"/>
      </w:pPr>
      <w:r>
        <w:rPr/>
        <w:t>ACKNOWLEDGEMENTS</w:t>
      </w:r>
    </w:p>
    <w:p>
      <w:pPr>
        <w:pStyle w:val="BodyText"/>
        <w:spacing w:line="480" w:lineRule="auto" w:before="182"/>
        <w:ind w:left="120" w:right="747" w:firstLine="721"/>
      </w:pPr>
      <w:r>
        <w:rPr/>
        <w:t>I would first of all like to thank Dr. Xiaolei Liu for his guidance, mentorship, and support</w:t>
      </w:r>
      <w:r>
        <w:rPr>
          <w:spacing w:val="-52"/>
        </w:rPr>
        <w:t> </w:t>
      </w:r>
      <w:r>
        <w:rPr/>
        <w:t>from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beginning.</w:t>
      </w:r>
      <w:r>
        <w:rPr>
          <w:spacing w:val="-3"/>
        </w:rPr>
        <w:t> </w:t>
      </w:r>
      <w:r>
        <w:rPr/>
        <w:t>He</w:t>
      </w:r>
      <w:r>
        <w:rPr>
          <w:spacing w:val="-3"/>
        </w:rPr>
        <w:t> </w:t>
      </w:r>
      <w:r>
        <w:rPr/>
        <w:t>has</w:t>
      </w:r>
      <w:r>
        <w:rPr>
          <w:spacing w:val="-3"/>
        </w:rPr>
        <w:t> </w:t>
      </w:r>
      <w:r>
        <w:rPr/>
        <w:t>believed</w:t>
      </w:r>
      <w:r>
        <w:rPr>
          <w:spacing w:val="2"/>
        </w:rPr>
        <w:t> </w:t>
      </w:r>
      <w:r>
        <w:rPr/>
        <w:t>in</w:t>
      </w:r>
      <w:r>
        <w:rPr>
          <w:spacing w:val="-3"/>
        </w:rPr>
        <w:t> </w:t>
      </w:r>
      <w:r>
        <w:rPr/>
        <w:t>my</w:t>
      </w:r>
      <w:r>
        <w:rPr>
          <w:spacing w:val="-3"/>
        </w:rPr>
        <w:t> </w:t>
      </w:r>
      <w:r>
        <w:rPr/>
        <w:t>capabilities and</w:t>
      </w:r>
      <w:r>
        <w:rPr>
          <w:spacing w:val="-2"/>
        </w:rPr>
        <w:t> </w:t>
      </w:r>
      <w:r>
        <w:rPr/>
        <w:t>helped</w:t>
      </w:r>
      <w:r>
        <w:rPr>
          <w:spacing w:val="-3"/>
        </w:rPr>
        <w:t> </w:t>
      </w:r>
      <w:r>
        <w:rPr/>
        <w:t>focus</w:t>
      </w:r>
      <w:r>
        <w:rPr>
          <w:spacing w:val="-2"/>
        </w:rPr>
        <w:t> </w:t>
      </w:r>
      <w:r>
        <w:rPr/>
        <w:t>my</w:t>
      </w:r>
      <w:r>
        <w:rPr>
          <w:spacing w:val="-3"/>
        </w:rPr>
        <w:t> </w:t>
      </w:r>
      <w:r>
        <w:rPr/>
        <w:t>research. The</w:t>
      </w:r>
      <w:r>
        <w:rPr>
          <w:spacing w:val="-3"/>
        </w:rPr>
        <w:t> </w:t>
      </w:r>
      <w:r>
        <w:rPr/>
        <w:t>time</w:t>
      </w:r>
      <w:r>
        <w:rPr>
          <w:spacing w:val="-51"/>
        </w:rPr>
        <w:t> </w:t>
      </w:r>
      <w:r>
        <w:rPr/>
        <w:t>he took to meet with me and discuss possibilities of the research has been invaluable and</w:t>
      </w:r>
      <w:r>
        <w:rPr>
          <w:spacing w:val="1"/>
        </w:rPr>
        <w:t> </w:t>
      </w:r>
      <w:r>
        <w:rPr/>
        <w:t>helped</w:t>
      </w:r>
      <w:r>
        <w:rPr>
          <w:spacing w:val="-2"/>
        </w:rPr>
        <w:t> </w:t>
      </w:r>
      <w:r>
        <w:rPr/>
        <w:t>to</w:t>
      </w:r>
      <w:r>
        <w:rPr>
          <w:spacing w:val="1"/>
        </w:rPr>
        <w:t> </w:t>
      </w:r>
      <w:r>
        <w:rPr/>
        <w:t>progress</w:t>
      </w:r>
      <w:r>
        <w:rPr>
          <w:spacing w:val="-2"/>
        </w:rPr>
        <w:t> </w:t>
      </w:r>
      <w:r>
        <w:rPr/>
        <w:t>my</w:t>
      </w:r>
      <w:r>
        <w:rPr>
          <w:spacing w:val="-1"/>
        </w:rPr>
        <w:t> </w:t>
      </w:r>
      <w:r>
        <w:rPr/>
        <w:t>understanding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1"/>
        </w:rPr>
        <w:t> </w:t>
      </w:r>
      <w:r>
        <w:rPr/>
        <w:t>field</w:t>
      </w:r>
      <w:r>
        <w:rPr>
          <w:spacing w:val="-3"/>
        </w:rPr>
        <w:t> </w:t>
      </w:r>
      <w:r>
        <w:rPr/>
        <w:t>of</w:t>
      </w:r>
      <w:r>
        <w:rPr>
          <w:spacing w:val="2"/>
        </w:rPr>
        <w:t> </w:t>
      </w:r>
      <w:r>
        <w:rPr/>
        <w:t>geochemistry</w:t>
      </w:r>
      <w:r>
        <w:rPr>
          <w:spacing w:val="-2"/>
        </w:rPr>
        <w:t> </w:t>
      </w:r>
      <w:r>
        <w:rPr/>
        <w:t>immensely.</w:t>
      </w:r>
    </w:p>
    <w:p>
      <w:pPr>
        <w:pStyle w:val="BodyText"/>
        <w:spacing w:line="480" w:lineRule="auto" w:before="162"/>
        <w:ind w:left="120" w:right="660" w:firstLine="721"/>
      </w:pPr>
      <w:r>
        <w:rPr/>
        <w:t>I</w:t>
      </w:r>
      <w:r>
        <w:rPr>
          <w:spacing w:val="-3"/>
        </w:rPr>
        <w:t> </w:t>
      </w:r>
      <w:r>
        <w:rPr/>
        <w:t>would</w:t>
      </w:r>
      <w:r>
        <w:rPr>
          <w:spacing w:val="2"/>
        </w:rPr>
        <w:t> </w:t>
      </w:r>
      <w:r>
        <w:rPr/>
        <w:t>also</w:t>
      </w:r>
      <w:r>
        <w:rPr>
          <w:spacing w:val="-2"/>
        </w:rPr>
        <w:t> </w:t>
      </w:r>
      <w:r>
        <w:rPr/>
        <w:t>like</w:t>
      </w:r>
      <w:r>
        <w:rPr>
          <w:spacing w:val="-2"/>
        </w:rPr>
        <w:t> </w:t>
      </w:r>
      <w:r>
        <w:rPr/>
        <w:t>to thank</w:t>
      </w:r>
      <w:r>
        <w:rPr>
          <w:spacing w:val="-2"/>
        </w:rPr>
        <w:t> </w:t>
      </w:r>
      <w:r>
        <w:rPr/>
        <w:t>Dr.</w:t>
      </w:r>
      <w:r>
        <w:rPr>
          <w:spacing w:val="-2"/>
        </w:rPr>
        <w:t> </w:t>
      </w:r>
      <w:r>
        <w:rPr/>
        <w:t>Engel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Dr.</w:t>
      </w:r>
      <w:r>
        <w:rPr>
          <w:spacing w:val="-5"/>
        </w:rPr>
        <w:t> </w:t>
      </w:r>
      <w:r>
        <w:rPr/>
        <w:t>Gerilyn</w:t>
      </w:r>
      <w:r>
        <w:rPr>
          <w:spacing w:val="-2"/>
        </w:rPr>
        <w:t> </w:t>
      </w:r>
      <w:r>
        <w:rPr/>
        <w:t>Soreghan</w:t>
      </w:r>
      <w:r>
        <w:rPr>
          <w:spacing w:val="-1"/>
        </w:rPr>
        <w:t> </w:t>
      </w:r>
      <w:r>
        <w:rPr/>
        <w:t>for</w:t>
      </w:r>
      <w:r>
        <w:rPr>
          <w:spacing w:val="-4"/>
        </w:rPr>
        <w:t> </w:t>
      </w:r>
      <w:r>
        <w:rPr/>
        <w:t>agreeing</w:t>
      </w:r>
      <w:r>
        <w:rPr>
          <w:spacing w:val="-3"/>
        </w:rPr>
        <w:t> </w:t>
      </w:r>
      <w:r>
        <w:rPr/>
        <w:t>to</w:t>
      </w:r>
      <w:r>
        <w:rPr>
          <w:spacing w:val="3"/>
        </w:rPr>
        <w:t> </w:t>
      </w:r>
      <w:r>
        <w:rPr/>
        <w:t>serve</w:t>
      </w:r>
      <w:r>
        <w:rPr>
          <w:spacing w:val="-3"/>
        </w:rPr>
        <w:t> </w:t>
      </w:r>
      <w:r>
        <w:rPr/>
        <w:t>on</w:t>
      </w:r>
      <w:r>
        <w:rPr>
          <w:spacing w:val="-2"/>
        </w:rPr>
        <w:t> </w:t>
      </w:r>
      <w:r>
        <w:rPr/>
        <w:t>my</w:t>
      </w:r>
      <w:r>
        <w:rPr>
          <w:spacing w:val="-51"/>
        </w:rPr>
        <w:t> </w:t>
      </w:r>
      <w:r>
        <w:rPr/>
        <w:t>committee and providing their time to review my thesis. Dr. Engel has provided his expertise</w:t>
      </w:r>
      <w:r>
        <w:rPr>
          <w:spacing w:val="1"/>
        </w:rPr>
        <w:t> </w:t>
      </w:r>
      <w:r>
        <w:rPr/>
        <w:t>and lab time for analyzing the organic carbon isotopes in this study proving to be incredibly</w:t>
      </w:r>
      <w:r>
        <w:rPr>
          <w:spacing w:val="1"/>
        </w:rPr>
        <w:t> </w:t>
      </w:r>
      <w:r>
        <w:rPr/>
        <w:t>helpful. Dr. Soreghan helped me to progress my scientific writing skills through the multiple</w:t>
      </w:r>
      <w:r>
        <w:rPr>
          <w:spacing w:val="1"/>
        </w:rPr>
        <w:t> </w:t>
      </w:r>
      <w:r>
        <w:rPr/>
        <w:t>classes I had with her allowing me to become a more adept writer. They both have my sincere</w:t>
      </w:r>
      <w:r>
        <w:rPr>
          <w:spacing w:val="1"/>
        </w:rPr>
        <w:t> </w:t>
      </w:r>
      <w:r>
        <w:rPr/>
        <w:t>gratitude.</w:t>
      </w:r>
    </w:p>
    <w:p>
      <w:pPr>
        <w:pStyle w:val="BodyText"/>
        <w:spacing w:line="480" w:lineRule="auto" w:before="159"/>
        <w:ind w:left="120" w:right="660" w:firstLine="721"/>
      </w:pPr>
      <w:r>
        <w:rPr/>
        <w:t>My appreciation is also extended to Dr. Gregory Connock, for his enthusiasm and</w:t>
      </w:r>
      <w:r>
        <w:rPr>
          <w:spacing w:val="1"/>
        </w:rPr>
        <w:t> </w:t>
      </w:r>
      <w:r>
        <w:rPr/>
        <w:t>guidance in the lab. He taught me the proper lab procedures and techniques that were</w:t>
      </w:r>
      <w:r>
        <w:rPr>
          <w:spacing w:val="1"/>
        </w:rPr>
        <w:t> </w:t>
      </w:r>
      <w:r>
        <w:rPr/>
        <w:t>instrumental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keeping</w:t>
      </w:r>
      <w:r>
        <w:rPr>
          <w:spacing w:val="-6"/>
        </w:rPr>
        <w:t> </w:t>
      </w:r>
      <w:r>
        <w:rPr/>
        <w:t>samples</w:t>
      </w:r>
      <w:r>
        <w:rPr>
          <w:spacing w:val="-4"/>
        </w:rPr>
        <w:t> </w:t>
      </w:r>
      <w:r>
        <w:rPr/>
        <w:t>uncontaminated.</w:t>
      </w:r>
      <w:r>
        <w:rPr>
          <w:spacing w:val="-4"/>
        </w:rPr>
        <w:t> </w:t>
      </w:r>
      <w:r>
        <w:rPr/>
        <w:t>His</w:t>
      </w:r>
      <w:r>
        <w:rPr>
          <w:spacing w:val="-3"/>
        </w:rPr>
        <w:t> </w:t>
      </w:r>
      <w:r>
        <w:rPr/>
        <w:t>help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understanding</w:t>
      </w:r>
      <w:r>
        <w:rPr>
          <w:spacing w:val="-3"/>
        </w:rPr>
        <w:t> </w:t>
      </w:r>
      <w:r>
        <w:rPr/>
        <w:t>the</w:t>
      </w:r>
      <w:r>
        <w:rPr>
          <w:spacing w:val="1"/>
        </w:rPr>
        <w:t> </w:t>
      </w:r>
      <w:r>
        <w:rPr/>
        <w:t>geochemistry</w:t>
      </w:r>
      <w:r>
        <w:rPr>
          <w:spacing w:val="-51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samples</w:t>
      </w:r>
      <w:r>
        <w:rPr>
          <w:spacing w:val="-1"/>
        </w:rPr>
        <w:t> </w:t>
      </w:r>
      <w:r>
        <w:rPr/>
        <w:t>also</w:t>
      </w:r>
      <w:r>
        <w:rPr>
          <w:spacing w:val="-2"/>
        </w:rPr>
        <w:t> </w:t>
      </w:r>
      <w:r>
        <w:rPr/>
        <w:t>proved</w:t>
      </w:r>
      <w:r>
        <w:rPr>
          <w:spacing w:val="-2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2"/>
        </w:rPr>
        <w:t> </w:t>
      </w:r>
      <w:r>
        <w:rPr/>
        <w:t>a</w:t>
      </w:r>
      <w:r>
        <w:rPr>
          <w:spacing w:val="-3"/>
        </w:rPr>
        <w:t> </w:t>
      </w:r>
      <w:r>
        <w:rPr/>
        <w:t>valuable</w:t>
      </w:r>
      <w:r>
        <w:rPr>
          <w:spacing w:val="-2"/>
        </w:rPr>
        <w:t> </w:t>
      </w:r>
      <w:r>
        <w:rPr/>
        <w:t>addition</w:t>
      </w:r>
      <w:r>
        <w:rPr>
          <w:spacing w:val="1"/>
        </w:rPr>
        <w:t> </w:t>
      </w:r>
      <w:r>
        <w:rPr/>
        <w:t>to</w:t>
      </w:r>
      <w:r>
        <w:rPr>
          <w:spacing w:val="-2"/>
        </w:rPr>
        <w:t> </w:t>
      </w:r>
      <w:r>
        <w:rPr/>
        <w:t>this</w:t>
      </w:r>
      <w:r>
        <w:rPr>
          <w:spacing w:val="-3"/>
        </w:rPr>
        <w:t> </w:t>
      </w:r>
      <w:r>
        <w:rPr/>
        <w:t>work.</w:t>
      </w:r>
    </w:p>
    <w:p>
      <w:pPr>
        <w:pStyle w:val="BodyText"/>
        <w:spacing w:line="480" w:lineRule="auto" w:before="159"/>
        <w:ind w:left="120" w:right="658" w:firstLine="721"/>
      </w:pPr>
      <w:r>
        <w:rPr/>
        <w:t>The Geology department at OU is also deserving of gratitude. The generosity in</w:t>
      </w:r>
      <w:r>
        <w:rPr>
          <w:spacing w:val="1"/>
        </w:rPr>
        <w:t> </w:t>
      </w:r>
      <w:r>
        <w:rPr/>
        <w:t>providing funding and scholarships for my research allowed everything in my research and</w:t>
      </w:r>
      <w:r>
        <w:rPr>
          <w:spacing w:val="1"/>
        </w:rPr>
        <w:t> </w:t>
      </w:r>
      <w:r>
        <w:rPr/>
        <w:t>academic</w:t>
      </w:r>
      <w:r>
        <w:rPr>
          <w:spacing w:val="-2"/>
        </w:rPr>
        <w:t> </w:t>
      </w:r>
      <w:r>
        <w:rPr/>
        <w:t>life</w:t>
      </w:r>
      <w:r>
        <w:rPr>
          <w:spacing w:val="-3"/>
        </w:rPr>
        <w:t> </w:t>
      </w:r>
      <w:r>
        <w:rPr/>
        <w:t>to be possible.</w:t>
      </w:r>
      <w:r>
        <w:rPr>
          <w:spacing w:val="-1"/>
        </w:rPr>
        <w:t> </w:t>
      </w:r>
      <w:r>
        <w:rPr/>
        <w:t>I</w:t>
      </w:r>
      <w:r>
        <w:rPr>
          <w:spacing w:val="-3"/>
        </w:rPr>
        <w:t> </w:t>
      </w:r>
      <w:r>
        <w:rPr/>
        <w:t>would</w:t>
      </w:r>
      <w:r>
        <w:rPr>
          <w:spacing w:val="2"/>
        </w:rPr>
        <w:t> </w:t>
      </w:r>
      <w:r>
        <w:rPr/>
        <w:t>also</w:t>
      </w:r>
      <w:r>
        <w:rPr>
          <w:spacing w:val="-2"/>
        </w:rPr>
        <w:t> </w:t>
      </w:r>
      <w:r>
        <w:rPr/>
        <w:t>like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thank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office</w:t>
      </w:r>
      <w:r>
        <w:rPr>
          <w:spacing w:val="-2"/>
        </w:rPr>
        <w:t> </w:t>
      </w:r>
      <w:r>
        <w:rPr/>
        <w:t>staff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the</w:t>
      </w:r>
      <w:r>
        <w:rPr>
          <w:spacing w:val="1"/>
        </w:rPr>
        <w:t> </w:t>
      </w:r>
      <w:r>
        <w:rPr/>
        <w:t>7</w:t>
      </w:r>
      <w:r>
        <w:rPr>
          <w:vertAlign w:val="superscript"/>
        </w:rPr>
        <w:t>th</w:t>
      </w:r>
      <w:r>
        <w:rPr>
          <w:spacing w:val="-4"/>
          <w:vertAlign w:val="baseline"/>
        </w:rPr>
        <w:t> </w:t>
      </w:r>
      <w:r>
        <w:rPr>
          <w:vertAlign w:val="baseline"/>
        </w:rPr>
        <w:t>floor</w:t>
      </w:r>
      <w:r>
        <w:rPr>
          <w:spacing w:val="-2"/>
          <w:vertAlign w:val="baseline"/>
        </w:rPr>
        <w:t> </w:t>
      </w:r>
      <w:r>
        <w:rPr>
          <w:vertAlign w:val="baseline"/>
        </w:rPr>
        <w:t>especially</w:t>
      </w:r>
      <w:r>
        <w:rPr>
          <w:spacing w:val="-51"/>
          <w:vertAlign w:val="baseline"/>
        </w:rPr>
        <w:t> </w:t>
      </w:r>
      <w:r>
        <w:rPr>
          <w:vertAlign w:val="baseline"/>
        </w:rPr>
        <w:t>Rebecca Fay for providing assistance with anything I needed no matter how trivial or painfully</w:t>
      </w:r>
      <w:r>
        <w:rPr>
          <w:spacing w:val="1"/>
          <w:vertAlign w:val="baseline"/>
        </w:rPr>
        <w:t> </w:t>
      </w:r>
      <w:r>
        <w:rPr>
          <w:vertAlign w:val="baseline"/>
        </w:rPr>
        <w:t>obvious</w:t>
      </w:r>
      <w:r>
        <w:rPr>
          <w:spacing w:val="-1"/>
          <w:vertAlign w:val="baseline"/>
        </w:rPr>
        <w:t> </w:t>
      </w:r>
      <w:r>
        <w:rPr>
          <w:vertAlign w:val="baseline"/>
        </w:rPr>
        <w:t>the</w:t>
      </w:r>
      <w:r>
        <w:rPr>
          <w:spacing w:val="-2"/>
          <w:vertAlign w:val="baseline"/>
        </w:rPr>
        <w:t> </w:t>
      </w:r>
      <w:r>
        <w:rPr>
          <w:vertAlign w:val="baseline"/>
        </w:rPr>
        <w:t>question.</w:t>
      </w:r>
    </w:p>
    <w:p>
      <w:pPr>
        <w:spacing w:after="0" w:line="480" w:lineRule="auto"/>
        <w:sectPr>
          <w:footerReference w:type="default" r:id="rId6"/>
          <w:pgSz w:w="12240" w:h="15840"/>
          <w:pgMar w:footer="1014" w:header="0" w:top="1400" w:bottom="1200" w:left="1320" w:right="820"/>
        </w:sectPr>
      </w:pPr>
    </w:p>
    <w:p>
      <w:pPr>
        <w:pStyle w:val="BodyText"/>
        <w:spacing w:line="480" w:lineRule="auto" w:before="39"/>
        <w:ind w:left="120" w:right="883" w:firstLine="721"/>
      </w:pPr>
      <w:r>
        <w:rPr/>
        <w:t>I</w:t>
      </w:r>
      <w:r>
        <w:rPr>
          <w:spacing w:val="-4"/>
        </w:rPr>
        <w:t> </w:t>
      </w:r>
      <w:r>
        <w:rPr/>
        <w:t>very</w:t>
      </w:r>
      <w:r>
        <w:rPr>
          <w:spacing w:val="-2"/>
        </w:rPr>
        <w:t> </w:t>
      </w:r>
      <w:r>
        <w:rPr/>
        <w:t>much</w:t>
      </w:r>
      <w:r>
        <w:rPr>
          <w:spacing w:val="-4"/>
        </w:rPr>
        <w:t> </w:t>
      </w:r>
      <w:r>
        <w:rPr/>
        <w:t>appreciate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constant</w:t>
      </w:r>
      <w:r>
        <w:rPr>
          <w:spacing w:val="1"/>
        </w:rPr>
        <w:t> </w:t>
      </w:r>
      <w:r>
        <w:rPr/>
        <w:t>support</w:t>
      </w:r>
      <w:r>
        <w:rPr>
          <w:spacing w:val="-2"/>
        </w:rPr>
        <w:t> </w:t>
      </w:r>
      <w:r>
        <w:rPr/>
        <w:t>provided</w:t>
      </w:r>
      <w:r>
        <w:rPr>
          <w:spacing w:val="-1"/>
        </w:rPr>
        <w:t> </w:t>
      </w:r>
      <w:r>
        <w:rPr/>
        <w:t>by</w:t>
      </w:r>
      <w:r>
        <w:rPr>
          <w:spacing w:val="-2"/>
        </w:rPr>
        <w:t> </w:t>
      </w:r>
      <w:r>
        <w:rPr/>
        <w:t>my</w:t>
      </w:r>
      <w:r>
        <w:rPr>
          <w:spacing w:val="-1"/>
        </w:rPr>
        <w:t> </w:t>
      </w:r>
      <w:r>
        <w:rPr/>
        <w:t>family.</w:t>
      </w:r>
      <w:r>
        <w:rPr>
          <w:spacing w:val="-3"/>
        </w:rPr>
        <w:t> </w:t>
      </w:r>
      <w:r>
        <w:rPr/>
        <w:t>Their</w:t>
      </w:r>
      <w:r>
        <w:rPr>
          <w:spacing w:val="-4"/>
        </w:rPr>
        <w:t> </w:t>
      </w:r>
      <w:r>
        <w:rPr/>
        <w:t>support</w:t>
      </w:r>
      <w:r>
        <w:rPr>
          <w:spacing w:val="-2"/>
        </w:rPr>
        <w:t> </w:t>
      </w:r>
      <w:r>
        <w:rPr/>
        <w:t>has</w:t>
      </w:r>
      <w:r>
        <w:rPr>
          <w:spacing w:val="-52"/>
        </w:rPr>
        <w:t> </w:t>
      </w:r>
      <w:r>
        <w:rPr/>
        <w:t>pushed me to achieve this level of academia, without which would never have been possible.</w:t>
      </w:r>
      <w:r>
        <w:rPr>
          <w:spacing w:val="-52"/>
        </w:rPr>
        <w:t> </w:t>
      </w:r>
      <w:r>
        <w:rPr/>
        <w:t>Their moral support has kept me driven to achieve this goal and their financial support has</w:t>
      </w:r>
      <w:r>
        <w:rPr>
          <w:spacing w:val="1"/>
        </w:rPr>
        <w:t> </w:t>
      </w:r>
      <w:r>
        <w:rPr/>
        <w:t>allowed</w:t>
      </w:r>
      <w:r>
        <w:rPr>
          <w:spacing w:val="-2"/>
        </w:rPr>
        <w:t> </w:t>
      </w:r>
      <w:r>
        <w:rPr/>
        <w:t>me</w:t>
      </w:r>
      <w:r>
        <w:rPr>
          <w:spacing w:val="-2"/>
        </w:rPr>
        <w:t> </w:t>
      </w:r>
      <w:r>
        <w:rPr/>
        <w:t>to</w:t>
      </w:r>
      <w:r>
        <w:rPr>
          <w:spacing w:val="3"/>
        </w:rPr>
        <w:t> </w:t>
      </w:r>
      <w:r>
        <w:rPr/>
        <w:t>focus</w:t>
      </w:r>
      <w:r>
        <w:rPr>
          <w:spacing w:val="-1"/>
        </w:rPr>
        <w:t> </w:t>
      </w:r>
      <w:r>
        <w:rPr/>
        <w:t>on</w:t>
      </w:r>
      <w:r>
        <w:rPr>
          <w:spacing w:val="1"/>
        </w:rPr>
        <w:t> </w:t>
      </w:r>
      <w:r>
        <w:rPr/>
        <w:t>my</w:t>
      </w:r>
      <w:r>
        <w:rPr>
          <w:spacing w:val="-2"/>
        </w:rPr>
        <w:t> </w:t>
      </w:r>
      <w:r>
        <w:rPr/>
        <w:t>studies.</w:t>
      </w:r>
    </w:p>
    <w:p>
      <w:pPr>
        <w:pStyle w:val="BodyText"/>
        <w:spacing w:line="480" w:lineRule="auto" w:before="160"/>
        <w:ind w:left="120" w:right="806" w:firstLine="721"/>
        <w:jc w:val="both"/>
      </w:pPr>
      <w:r>
        <w:rPr/>
        <w:t>Finally,</w:t>
      </w:r>
      <w:r>
        <w:rPr>
          <w:spacing w:val="-3"/>
        </w:rPr>
        <w:t> </w:t>
      </w:r>
      <w:r>
        <w:rPr/>
        <w:t>I</w:t>
      </w:r>
      <w:r>
        <w:rPr>
          <w:spacing w:val="-1"/>
        </w:rPr>
        <w:t> </w:t>
      </w:r>
      <w:r>
        <w:rPr/>
        <w:t>would</w:t>
      </w:r>
      <w:r>
        <w:rPr>
          <w:spacing w:val="-2"/>
        </w:rPr>
        <w:t> </w:t>
      </w:r>
      <w:r>
        <w:rPr/>
        <w:t>like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thank</w:t>
      </w:r>
      <w:r>
        <w:rPr>
          <w:spacing w:val="-2"/>
        </w:rPr>
        <w:t> </w:t>
      </w:r>
      <w:r>
        <w:rPr/>
        <w:t>my</w:t>
      </w:r>
      <w:r>
        <w:rPr>
          <w:spacing w:val="-3"/>
        </w:rPr>
        <w:t> </w:t>
      </w:r>
      <w:r>
        <w:rPr/>
        <w:t>girlfriend,</w:t>
      </w:r>
      <w:r>
        <w:rPr>
          <w:spacing w:val="1"/>
        </w:rPr>
        <w:t> </w:t>
      </w:r>
      <w:r>
        <w:rPr/>
        <w:t>Amy</w:t>
      </w:r>
      <w:r>
        <w:rPr>
          <w:spacing w:val="-3"/>
        </w:rPr>
        <w:t> </w:t>
      </w:r>
      <w:r>
        <w:rPr/>
        <w:t>Pham,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providing</w:t>
      </w:r>
      <w:r>
        <w:rPr>
          <w:spacing w:val="1"/>
        </w:rPr>
        <w:t> </w:t>
      </w:r>
      <w:r>
        <w:rPr/>
        <w:t>me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emotional</w:t>
      </w:r>
      <w:r>
        <w:rPr>
          <w:spacing w:val="-52"/>
        </w:rPr>
        <w:t> </w:t>
      </w:r>
      <w:r>
        <w:rPr/>
        <w:t>support through all these years. The distance between us has been difficult but, even as she is</w:t>
      </w:r>
      <w:r>
        <w:rPr>
          <w:spacing w:val="-52"/>
        </w:rPr>
        <w:t> </w:t>
      </w:r>
      <w:r>
        <w:rPr/>
        <w:t>busy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her</w:t>
      </w:r>
      <w:r>
        <w:rPr>
          <w:spacing w:val="2"/>
        </w:rPr>
        <w:t> </w:t>
      </w:r>
      <w:r>
        <w:rPr/>
        <w:t>own</w:t>
      </w:r>
      <w:r>
        <w:rPr>
          <w:spacing w:val="-2"/>
        </w:rPr>
        <w:t> </w:t>
      </w:r>
      <w:r>
        <w:rPr/>
        <w:t>studies,</w:t>
      </w:r>
      <w:r>
        <w:rPr>
          <w:spacing w:val="-1"/>
        </w:rPr>
        <w:t> </w:t>
      </w:r>
      <w:r>
        <w:rPr/>
        <w:t>she</w:t>
      </w:r>
      <w:r>
        <w:rPr>
          <w:spacing w:val="-3"/>
        </w:rPr>
        <w:t> </w:t>
      </w:r>
      <w:r>
        <w:rPr/>
        <w:t>has</w:t>
      </w:r>
      <w:r>
        <w:rPr>
          <w:spacing w:val="-2"/>
        </w:rPr>
        <w:t> </w:t>
      </w:r>
      <w:r>
        <w:rPr/>
        <w:t>always</w:t>
      </w:r>
      <w:r>
        <w:rPr>
          <w:spacing w:val="-4"/>
        </w:rPr>
        <w:t> </w:t>
      </w:r>
      <w:r>
        <w:rPr/>
        <w:t>been</w:t>
      </w:r>
      <w:r>
        <w:rPr>
          <w:spacing w:val="-2"/>
        </w:rPr>
        <w:t> </w:t>
      </w:r>
      <w:r>
        <w:rPr/>
        <w:t>there</w:t>
      </w:r>
      <w:r>
        <w:rPr>
          <w:spacing w:val="-2"/>
        </w:rPr>
        <w:t> </w:t>
      </w:r>
      <w:r>
        <w:rPr/>
        <w:t>for</w:t>
      </w:r>
      <w:r>
        <w:rPr>
          <w:spacing w:val="-4"/>
        </w:rPr>
        <w:t> </w:t>
      </w:r>
      <w:r>
        <w:rPr/>
        <w:t>me</w:t>
      </w:r>
      <w:r>
        <w:rPr>
          <w:spacing w:val="1"/>
        </w:rPr>
        <w:t> </w:t>
      </w:r>
      <w:r>
        <w:rPr/>
        <w:t>and</w:t>
      </w:r>
      <w:r>
        <w:rPr>
          <w:spacing w:val="-3"/>
        </w:rPr>
        <w:t> </w:t>
      </w:r>
      <w:r>
        <w:rPr/>
        <w:t>made</w:t>
      </w:r>
      <w:r>
        <w:rPr>
          <w:spacing w:val="-1"/>
        </w:rPr>
        <w:t> </w:t>
      </w:r>
      <w:r>
        <w:rPr/>
        <w:t>time</w:t>
      </w:r>
      <w:r>
        <w:rPr>
          <w:spacing w:val="-2"/>
        </w:rPr>
        <w:t> </w:t>
      </w:r>
      <w:r>
        <w:rPr/>
        <w:t>to</w:t>
      </w:r>
      <w:r>
        <w:rPr>
          <w:spacing w:val="2"/>
        </w:rPr>
        <w:t> </w:t>
      </w:r>
      <w:r>
        <w:rPr/>
        <w:t>support</w:t>
      </w:r>
      <w:r>
        <w:rPr>
          <w:spacing w:val="-1"/>
        </w:rPr>
        <w:t> </w:t>
      </w:r>
      <w:r>
        <w:rPr/>
        <w:t>me.</w:t>
      </w:r>
    </w:p>
    <w:p>
      <w:pPr>
        <w:pStyle w:val="BodyText"/>
        <w:spacing w:before="159"/>
        <w:ind w:left="120"/>
        <w:jc w:val="both"/>
      </w:pPr>
      <w:r>
        <w:rPr/>
        <w:t>My</w:t>
      </w:r>
      <w:r>
        <w:rPr>
          <w:spacing w:val="-1"/>
        </w:rPr>
        <w:t> </w:t>
      </w:r>
      <w:r>
        <w:rPr/>
        <w:t>deepest</w:t>
      </w:r>
      <w:r>
        <w:rPr>
          <w:spacing w:val="-2"/>
        </w:rPr>
        <w:t> </w:t>
      </w:r>
      <w:r>
        <w:rPr/>
        <w:t>appreciation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you</w:t>
      </w:r>
      <w:r>
        <w:rPr>
          <w:spacing w:val="2"/>
        </w:rPr>
        <w:t> </w:t>
      </w:r>
      <w:r>
        <w:rPr/>
        <w:t>all.</w:t>
      </w:r>
    </w:p>
    <w:p>
      <w:pPr>
        <w:spacing w:after="0"/>
        <w:jc w:val="both"/>
        <w:sectPr>
          <w:footerReference w:type="default" r:id="rId7"/>
          <w:pgSz w:w="12240" w:h="15840"/>
          <w:pgMar w:footer="1014" w:header="0" w:top="1400" w:bottom="1200" w:left="1320" w:right="820"/>
        </w:sectPr>
      </w:pPr>
    </w:p>
    <w:tbl>
      <w:tblPr>
        <w:tblW w:w="0" w:type="auto"/>
        <w:jc w:val="left"/>
        <w:tblInd w:w="1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25"/>
        <w:gridCol w:w="4196"/>
        <w:gridCol w:w="2129"/>
      </w:tblGrid>
      <w:tr>
        <w:trPr>
          <w:trHeight w:val="868" w:hRule="atLeast"/>
        </w:trPr>
        <w:tc>
          <w:tcPr>
            <w:tcW w:w="3025" w:type="dxa"/>
            <w:tcBorders>
              <w:bottom w:val="dashed" w:sz="8" w:space="0" w:color="000000"/>
            </w:tcBorders>
          </w:tcPr>
          <w:p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  <w:p>
            <w:pPr>
              <w:pStyle w:val="TableParagraph"/>
              <w:spacing w:line="240" w:lineRule="auto" w:before="1"/>
              <w:ind w:left="0"/>
              <w:jc w:val="left"/>
              <w:rPr>
                <w:sz w:val="23"/>
              </w:rPr>
            </w:pPr>
          </w:p>
          <w:p>
            <w:pPr>
              <w:pStyle w:val="TableParagraph"/>
              <w:spacing w:line="273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ACKNOWLEDGEMENTS</w:t>
            </w:r>
          </w:p>
        </w:tc>
        <w:tc>
          <w:tcPr>
            <w:tcW w:w="4196" w:type="dxa"/>
            <w:tcBorders>
              <w:bottom w:val="dashed" w:sz="8" w:space="0" w:color="000000"/>
            </w:tcBorders>
          </w:tcPr>
          <w:p>
            <w:pPr>
              <w:pStyle w:val="TableParagraph"/>
              <w:spacing w:line="244" w:lineRule="exact"/>
              <w:ind w:left="61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TABLE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CONTENTS</w:t>
            </w:r>
          </w:p>
        </w:tc>
        <w:tc>
          <w:tcPr>
            <w:tcW w:w="2129" w:type="dxa"/>
            <w:tcBorders>
              <w:bottom w:val="dashed" w:sz="8" w:space="0" w:color="000000"/>
            </w:tcBorders>
          </w:tcPr>
          <w:p>
            <w:pPr>
              <w:pStyle w:val="TableParagraph"/>
              <w:spacing w:line="240" w:lineRule="auto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line="240" w:lineRule="auto"/>
              <w:ind w:left="0"/>
              <w:jc w:val="left"/>
              <w:rPr>
                <w:sz w:val="27"/>
              </w:rPr>
            </w:pPr>
          </w:p>
          <w:p>
            <w:pPr>
              <w:pStyle w:val="TableParagraph"/>
              <w:spacing w:line="249" w:lineRule="exact" w:before="1"/>
              <w:ind w:left="0" w:right="416"/>
              <w:jc w:val="right"/>
              <w:rPr>
                <w:sz w:val="22"/>
              </w:rPr>
            </w:pPr>
            <w:r>
              <w:rPr>
                <w:sz w:val="22"/>
              </w:rPr>
              <w:t>iv</w:t>
            </w:r>
          </w:p>
        </w:tc>
      </w:tr>
      <w:tr>
        <w:trPr>
          <w:trHeight w:val="438" w:hRule="atLeast"/>
        </w:trPr>
        <w:tc>
          <w:tcPr>
            <w:tcW w:w="3025" w:type="dxa"/>
            <w:tcBorders>
              <w:top w:val="dashed" w:sz="8" w:space="0" w:color="000000"/>
              <w:bottom w:val="dashed" w:sz="8" w:space="0" w:color="000000"/>
            </w:tcBorders>
          </w:tcPr>
          <w:p>
            <w:pPr>
              <w:pStyle w:val="TableParagraph"/>
              <w:spacing w:line="273" w:lineRule="exact" w:before="145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TABLE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CONTENTS</w:t>
            </w:r>
          </w:p>
        </w:tc>
        <w:tc>
          <w:tcPr>
            <w:tcW w:w="4196" w:type="dxa"/>
            <w:tcBorders>
              <w:top w:val="dashed" w:sz="8" w:space="0" w:color="000000"/>
              <w:bottom w:val="dashed" w:sz="8" w:space="0" w:color="000000"/>
            </w:tcBorders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2129" w:type="dxa"/>
            <w:tcBorders>
              <w:top w:val="dashed" w:sz="8" w:space="0" w:color="000000"/>
              <w:bottom w:val="dashed" w:sz="8" w:space="0" w:color="000000"/>
            </w:tcBorders>
          </w:tcPr>
          <w:p>
            <w:pPr>
              <w:pStyle w:val="TableParagraph"/>
              <w:spacing w:line="249" w:lineRule="exact" w:before="169"/>
              <w:ind w:left="0" w:right="414"/>
              <w:jc w:val="right"/>
              <w:rPr>
                <w:sz w:val="22"/>
              </w:rPr>
            </w:pPr>
            <w:r>
              <w:rPr>
                <w:sz w:val="22"/>
              </w:rPr>
              <w:t>vi</w:t>
            </w:r>
          </w:p>
        </w:tc>
      </w:tr>
      <w:tr>
        <w:trPr>
          <w:trHeight w:val="440" w:hRule="atLeast"/>
        </w:trPr>
        <w:tc>
          <w:tcPr>
            <w:tcW w:w="3025" w:type="dxa"/>
            <w:tcBorders>
              <w:top w:val="dashed" w:sz="8" w:space="0" w:color="000000"/>
              <w:bottom w:val="dashed" w:sz="8" w:space="0" w:color="000000"/>
            </w:tcBorders>
          </w:tcPr>
          <w:p>
            <w:pPr>
              <w:pStyle w:val="TableParagraph"/>
              <w:spacing w:line="273" w:lineRule="exact" w:before="148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LIST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TABLES</w:t>
            </w:r>
          </w:p>
        </w:tc>
        <w:tc>
          <w:tcPr>
            <w:tcW w:w="4196" w:type="dxa"/>
            <w:tcBorders>
              <w:top w:val="dashed" w:sz="8" w:space="0" w:color="000000"/>
              <w:bottom w:val="dashed" w:sz="8" w:space="0" w:color="000000"/>
            </w:tcBorders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2129" w:type="dxa"/>
            <w:tcBorders>
              <w:top w:val="dashed" w:sz="8" w:space="0" w:color="000000"/>
              <w:bottom w:val="dashed" w:sz="8" w:space="0" w:color="000000"/>
            </w:tcBorders>
          </w:tcPr>
          <w:p>
            <w:pPr>
              <w:pStyle w:val="TableParagraph"/>
              <w:spacing w:line="249" w:lineRule="exact" w:before="171"/>
              <w:ind w:left="0" w:right="390"/>
              <w:jc w:val="right"/>
              <w:rPr>
                <w:sz w:val="22"/>
              </w:rPr>
            </w:pPr>
            <w:r>
              <w:rPr>
                <w:sz w:val="22"/>
              </w:rPr>
              <w:t>vii</w:t>
            </w:r>
          </w:p>
        </w:tc>
      </w:tr>
      <w:tr>
        <w:trPr>
          <w:trHeight w:val="440" w:hRule="atLeast"/>
        </w:trPr>
        <w:tc>
          <w:tcPr>
            <w:tcW w:w="3025" w:type="dxa"/>
            <w:tcBorders>
              <w:top w:val="dashed" w:sz="8" w:space="0" w:color="000000"/>
              <w:bottom w:val="dashed" w:sz="8" w:space="0" w:color="000000"/>
            </w:tcBorders>
          </w:tcPr>
          <w:p>
            <w:pPr>
              <w:pStyle w:val="TableParagraph"/>
              <w:spacing w:line="273" w:lineRule="exact" w:before="148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LIST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FIGURES</w:t>
            </w:r>
          </w:p>
        </w:tc>
        <w:tc>
          <w:tcPr>
            <w:tcW w:w="4196" w:type="dxa"/>
            <w:tcBorders>
              <w:top w:val="dashed" w:sz="8" w:space="0" w:color="000000"/>
              <w:bottom w:val="dashed" w:sz="8" w:space="0" w:color="000000"/>
            </w:tcBorders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2129" w:type="dxa"/>
            <w:tcBorders>
              <w:top w:val="dashed" w:sz="8" w:space="0" w:color="000000"/>
              <w:bottom w:val="dashed" w:sz="8" w:space="0" w:color="000000"/>
            </w:tcBorders>
          </w:tcPr>
          <w:p>
            <w:pPr>
              <w:pStyle w:val="TableParagraph"/>
              <w:spacing w:line="249" w:lineRule="exact" w:before="171"/>
              <w:ind w:left="0" w:right="368"/>
              <w:jc w:val="right"/>
              <w:rPr>
                <w:sz w:val="22"/>
              </w:rPr>
            </w:pPr>
            <w:r>
              <w:rPr>
                <w:sz w:val="22"/>
              </w:rPr>
              <w:t>viii</w:t>
            </w:r>
          </w:p>
        </w:tc>
      </w:tr>
      <w:tr>
        <w:trPr>
          <w:trHeight w:val="438" w:hRule="atLeast"/>
        </w:trPr>
        <w:tc>
          <w:tcPr>
            <w:tcW w:w="3025" w:type="dxa"/>
            <w:tcBorders>
              <w:top w:val="dashed" w:sz="8" w:space="0" w:color="000000"/>
              <w:bottom w:val="dashed" w:sz="8" w:space="0" w:color="000000"/>
            </w:tcBorders>
          </w:tcPr>
          <w:p>
            <w:pPr>
              <w:pStyle w:val="TableParagraph"/>
              <w:spacing w:line="273" w:lineRule="exact" w:before="145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ABSTRACT</w:t>
            </w:r>
          </w:p>
        </w:tc>
        <w:tc>
          <w:tcPr>
            <w:tcW w:w="4196" w:type="dxa"/>
            <w:tcBorders>
              <w:top w:val="dashed" w:sz="8" w:space="0" w:color="000000"/>
              <w:bottom w:val="dashed" w:sz="8" w:space="0" w:color="000000"/>
            </w:tcBorders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2129" w:type="dxa"/>
            <w:tcBorders>
              <w:top w:val="dashed" w:sz="8" w:space="0" w:color="000000"/>
              <w:bottom w:val="dashed" w:sz="8" w:space="0" w:color="000000"/>
            </w:tcBorders>
          </w:tcPr>
          <w:p>
            <w:pPr>
              <w:pStyle w:val="TableParagraph"/>
              <w:spacing w:line="249" w:lineRule="exact" w:before="169"/>
              <w:ind w:left="0" w:right="394"/>
              <w:jc w:val="right"/>
              <w:rPr>
                <w:sz w:val="22"/>
              </w:rPr>
            </w:pPr>
            <w:r>
              <w:rPr>
                <w:sz w:val="22"/>
              </w:rPr>
              <w:t>xii</w:t>
            </w:r>
          </w:p>
        </w:tc>
      </w:tr>
      <w:tr>
        <w:trPr>
          <w:trHeight w:val="440" w:hRule="atLeast"/>
        </w:trPr>
        <w:tc>
          <w:tcPr>
            <w:tcW w:w="3025" w:type="dxa"/>
            <w:tcBorders>
              <w:top w:val="dashed" w:sz="8" w:space="0" w:color="000000"/>
              <w:bottom w:val="dashed" w:sz="8" w:space="0" w:color="000000"/>
            </w:tcBorders>
          </w:tcPr>
          <w:p>
            <w:pPr>
              <w:pStyle w:val="TableParagraph"/>
              <w:spacing w:line="273" w:lineRule="exact" w:before="148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CHAPTER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I</w:t>
            </w:r>
          </w:p>
        </w:tc>
        <w:tc>
          <w:tcPr>
            <w:tcW w:w="4196" w:type="dxa"/>
            <w:tcBorders>
              <w:top w:val="dashed" w:sz="8" w:space="0" w:color="000000"/>
              <w:bottom w:val="dashed" w:sz="8" w:space="0" w:color="000000"/>
            </w:tcBorders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2129" w:type="dxa"/>
            <w:tcBorders>
              <w:top w:val="dashed" w:sz="8" w:space="0" w:color="000000"/>
              <w:bottom w:val="dashed" w:sz="8" w:space="0" w:color="000000"/>
            </w:tcBorders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402" w:hRule="atLeast"/>
        </w:trPr>
        <w:tc>
          <w:tcPr>
            <w:tcW w:w="3025" w:type="dxa"/>
            <w:tcBorders>
              <w:top w:val="dashed" w:sz="8" w:space="0" w:color="000000"/>
              <w:bottom w:val="dashed" w:sz="8" w:space="0" w:color="000000"/>
            </w:tcBorders>
          </w:tcPr>
          <w:p>
            <w:pPr>
              <w:pStyle w:val="TableParagraph"/>
              <w:spacing w:line="273" w:lineRule="exact" w:before="109"/>
              <w:ind w:left="827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1.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Introduction</w:t>
            </w:r>
          </w:p>
        </w:tc>
        <w:tc>
          <w:tcPr>
            <w:tcW w:w="4196" w:type="dxa"/>
            <w:tcBorders>
              <w:top w:val="dashed" w:sz="8" w:space="0" w:color="000000"/>
              <w:bottom w:val="dashed" w:sz="8" w:space="0" w:color="000000"/>
            </w:tcBorders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2129" w:type="dxa"/>
            <w:tcBorders>
              <w:top w:val="dashed" w:sz="8" w:space="0" w:color="000000"/>
              <w:bottom w:val="dashed" w:sz="8" w:space="0" w:color="000000"/>
            </w:tcBorders>
          </w:tcPr>
          <w:p>
            <w:pPr>
              <w:pStyle w:val="TableParagraph"/>
              <w:spacing w:line="249" w:lineRule="exact" w:before="133"/>
              <w:ind w:left="0" w:right="435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</w:tbl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3"/>
            <w:numPr>
              <w:ilvl w:val="1"/>
              <w:numId w:val="1"/>
            </w:numPr>
            <w:tabs>
              <w:tab w:pos="2026" w:val="left" w:leader="none"/>
              <w:tab w:pos="9032" w:val="right" w:leader="none"/>
            </w:tabs>
            <w:spacing w:line="240" w:lineRule="auto" w:before="18" w:after="0"/>
            <w:ind w:left="2025" w:right="0" w:hanging="359"/>
            <w:jc w:val="left"/>
            <w:rPr>
              <w:i w:val="0"/>
              <w:sz w:val="22"/>
            </w:rPr>
          </w:pPr>
          <w:r>
            <w:rPr/>
            <w:pict>
              <v:rect style="position:absolute;margin-left:72pt;margin-top:15.325758pt;width:.959999pt;height:.959999pt;mso-position-horizontal-relative:page;mso-position-vertical-relative:paragraph;z-index:15730176" id="docshape6" filled="true" fillcolor="#000000" stroked="false">
                <v:fill type="solid"/>
                <w10:wrap type="none"/>
              </v:rect>
            </w:pict>
          </w:r>
          <w:r>
            <w:rPr/>
            <w:pict>
              <v:line style="position:absolute;mso-position-horizontal-relative:page;mso-position-vertical-relative:paragraph;z-index:15730688" from="76.800003pt,15.805766pt" to="533.76001pt,15.805766pt" stroked="true" strokeweight=".959999pt" strokecolor="#000000">
                <v:stroke dashstyle="dash"/>
                <w10:wrap type="none"/>
              </v:line>
            </w:pict>
          </w:r>
          <w:r>
            <w:rPr/>
            <w:pict>
              <v:rect style="position:absolute;margin-left:537.600037pt;margin-top:15.325767pt;width:1.919998pt;height:.959999pt;mso-position-horizontal-relative:page;mso-position-vertical-relative:paragraph;z-index:15731200" id="docshape7" filled="true" fillcolor="#000000" stroked="false">
                <v:fill type="solid"/>
                <w10:wrap type="none"/>
              </v:rect>
            </w:pict>
          </w:r>
          <w:r>
            <w:rPr>
              <w:i/>
            </w:rPr>
            <w:t>Geological</w:t>
          </w:r>
          <w:r>
            <w:rPr>
              <w:i/>
              <w:spacing w:val="-2"/>
            </w:rPr>
            <w:t> </w:t>
          </w:r>
          <w:r>
            <w:rPr>
              <w:i/>
            </w:rPr>
            <w:t>Context</w:t>
          </w:r>
          <w:r>
            <w:rPr>
              <w:i/>
              <w:spacing w:val="3"/>
            </w:rPr>
            <w:t> </w:t>
          </w:r>
          <w:r>
            <w:rPr>
              <w:i/>
            </w:rPr>
            <w:t>and</w:t>
          </w:r>
          <w:r>
            <w:rPr>
              <w:i/>
              <w:spacing w:val="-2"/>
            </w:rPr>
            <w:t> </w:t>
          </w:r>
          <w:r>
            <w:rPr>
              <w:i/>
            </w:rPr>
            <w:t>the</w:t>
          </w:r>
          <w:r>
            <w:rPr>
              <w:i/>
              <w:spacing w:val="3"/>
            </w:rPr>
            <w:t> </w:t>
          </w:r>
          <w:r>
            <w:rPr>
              <w:i/>
            </w:rPr>
            <w:t>Woodford</w:t>
          </w:r>
          <w:r>
            <w:rPr>
              <w:i/>
              <w:spacing w:val="-3"/>
            </w:rPr>
            <w:t> </w:t>
          </w:r>
          <w:r>
            <w:rPr>
              <w:i/>
            </w:rPr>
            <w:t>Shale</w:t>
          </w:r>
          <w:r>
            <w:rPr>
              <w:rFonts w:ascii="Times New Roman"/>
              <w:i/>
            </w:rPr>
            <w:tab/>
          </w:r>
          <w:r>
            <w:rPr>
              <w:i w:val="0"/>
              <w:sz w:val="22"/>
            </w:rPr>
            <w:t>2</w:t>
          </w:r>
        </w:p>
        <w:p>
          <w:pPr>
            <w:pStyle w:val="TOC3"/>
            <w:numPr>
              <w:ilvl w:val="1"/>
              <w:numId w:val="1"/>
            </w:numPr>
            <w:tabs>
              <w:tab w:pos="2026" w:val="left" w:leader="none"/>
              <w:tab w:pos="9032" w:val="right" w:leader="none"/>
            </w:tabs>
            <w:spacing w:line="240" w:lineRule="auto" w:before="19" w:after="0"/>
            <w:ind w:left="2025" w:right="0" w:hanging="359"/>
            <w:jc w:val="left"/>
            <w:rPr>
              <w:i w:val="0"/>
              <w:sz w:val="22"/>
            </w:rPr>
          </w:pPr>
          <w:r>
            <w:rPr/>
            <w:pict>
              <v:rect style="position:absolute;margin-left:72pt;margin-top:15.375796pt;width:.959999pt;height:.959999pt;mso-position-horizontal-relative:page;mso-position-vertical-relative:paragraph;z-index:15731712" id="docshape8" filled="true" fillcolor="#000000" stroked="false">
                <v:fill type="solid"/>
                <w10:wrap type="none"/>
              </v:rect>
            </w:pict>
          </w:r>
          <w:r>
            <w:rPr/>
            <w:pict>
              <v:line style="position:absolute;mso-position-horizontal-relative:page;mso-position-vertical-relative:paragraph;z-index:15732224" from="76.800003pt,15.855804pt" to="533.76001pt,15.855804pt" stroked="true" strokeweight=".959999pt" strokecolor="#000000">
                <v:stroke dashstyle="dash"/>
                <w10:wrap type="none"/>
              </v:line>
            </w:pict>
          </w:r>
          <w:r>
            <w:rPr/>
            <w:pict>
              <v:rect style="position:absolute;margin-left:537.600037pt;margin-top:15.375805pt;width:1.919998pt;height:.959999pt;mso-position-horizontal-relative:page;mso-position-vertical-relative:paragraph;z-index:15732736" id="docshape9" filled="true" fillcolor="#000000" stroked="false">
                <v:fill type="solid"/>
                <w10:wrap type="none"/>
              </v:rect>
            </w:pict>
          </w:r>
          <w:r>
            <w:rPr>
              <w:i/>
            </w:rPr>
            <w:t>Sequence</w:t>
          </w:r>
          <w:r>
            <w:rPr>
              <w:i/>
              <w:spacing w:val="1"/>
            </w:rPr>
            <w:t> </w:t>
          </w:r>
          <w:r>
            <w:rPr>
              <w:i/>
            </w:rPr>
            <w:t>Stratigraphy</w:t>
          </w:r>
          <w:r>
            <w:rPr>
              <w:rFonts w:ascii="Times New Roman"/>
              <w:i/>
            </w:rPr>
            <w:tab/>
          </w:r>
          <w:r>
            <w:rPr>
              <w:i w:val="0"/>
              <w:sz w:val="22"/>
            </w:rPr>
            <w:t>8</w:t>
          </w:r>
        </w:p>
        <w:p>
          <w:pPr>
            <w:pStyle w:val="TOC3"/>
            <w:numPr>
              <w:ilvl w:val="1"/>
              <w:numId w:val="1"/>
            </w:numPr>
            <w:tabs>
              <w:tab w:pos="2026" w:val="left" w:leader="none"/>
              <w:tab w:pos="9086" w:val="right" w:leader="none"/>
            </w:tabs>
            <w:spacing w:line="240" w:lineRule="auto" w:before="11" w:after="0"/>
            <w:ind w:left="2025" w:right="0" w:hanging="359"/>
            <w:jc w:val="left"/>
            <w:rPr>
              <w:i w:val="0"/>
              <w:sz w:val="22"/>
            </w:rPr>
          </w:pPr>
          <w:r>
            <w:rPr/>
            <w:pict>
              <v:rect style="position:absolute;margin-left:72pt;margin-top:15.475789pt;width:.959999pt;height:.959999pt;mso-position-horizontal-relative:page;mso-position-vertical-relative:paragraph;z-index:15733248" id="docshape10" filled="true" fillcolor="#000000" stroked="false">
                <v:fill type="solid"/>
                <w10:wrap type="none"/>
              </v:rect>
            </w:pict>
          </w:r>
          <w:r>
            <w:rPr/>
            <w:pict>
              <v:line style="position:absolute;mso-position-horizontal-relative:page;mso-position-vertical-relative:paragraph;z-index:15733760" from="76.800003pt,15.955797pt" to="533.76001pt,15.955797pt" stroked="true" strokeweight=".959999pt" strokecolor="#000000">
                <v:stroke dashstyle="dash"/>
                <w10:wrap type="none"/>
              </v:line>
            </w:pict>
          </w:r>
          <w:r>
            <w:rPr/>
            <w:pict>
              <v:rect style="position:absolute;margin-left:537.600037pt;margin-top:15.475798pt;width:1.919998pt;height:.959999pt;mso-position-horizontal-relative:page;mso-position-vertical-relative:paragraph;z-index:15734272" id="docshape11" filled="true" fillcolor="#000000" stroked="false">
                <v:fill type="solid"/>
                <w10:wrap type="none"/>
              </v:rect>
            </w:pict>
          </w:r>
          <w:r>
            <w:rPr>
              <w:i/>
              <w:position w:val="1"/>
            </w:rPr>
            <w:t>Mass</w:t>
          </w:r>
          <w:r>
            <w:rPr>
              <w:i/>
              <w:spacing w:val="-3"/>
              <w:position w:val="1"/>
            </w:rPr>
            <w:t> </w:t>
          </w:r>
          <w:r>
            <w:rPr>
              <w:i/>
              <w:position w:val="1"/>
            </w:rPr>
            <w:t>Extinctions</w:t>
          </w:r>
          <w:r>
            <w:rPr>
              <w:i/>
              <w:spacing w:val="1"/>
              <w:position w:val="1"/>
            </w:rPr>
            <w:t> </w:t>
          </w:r>
          <w:r>
            <w:rPr>
              <w:i/>
              <w:position w:val="1"/>
            </w:rPr>
            <w:t>and</w:t>
          </w:r>
          <w:r>
            <w:rPr>
              <w:i/>
              <w:spacing w:val="-2"/>
              <w:position w:val="1"/>
            </w:rPr>
            <w:t> </w:t>
          </w:r>
          <w:r>
            <w:rPr>
              <w:i/>
              <w:position w:val="1"/>
            </w:rPr>
            <w:t>the</w:t>
          </w:r>
          <w:r>
            <w:rPr>
              <w:i/>
              <w:spacing w:val="-2"/>
              <w:position w:val="1"/>
            </w:rPr>
            <w:t> </w:t>
          </w:r>
          <w:r>
            <w:rPr>
              <w:i/>
              <w:position w:val="1"/>
            </w:rPr>
            <w:t>Frasnian-Famennian</w:t>
          </w:r>
          <w:r>
            <w:rPr>
              <w:i/>
              <w:spacing w:val="3"/>
              <w:position w:val="1"/>
            </w:rPr>
            <w:t> </w:t>
          </w:r>
          <w:r>
            <w:rPr>
              <w:i/>
              <w:position w:val="1"/>
            </w:rPr>
            <w:t>Boundary</w:t>
          </w:r>
          <w:r>
            <w:rPr>
              <w:rFonts w:ascii="Times New Roman"/>
              <w:i/>
              <w:position w:val="1"/>
            </w:rPr>
            <w:tab/>
          </w:r>
          <w:r>
            <w:rPr>
              <w:i w:val="0"/>
              <w:sz w:val="22"/>
            </w:rPr>
            <w:t>14</w:t>
          </w:r>
        </w:p>
        <w:p>
          <w:pPr>
            <w:pStyle w:val="TOC3"/>
            <w:numPr>
              <w:ilvl w:val="1"/>
              <w:numId w:val="1"/>
            </w:numPr>
            <w:tabs>
              <w:tab w:pos="2026" w:val="left" w:leader="none"/>
              <w:tab w:pos="9086" w:val="right" w:leader="none"/>
            </w:tabs>
            <w:spacing w:line="240" w:lineRule="auto" w:before="25" w:after="0"/>
            <w:ind w:left="2025" w:right="0" w:hanging="359"/>
            <w:jc w:val="left"/>
            <w:rPr>
              <w:i w:val="0"/>
              <w:sz w:val="22"/>
            </w:rPr>
          </w:pPr>
          <w:r>
            <w:rPr/>
            <w:pict>
              <v:rect style="position:absolute;margin-left:72pt;margin-top:15.675774pt;width:.959999pt;height:.959998pt;mso-position-horizontal-relative:page;mso-position-vertical-relative:paragraph;z-index:15734784" id="docshape12" filled="true" fillcolor="#000000" stroked="false">
                <v:fill type="solid"/>
                <w10:wrap type="none"/>
              </v:rect>
            </w:pict>
          </w:r>
          <w:r>
            <w:rPr/>
            <w:pict>
              <v:line style="position:absolute;mso-position-horizontal-relative:page;mso-position-vertical-relative:paragraph;z-index:15735296" from="76.800003pt,16.155783pt" to="533.76001pt,16.155783pt" stroked="true" strokeweight=".959999pt" strokecolor="#000000">
                <v:stroke dashstyle="dash"/>
                <w10:wrap type="none"/>
              </v:line>
            </w:pict>
          </w:r>
          <w:r>
            <w:rPr/>
            <w:pict>
              <v:rect style="position:absolute;margin-left:537.600037pt;margin-top:15.675783pt;width:1.919998pt;height:.959999pt;mso-position-horizontal-relative:page;mso-position-vertical-relative:paragraph;z-index:15735808" id="docshape13" filled="true" fillcolor="#000000" stroked="false">
                <v:fill type="solid"/>
                <w10:wrap type="none"/>
              </v:rect>
            </w:pict>
          </w:r>
          <w:r>
            <w:rPr>
              <w:i/>
            </w:rPr>
            <w:t>Biomarkers</w:t>
          </w:r>
          <w:r>
            <w:rPr>
              <w:rFonts w:ascii="Times New Roman"/>
              <w:i/>
            </w:rPr>
            <w:tab/>
          </w:r>
          <w:r>
            <w:rPr>
              <w:i w:val="0"/>
              <w:sz w:val="22"/>
            </w:rPr>
            <w:t>18</w:t>
          </w:r>
        </w:p>
        <w:p>
          <w:pPr>
            <w:pStyle w:val="TOC3"/>
            <w:numPr>
              <w:ilvl w:val="1"/>
              <w:numId w:val="1"/>
            </w:numPr>
            <w:tabs>
              <w:tab w:pos="2026" w:val="left" w:leader="none"/>
              <w:tab w:pos="9086" w:val="right" w:leader="none"/>
            </w:tabs>
            <w:spacing w:line="240" w:lineRule="auto" w:before="19" w:after="0"/>
            <w:ind w:left="2025" w:right="0" w:hanging="359"/>
            <w:jc w:val="left"/>
            <w:rPr>
              <w:i w:val="0"/>
              <w:sz w:val="22"/>
            </w:rPr>
          </w:pPr>
          <w:r>
            <w:rPr/>
            <w:pict>
              <v:rect style="position:absolute;margin-left:72pt;margin-top:15.375781pt;width:.959999pt;height:.959999pt;mso-position-horizontal-relative:page;mso-position-vertical-relative:paragraph;z-index:15736320" id="docshape14" filled="true" fillcolor="#000000" stroked="false">
                <v:fill type="solid"/>
                <w10:wrap type="none"/>
              </v:rect>
            </w:pict>
          </w:r>
          <w:r>
            <w:rPr/>
            <w:pict>
              <v:line style="position:absolute;mso-position-horizontal-relative:page;mso-position-vertical-relative:paragraph;z-index:15736832" from="76.800003pt,15.855791pt" to="533.76001pt,15.855791pt" stroked="true" strokeweight=".959999pt" strokecolor="#000000">
                <v:stroke dashstyle="dash"/>
                <w10:wrap type="none"/>
              </v:line>
            </w:pict>
          </w:r>
          <w:r>
            <w:rPr/>
            <w:pict>
              <v:rect style="position:absolute;margin-left:537.600037pt;margin-top:15.375792pt;width:1.919998pt;height:.959999pt;mso-position-horizontal-relative:page;mso-position-vertical-relative:paragraph;z-index:15737344" id="docshape15" filled="true" fillcolor="#000000" stroked="false">
                <v:fill type="solid"/>
                <w10:wrap type="none"/>
              </v:rect>
            </w:pict>
          </w:r>
          <w:r>
            <w:rPr>
              <w:i/>
            </w:rPr>
            <w:t>Objectives</w:t>
          </w:r>
          <w:r>
            <w:rPr>
              <w:rFonts w:ascii="Times New Roman"/>
              <w:i/>
            </w:rPr>
            <w:tab/>
          </w:r>
          <w:r>
            <w:rPr>
              <w:i w:val="0"/>
              <w:sz w:val="22"/>
            </w:rPr>
            <w:t>24</w:t>
          </w:r>
        </w:p>
        <w:p>
          <w:pPr>
            <w:pStyle w:val="TOC1"/>
            <w:spacing w:before="199"/>
          </w:pPr>
          <w:r>
            <w:rPr/>
            <w:pict>
              <v:rect style="position:absolute;margin-left:72pt;margin-top:24.615772pt;width:.959999pt;height:.959999pt;mso-position-horizontal-relative:page;mso-position-vertical-relative:paragraph;z-index:15737856" id="docshape16" filled="true" fillcolor="#000000" stroked="false">
                <v:fill type="solid"/>
                <w10:wrap type="none"/>
              </v:rect>
            </w:pict>
          </w:r>
          <w:r>
            <w:rPr/>
            <w:pict>
              <v:line style="position:absolute;mso-position-horizontal-relative:page;mso-position-vertical-relative:paragraph;z-index:15738368" from="76.800003pt,25.095781pt" to="533.76001pt,25.095781pt" stroked="true" strokeweight=".959999pt" strokecolor="#000000">
                <v:stroke dashstyle="dash"/>
                <w10:wrap type="none"/>
              </v:line>
            </w:pict>
          </w:r>
          <w:r>
            <w:rPr/>
            <w:pict>
              <v:rect style="position:absolute;margin-left:537.600037pt;margin-top:24.615782pt;width:1.919998pt;height:.959999pt;mso-position-horizontal-relative:page;mso-position-vertical-relative:paragraph;z-index:15738880" id="docshape17" filled="true" fillcolor="#000000" stroked="false">
                <v:fill type="solid"/>
                <w10:wrap type="none"/>
              </v:rect>
            </w:pict>
          </w:r>
          <w:hyperlink w:history="true" w:anchor="_TOC_250005">
            <w:r>
              <w:rPr/>
              <w:t>CHAPTER</w:t>
            </w:r>
            <w:r>
              <w:rPr>
                <w:spacing w:val="-2"/>
              </w:rPr>
              <w:t> </w:t>
            </w:r>
            <w:r>
              <w:rPr/>
              <w:t>II</w:t>
            </w:r>
          </w:hyperlink>
        </w:p>
        <w:p>
          <w:pPr>
            <w:pStyle w:val="TOC2"/>
            <w:numPr>
              <w:ilvl w:val="0"/>
              <w:numId w:val="2"/>
            </w:numPr>
            <w:tabs>
              <w:tab w:pos="1185" w:val="left" w:leader="none"/>
              <w:tab w:pos="8863" w:val="left" w:leader="none"/>
            </w:tabs>
            <w:spacing w:line="240" w:lineRule="auto" w:before="144" w:after="0"/>
            <w:ind w:left="1184" w:right="0" w:hanging="238"/>
            <w:jc w:val="left"/>
            <w:rPr>
              <w:i w:val="0"/>
              <w:sz w:val="22"/>
            </w:rPr>
          </w:pPr>
          <w:r>
            <w:rPr/>
            <w:pict>
              <v:rect style="position:absolute;margin-left:72pt;margin-top:21.625767pt;width:.959999pt;height:.959999pt;mso-position-horizontal-relative:page;mso-position-vertical-relative:paragraph;z-index:15739392" id="docshape18" filled="true" fillcolor="#000000" stroked="false">
                <v:fill type="solid"/>
                <w10:wrap type="none"/>
              </v:rect>
            </w:pict>
          </w:r>
          <w:r>
            <w:rPr/>
            <w:pict>
              <v:line style="position:absolute;mso-position-horizontal-relative:page;mso-position-vertical-relative:paragraph;z-index:15739904" from="76.800003pt,22.105778pt" to="533.76001pt,22.105778pt" stroked="true" strokeweight=".959999pt" strokecolor="#000000">
                <v:stroke dashstyle="dash"/>
                <w10:wrap type="none"/>
              </v:line>
            </w:pict>
          </w:r>
          <w:r>
            <w:rPr/>
            <w:pict>
              <v:rect style="position:absolute;margin-left:537.600037pt;margin-top:21.625778pt;width:1.919998pt;height:.959999pt;mso-position-horizontal-relative:page;mso-position-vertical-relative:paragraph;z-index:15740416" id="docshape19" filled="true" fillcolor="#000000" stroked="false">
                <v:fill type="solid"/>
                <w10:wrap type="none"/>
              </v:rect>
            </w:pict>
          </w:r>
          <w:hyperlink w:history="true" w:anchor="_TOC_250004">
            <w:r>
              <w:rPr>
                <w:i/>
              </w:rPr>
              <w:t>Methods</w:t>
            </w:r>
            <w:r>
              <w:rPr>
                <w:rFonts w:ascii="Times New Roman"/>
                <w:i/>
              </w:rPr>
              <w:tab/>
            </w:r>
            <w:r>
              <w:rPr>
                <w:i w:val="0"/>
                <w:sz w:val="22"/>
              </w:rPr>
              <w:t>27</w:t>
            </w:r>
          </w:hyperlink>
        </w:p>
        <w:p>
          <w:pPr>
            <w:pStyle w:val="TOC3"/>
            <w:numPr>
              <w:ilvl w:val="1"/>
              <w:numId w:val="2"/>
            </w:numPr>
            <w:tabs>
              <w:tab w:pos="2026" w:val="left" w:leader="none"/>
              <w:tab w:pos="8863" w:val="left" w:leader="none"/>
            </w:tabs>
            <w:spacing w:line="240" w:lineRule="auto" w:before="19" w:after="0"/>
            <w:ind w:left="2025" w:right="0" w:hanging="359"/>
            <w:jc w:val="left"/>
            <w:rPr>
              <w:i w:val="0"/>
              <w:sz w:val="22"/>
            </w:rPr>
          </w:pPr>
          <w:r>
            <w:rPr/>
            <w:pict>
              <v:rect style="position:absolute;margin-left:72pt;margin-top:15.375782pt;width:.959999pt;height:.960022pt;mso-position-horizontal-relative:page;mso-position-vertical-relative:paragraph;z-index:15740928" id="docshape20" filled="true" fillcolor="#000000" stroked="false">
                <v:fill type="solid"/>
                <w10:wrap type="none"/>
              </v:rect>
            </w:pict>
          </w:r>
          <w:r>
            <w:rPr/>
            <w:pict>
              <v:line style="position:absolute;mso-position-horizontal-relative:page;mso-position-vertical-relative:paragraph;z-index:15741440" from="76.800003pt,15.855804pt" to="533.76001pt,15.855804pt" stroked="true" strokeweight=".960022pt" strokecolor="#000000">
                <v:stroke dashstyle="dash"/>
                <w10:wrap type="none"/>
              </v:line>
            </w:pict>
          </w:r>
          <w:r>
            <w:rPr/>
            <w:pict>
              <v:rect style="position:absolute;margin-left:537.600037pt;margin-top:15.375793pt;width:1.919998pt;height:.960022pt;mso-position-horizontal-relative:page;mso-position-vertical-relative:paragraph;z-index:15741952" id="docshape21" filled="true" fillcolor="#000000" stroked="false">
                <v:fill type="solid"/>
                <w10:wrap type="none"/>
              </v:rect>
            </w:pict>
          </w:r>
          <w:r>
            <w:rPr>
              <w:i/>
            </w:rPr>
            <w:t>Area</w:t>
          </w:r>
          <w:r>
            <w:rPr>
              <w:i/>
              <w:spacing w:val="-4"/>
            </w:rPr>
            <w:t> </w:t>
          </w:r>
          <w:r>
            <w:rPr>
              <w:i/>
            </w:rPr>
            <w:t>of</w:t>
          </w:r>
          <w:r>
            <w:rPr>
              <w:i/>
              <w:spacing w:val="2"/>
            </w:rPr>
            <w:t> </w:t>
          </w:r>
          <w:r>
            <w:rPr>
              <w:i/>
            </w:rPr>
            <w:t>Study</w:t>
          </w:r>
          <w:r>
            <w:rPr>
              <w:rFonts w:ascii="Times New Roman"/>
              <w:i/>
            </w:rPr>
            <w:tab/>
          </w:r>
          <w:r>
            <w:rPr>
              <w:i w:val="0"/>
              <w:sz w:val="22"/>
            </w:rPr>
            <w:t>27</w:t>
          </w:r>
        </w:p>
        <w:p>
          <w:pPr>
            <w:pStyle w:val="TOC3"/>
            <w:numPr>
              <w:ilvl w:val="1"/>
              <w:numId w:val="2"/>
            </w:numPr>
            <w:tabs>
              <w:tab w:pos="2026" w:val="left" w:leader="none"/>
              <w:tab w:pos="8863" w:val="left" w:leader="none"/>
            </w:tabs>
            <w:spacing w:line="240" w:lineRule="auto" w:before="21" w:after="0"/>
            <w:ind w:left="2025" w:right="0" w:hanging="359"/>
            <w:jc w:val="left"/>
            <w:rPr>
              <w:i w:val="0"/>
              <w:sz w:val="22"/>
            </w:rPr>
          </w:pPr>
          <w:r>
            <w:rPr/>
            <w:pict>
              <v:rect style="position:absolute;margin-left:72pt;margin-top:15.475766pt;width:.959999pt;height:.960022pt;mso-position-horizontal-relative:page;mso-position-vertical-relative:paragraph;z-index:15742464" id="docshape22" filled="true" fillcolor="#000000" stroked="false">
                <v:fill type="solid"/>
                <w10:wrap type="none"/>
              </v:rect>
            </w:pict>
          </w:r>
          <w:r>
            <w:rPr/>
            <w:pict>
              <v:line style="position:absolute;mso-position-horizontal-relative:page;mso-position-vertical-relative:paragraph;z-index:15742976" from="76.800003pt,15.95579pt" to="533.76001pt,15.95579pt" stroked="true" strokeweight=".960022pt" strokecolor="#000000">
                <v:stroke dashstyle="dash"/>
                <w10:wrap type="none"/>
              </v:line>
            </w:pict>
          </w:r>
          <w:r>
            <w:rPr/>
            <w:pict>
              <v:rect style="position:absolute;margin-left:537.600037pt;margin-top:15.475779pt;width:1.919998pt;height:.960022pt;mso-position-horizontal-relative:page;mso-position-vertical-relative:paragraph;z-index:15743488" id="docshape23" filled="true" fillcolor="#000000" stroked="false">
                <v:fill type="solid"/>
                <w10:wrap type="none"/>
              </v:rect>
            </w:pict>
          </w:r>
          <w:r>
            <w:rPr>
              <w:i/>
            </w:rPr>
            <w:t>Experimental</w:t>
          </w:r>
          <w:r>
            <w:rPr>
              <w:i/>
              <w:spacing w:val="-3"/>
            </w:rPr>
            <w:t> </w:t>
          </w:r>
          <w:r>
            <w:rPr>
              <w:i/>
            </w:rPr>
            <w:t>Procedure</w:t>
          </w:r>
          <w:r>
            <w:rPr>
              <w:rFonts w:ascii="Times New Roman"/>
              <w:i/>
            </w:rPr>
            <w:tab/>
          </w:r>
          <w:r>
            <w:rPr>
              <w:i w:val="0"/>
              <w:sz w:val="22"/>
            </w:rPr>
            <w:t>29</w:t>
          </w:r>
        </w:p>
        <w:p>
          <w:pPr>
            <w:pStyle w:val="TOC5"/>
            <w:numPr>
              <w:ilvl w:val="2"/>
              <w:numId w:val="2"/>
            </w:numPr>
            <w:tabs>
              <w:tab w:pos="2931" w:val="left" w:leader="none"/>
              <w:tab w:pos="8863" w:val="left" w:leader="none"/>
            </w:tabs>
            <w:spacing w:line="240" w:lineRule="auto" w:before="19" w:after="0"/>
            <w:ind w:left="2930" w:right="0" w:hanging="544"/>
            <w:jc w:val="left"/>
            <w:rPr>
              <w:i w:val="0"/>
              <w:sz w:val="22"/>
            </w:rPr>
          </w:pPr>
          <w:r>
            <w:rPr/>
            <w:pict>
              <v:rect style="position:absolute;margin-left:72pt;margin-top:15.375781pt;width:.959999pt;height:.960022pt;mso-position-horizontal-relative:page;mso-position-vertical-relative:paragraph;z-index:15744000" id="docshape24" filled="true" fillcolor="#000000" stroked="false">
                <v:fill type="solid"/>
                <w10:wrap type="none"/>
              </v:rect>
            </w:pict>
          </w:r>
          <w:r>
            <w:rPr/>
            <w:pict>
              <v:line style="position:absolute;mso-position-horizontal-relative:page;mso-position-vertical-relative:paragraph;z-index:15744512" from="76.800003pt,15.855805pt" to="533.76001pt,15.855805pt" stroked="true" strokeweight=".960023pt" strokecolor="#000000">
                <v:stroke dashstyle="dash"/>
                <w10:wrap type="none"/>
              </v:line>
            </w:pict>
          </w:r>
          <w:r>
            <w:rPr/>
            <w:pict>
              <v:rect style="position:absolute;margin-left:537.600037pt;margin-top:15.375793pt;width:1.919998pt;height:.960023pt;mso-position-horizontal-relative:page;mso-position-vertical-relative:paragraph;z-index:15745024" id="docshape25" filled="true" fillcolor="#000000" stroked="false">
                <v:fill type="solid"/>
                <w10:wrap type="none"/>
              </v:rect>
            </w:pict>
          </w:r>
          <w:r>
            <w:rPr>
              <w:i/>
            </w:rPr>
            <w:t>Initial</w:t>
          </w:r>
          <w:r>
            <w:rPr>
              <w:i/>
              <w:spacing w:val="-3"/>
            </w:rPr>
            <w:t> </w:t>
          </w:r>
          <w:r>
            <w:rPr>
              <w:i/>
            </w:rPr>
            <w:t>Sample</w:t>
          </w:r>
          <w:r>
            <w:rPr>
              <w:i/>
              <w:spacing w:val="-3"/>
            </w:rPr>
            <w:t> </w:t>
          </w:r>
          <w:r>
            <w:rPr>
              <w:i/>
            </w:rPr>
            <w:t>Preparation</w:t>
          </w:r>
          <w:r>
            <w:rPr>
              <w:rFonts w:ascii="Times New Roman"/>
              <w:i/>
            </w:rPr>
            <w:tab/>
          </w:r>
          <w:r>
            <w:rPr>
              <w:i w:val="0"/>
              <w:sz w:val="22"/>
            </w:rPr>
            <w:t>29</w:t>
          </w:r>
        </w:p>
        <w:p>
          <w:pPr>
            <w:pStyle w:val="TOC5"/>
            <w:numPr>
              <w:ilvl w:val="2"/>
              <w:numId w:val="2"/>
            </w:numPr>
            <w:tabs>
              <w:tab w:pos="2931" w:val="left" w:leader="none"/>
              <w:tab w:pos="8863" w:val="left" w:leader="none"/>
            </w:tabs>
            <w:spacing w:line="240" w:lineRule="auto" w:before="22" w:after="0"/>
            <w:ind w:left="2930" w:right="0" w:hanging="544"/>
            <w:jc w:val="left"/>
            <w:rPr>
              <w:i w:val="0"/>
              <w:sz w:val="22"/>
            </w:rPr>
          </w:pPr>
          <w:r>
            <w:rPr/>
            <w:pict>
              <v:rect style="position:absolute;margin-left:72pt;margin-top:15.525796pt;width:.959999pt;height:.959977pt;mso-position-horizontal-relative:page;mso-position-vertical-relative:paragraph;z-index:15745536" id="docshape26" filled="true" fillcolor="#000000" stroked="false">
                <v:fill type="solid"/>
                <w10:wrap type="none"/>
              </v:rect>
            </w:pict>
          </w:r>
          <w:r>
            <w:rPr/>
            <w:pict>
              <v:line style="position:absolute;mso-position-horizontal-relative:page;mso-position-vertical-relative:paragraph;z-index:15746048" from="76.800003pt,16.005798pt" to="533.76001pt,16.005798pt" stroked="true" strokeweight=".959977pt" strokecolor="#000000">
                <v:stroke dashstyle="dash"/>
                <w10:wrap type="none"/>
              </v:line>
            </w:pict>
          </w:r>
          <w:r>
            <w:rPr/>
            <w:pict>
              <v:rect style="position:absolute;margin-left:537.600037pt;margin-top:15.525809pt;width:1.919998pt;height:.959977pt;mso-position-horizontal-relative:page;mso-position-vertical-relative:paragraph;z-index:15746560" id="docshape27" filled="true" fillcolor="#000000" stroked="false">
                <v:fill type="solid"/>
                <w10:wrap type="none"/>
              </v:rect>
            </w:pict>
          </w:r>
          <w:r>
            <w:rPr>
              <w:i/>
            </w:rPr>
            <w:t>Rock</w:t>
          </w:r>
          <w:r>
            <w:rPr>
              <w:i/>
              <w:spacing w:val="-4"/>
            </w:rPr>
            <w:t> </w:t>
          </w:r>
          <w:r>
            <w:rPr>
              <w:i/>
            </w:rPr>
            <w:t>Eval</w:t>
          </w:r>
          <w:r>
            <w:rPr>
              <w:i/>
              <w:spacing w:val="-3"/>
            </w:rPr>
            <w:t> </w:t>
          </w:r>
          <w:r>
            <w:rPr>
              <w:i/>
            </w:rPr>
            <w:t>Total</w:t>
          </w:r>
          <w:r>
            <w:rPr>
              <w:i/>
              <w:spacing w:val="-1"/>
            </w:rPr>
            <w:t> </w:t>
          </w:r>
          <w:r>
            <w:rPr>
              <w:i/>
            </w:rPr>
            <w:t>Organic</w:t>
          </w:r>
          <w:r>
            <w:rPr>
              <w:i/>
              <w:spacing w:val="1"/>
            </w:rPr>
            <w:t> </w:t>
          </w:r>
          <w:r>
            <w:rPr>
              <w:i/>
            </w:rPr>
            <w:t>Carbon</w:t>
          </w:r>
          <w:r>
            <w:rPr>
              <w:rFonts w:ascii="Times New Roman"/>
              <w:i/>
            </w:rPr>
            <w:tab/>
          </w:r>
          <w:r>
            <w:rPr>
              <w:i w:val="0"/>
              <w:sz w:val="22"/>
            </w:rPr>
            <w:t>30</w:t>
          </w:r>
        </w:p>
        <w:p>
          <w:pPr>
            <w:pStyle w:val="TOC5"/>
            <w:numPr>
              <w:ilvl w:val="2"/>
              <w:numId w:val="2"/>
            </w:numPr>
            <w:tabs>
              <w:tab w:pos="2931" w:val="left" w:leader="none"/>
              <w:tab w:pos="8863" w:val="left" w:leader="none"/>
            </w:tabs>
            <w:spacing w:line="240" w:lineRule="auto" w:before="19" w:after="0"/>
            <w:ind w:left="2930" w:right="0" w:hanging="544"/>
            <w:jc w:val="left"/>
            <w:rPr>
              <w:i w:val="0"/>
              <w:sz w:val="22"/>
            </w:rPr>
          </w:pPr>
          <w:r>
            <w:rPr/>
            <w:pict>
              <v:rect style="position:absolute;margin-left:72pt;margin-top:15.375781pt;width:.959999pt;height:.960022pt;mso-position-horizontal-relative:page;mso-position-vertical-relative:paragraph;z-index:15747072" id="docshape28" filled="true" fillcolor="#000000" stroked="false">
                <v:fill type="solid"/>
                <w10:wrap type="none"/>
              </v:rect>
            </w:pict>
          </w:r>
          <w:r>
            <w:rPr/>
            <w:pict>
              <v:line style="position:absolute;mso-position-horizontal-relative:page;mso-position-vertical-relative:paragraph;z-index:15747584" from="76.800003pt,15.855805pt" to="533.76001pt,15.855805pt" stroked="true" strokeweight=".960022pt" strokecolor="#000000">
                <v:stroke dashstyle="dash"/>
                <w10:wrap type="none"/>
              </v:line>
            </w:pict>
          </w:r>
          <w:r>
            <w:rPr/>
            <w:pict>
              <v:rect style="position:absolute;margin-left:537.600037pt;margin-top:15.375794pt;width:1.919998pt;height:.960022pt;mso-position-horizontal-relative:page;mso-position-vertical-relative:paragraph;z-index:15748096" id="docshape29" filled="true" fillcolor="#000000" stroked="false">
                <v:fill type="solid"/>
                <w10:wrap type="none"/>
              </v:rect>
            </w:pict>
          </w:r>
          <w:r>
            <w:rPr>
              <w:i/>
            </w:rPr>
            <w:t>Extraction</w:t>
          </w:r>
          <w:r>
            <w:rPr>
              <w:i/>
              <w:spacing w:val="-4"/>
            </w:rPr>
            <w:t> </w:t>
          </w:r>
          <w:r>
            <w:rPr>
              <w:i/>
            </w:rPr>
            <w:t>of</w:t>
          </w:r>
          <w:r>
            <w:rPr>
              <w:i/>
              <w:spacing w:val="-3"/>
            </w:rPr>
            <w:t> </w:t>
          </w:r>
          <w:r>
            <w:rPr>
              <w:i/>
            </w:rPr>
            <w:t>Soluble</w:t>
          </w:r>
          <w:r>
            <w:rPr>
              <w:i/>
              <w:spacing w:val="-2"/>
            </w:rPr>
            <w:t> </w:t>
          </w:r>
          <w:r>
            <w:rPr>
              <w:i/>
            </w:rPr>
            <w:t>Organic</w:t>
          </w:r>
          <w:r>
            <w:rPr>
              <w:i/>
              <w:spacing w:val="2"/>
            </w:rPr>
            <w:t> </w:t>
          </w:r>
          <w:r>
            <w:rPr>
              <w:i/>
            </w:rPr>
            <w:t>Matter</w:t>
          </w:r>
          <w:r>
            <w:rPr>
              <w:rFonts w:ascii="Times New Roman"/>
              <w:i/>
            </w:rPr>
            <w:tab/>
          </w:r>
          <w:r>
            <w:rPr>
              <w:i w:val="0"/>
              <w:sz w:val="22"/>
            </w:rPr>
            <w:t>30</w:t>
          </w:r>
        </w:p>
        <w:p>
          <w:pPr>
            <w:pStyle w:val="TOC5"/>
            <w:numPr>
              <w:ilvl w:val="2"/>
              <w:numId w:val="2"/>
            </w:numPr>
            <w:tabs>
              <w:tab w:pos="2931" w:val="left" w:leader="none"/>
            </w:tabs>
            <w:spacing w:line="240" w:lineRule="auto" w:before="14" w:after="0"/>
            <w:ind w:left="2930" w:right="0" w:hanging="544"/>
            <w:jc w:val="left"/>
            <w:rPr>
              <w:i/>
            </w:rPr>
          </w:pPr>
          <w:r>
            <w:rPr>
              <w:i/>
            </w:rPr>
            <w:t>Liquid</w:t>
          </w:r>
          <w:r>
            <w:rPr>
              <w:i/>
              <w:spacing w:val="-5"/>
            </w:rPr>
            <w:t> </w:t>
          </w:r>
          <w:r>
            <w:rPr>
              <w:i/>
            </w:rPr>
            <w:t>Chromatography</w:t>
          </w:r>
          <w:r>
            <w:rPr>
              <w:i/>
              <w:spacing w:val="1"/>
            </w:rPr>
            <w:t> </w:t>
          </w:r>
          <w:r>
            <w:rPr>
              <w:i/>
            </w:rPr>
            <w:t>Quadrupole</w:t>
          </w:r>
          <w:r>
            <w:rPr>
              <w:i/>
              <w:spacing w:val="-4"/>
            </w:rPr>
            <w:t> </w:t>
          </w:r>
          <w:r>
            <w:rPr>
              <w:i/>
            </w:rPr>
            <w:t>Time-of-Flight</w:t>
          </w:r>
        </w:p>
        <w:p>
          <w:pPr>
            <w:pStyle w:val="TOC5"/>
            <w:tabs>
              <w:tab w:pos="8863" w:val="left" w:leader="none"/>
            </w:tabs>
            <w:spacing w:before="5"/>
            <w:ind w:left="2387" w:firstLine="0"/>
            <w:rPr>
              <w:i w:val="0"/>
              <w:sz w:val="22"/>
            </w:rPr>
          </w:pPr>
          <w:r>
            <w:rPr/>
            <w:pict>
              <v:rect style="position:absolute;margin-left:72pt;margin-top:14.675797pt;width:.959999pt;height:.959977pt;mso-position-horizontal-relative:page;mso-position-vertical-relative:paragraph;z-index:15748608" id="docshape30" filled="true" fillcolor="#000000" stroked="false">
                <v:fill type="solid"/>
                <w10:wrap type="none"/>
              </v:rect>
            </w:pict>
          </w:r>
          <w:r>
            <w:rPr/>
            <w:pict>
              <v:line style="position:absolute;mso-position-horizontal-relative:page;mso-position-vertical-relative:paragraph;z-index:15749120" from="76.800003pt,15.155799pt" to="533.76001pt,15.155799pt" stroked="true" strokeweight=".959977pt" strokecolor="#000000">
                <v:stroke dashstyle="dash"/>
                <w10:wrap type="none"/>
              </v:line>
            </w:pict>
          </w:r>
          <w:r>
            <w:rPr/>
            <w:pict>
              <v:rect style="position:absolute;margin-left:537.600037pt;margin-top:14.675811pt;width:1.919998pt;height:.959977pt;mso-position-horizontal-relative:page;mso-position-vertical-relative:paragraph;z-index:15749632" id="docshape31" filled="true" fillcolor="#000000" stroked="false">
                <v:fill type="solid"/>
                <w10:wrap type="none"/>
              </v:rect>
            </w:pict>
          </w:r>
          <w:r>
            <w:rPr>
              <w:i/>
            </w:rPr>
            <w:t>Mass</w:t>
          </w:r>
          <w:r>
            <w:rPr>
              <w:i/>
              <w:spacing w:val="-2"/>
            </w:rPr>
            <w:t> </w:t>
          </w:r>
          <w:r>
            <w:rPr>
              <w:i/>
            </w:rPr>
            <w:t>Spectrometry</w:t>
          </w:r>
          <w:r>
            <w:rPr>
              <w:i/>
              <w:spacing w:val="-3"/>
            </w:rPr>
            <w:t> </w:t>
          </w:r>
          <w:r>
            <w:rPr>
              <w:i/>
            </w:rPr>
            <w:t>(LC-qTOF-MS)</w:t>
          </w:r>
          <w:r>
            <w:rPr>
              <w:rFonts w:ascii="Times New Roman"/>
              <w:i/>
            </w:rPr>
            <w:tab/>
          </w:r>
          <w:r>
            <w:rPr>
              <w:i w:val="0"/>
              <w:sz w:val="22"/>
            </w:rPr>
            <w:t>32</w:t>
          </w:r>
        </w:p>
        <w:p>
          <w:pPr>
            <w:pStyle w:val="TOC5"/>
            <w:numPr>
              <w:ilvl w:val="2"/>
              <w:numId w:val="2"/>
            </w:numPr>
            <w:tabs>
              <w:tab w:pos="2931" w:val="left" w:leader="none"/>
              <w:tab w:pos="8863" w:val="left" w:leader="none"/>
            </w:tabs>
            <w:spacing w:line="240" w:lineRule="auto" w:before="21" w:after="0"/>
            <w:ind w:left="2930" w:right="0" w:hanging="544"/>
            <w:jc w:val="left"/>
            <w:rPr>
              <w:i w:val="0"/>
              <w:sz w:val="22"/>
            </w:rPr>
          </w:pPr>
          <w:r>
            <w:rPr/>
            <w:pict>
              <v:rect style="position:absolute;margin-left:72pt;margin-top:15.47578pt;width:.959999pt;height:.959977pt;mso-position-horizontal-relative:page;mso-position-vertical-relative:paragraph;z-index:15750144" id="docshape32" filled="true" fillcolor="#000000" stroked="false">
                <v:fill type="solid"/>
                <w10:wrap type="none"/>
              </v:rect>
            </w:pict>
          </w:r>
          <w:r>
            <w:rPr/>
            <w:pict>
              <v:line style="position:absolute;mso-position-horizontal-relative:page;mso-position-vertical-relative:paragraph;z-index:15750656" from="76.800003pt,15.955784pt" to="533.76001pt,15.955784pt" stroked="true" strokeweight=".959977pt" strokecolor="#000000">
                <v:stroke dashstyle="dash"/>
                <w10:wrap type="none"/>
              </v:line>
            </w:pict>
          </w:r>
          <w:r>
            <w:rPr/>
            <w:pict>
              <v:rect style="position:absolute;margin-left:537.600037pt;margin-top:15.475796pt;width:1.919998pt;height:.959977pt;mso-position-horizontal-relative:page;mso-position-vertical-relative:paragraph;z-index:15751168" id="docshape33" filled="true" fillcolor="#000000" stroked="false">
                <v:fill type="solid"/>
                <w10:wrap type="none"/>
              </v:rect>
            </w:pict>
          </w:r>
          <w:r>
            <w:rPr>
              <w:i/>
            </w:rPr>
            <w:t>Biomarker</w:t>
          </w:r>
          <w:r>
            <w:rPr>
              <w:i/>
              <w:spacing w:val="-3"/>
            </w:rPr>
            <w:t> </w:t>
          </w:r>
          <w:r>
            <w:rPr>
              <w:i/>
            </w:rPr>
            <w:t>Detection</w:t>
          </w:r>
          <w:r>
            <w:rPr>
              <w:i/>
              <w:spacing w:val="-3"/>
            </w:rPr>
            <w:t> </w:t>
          </w:r>
          <w:r>
            <w:rPr>
              <w:i/>
            </w:rPr>
            <w:t>and</w:t>
          </w:r>
          <w:r>
            <w:rPr>
              <w:i/>
              <w:spacing w:val="-3"/>
            </w:rPr>
            <w:t> </w:t>
          </w:r>
          <w:r>
            <w:rPr>
              <w:i/>
            </w:rPr>
            <w:t>Quantification</w:t>
          </w:r>
          <w:r>
            <w:rPr>
              <w:rFonts w:ascii="Times New Roman"/>
              <w:i/>
            </w:rPr>
            <w:tab/>
          </w:r>
          <w:r>
            <w:rPr>
              <w:i w:val="0"/>
              <w:sz w:val="22"/>
            </w:rPr>
            <w:t>33</w:t>
          </w:r>
        </w:p>
        <w:p>
          <w:pPr>
            <w:pStyle w:val="TOC5"/>
            <w:numPr>
              <w:ilvl w:val="2"/>
              <w:numId w:val="2"/>
            </w:numPr>
            <w:tabs>
              <w:tab w:pos="2931" w:val="left" w:leader="none"/>
              <w:tab w:pos="8863" w:val="left" w:leader="none"/>
            </w:tabs>
            <w:spacing w:line="240" w:lineRule="auto" w:before="19" w:after="0"/>
            <w:ind w:left="2930" w:right="0" w:hanging="544"/>
            <w:jc w:val="left"/>
            <w:rPr>
              <w:i w:val="0"/>
              <w:sz w:val="22"/>
            </w:rPr>
          </w:pPr>
          <w:r>
            <w:rPr/>
            <w:pict>
              <v:rect style="position:absolute;margin-left:72pt;margin-top:15.375796pt;width:.959999pt;height:.959976pt;mso-position-horizontal-relative:page;mso-position-vertical-relative:paragraph;z-index:15751680" id="docshape34" filled="true" fillcolor="#000000" stroked="false">
                <v:fill type="solid"/>
                <w10:wrap type="none"/>
              </v:rect>
            </w:pict>
          </w:r>
          <w:r>
            <w:rPr/>
            <w:pict>
              <v:line style="position:absolute;mso-position-horizontal-relative:page;mso-position-vertical-relative:paragraph;z-index:15752192" from="76.800003pt,15.8558pt" to="533.76001pt,15.8558pt" stroked="true" strokeweight=".959976pt" strokecolor="#000000">
                <v:stroke dashstyle="dash"/>
                <w10:wrap type="none"/>
              </v:line>
            </w:pict>
          </w:r>
          <w:r>
            <w:rPr/>
            <w:pict>
              <v:rect style="position:absolute;margin-left:537.600037pt;margin-top:15.375812pt;width:1.919998pt;height:.959976pt;mso-position-horizontal-relative:page;mso-position-vertical-relative:paragraph;z-index:15752704" id="docshape35" filled="true" fillcolor="#000000" stroked="false">
                <v:fill type="solid"/>
                <w10:wrap type="none"/>
              </v:rect>
            </w:pict>
          </w:r>
          <w:r>
            <w:rPr>
              <w:i/>
            </w:rPr>
            <w:t>Carbon</w:t>
          </w:r>
          <w:r>
            <w:rPr>
              <w:i/>
              <w:spacing w:val="-5"/>
            </w:rPr>
            <w:t> </w:t>
          </w:r>
          <w:r>
            <w:rPr>
              <w:i/>
            </w:rPr>
            <w:t>Isotope</w:t>
          </w:r>
          <w:r>
            <w:rPr>
              <w:i/>
              <w:spacing w:val="-3"/>
            </w:rPr>
            <w:t> </w:t>
          </w:r>
          <w:r>
            <w:rPr>
              <w:i/>
            </w:rPr>
            <w:t>Measurement</w:t>
          </w:r>
          <w:r>
            <w:rPr>
              <w:rFonts w:ascii="Times New Roman"/>
              <w:i/>
            </w:rPr>
            <w:tab/>
          </w:r>
          <w:r>
            <w:rPr>
              <w:i w:val="0"/>
              <w:sz w:val="22"/>
            </w:rPr>
            <w:t>34</w:t>
          </w:r>
        </w:p>
        <w:p>
          <w:pPr>
            <w:pStyle w:val="TOC1"/>
            <w:spacing w:before="209"/>
          </w:pPr>
          <w:r>
            <w:rPr/>
            <w:pict>
              <v:rect style="position:absolute;margin-left:72pt;margin-top:25.115788pt;width:.959999pt;height:.959976pt;mso-position-horizontal-relative:page;mso-position-vertical-relative:paragraph;z-index:15753216" id="docshape36" filled="true" fillcolor="#000000" stroked="false">
                <v:fill type="solid"/>
                <w10:wrap type="none"/>
              </v:rect>
            </w:pict>
          </w:r>
          <w:r>
            <w:rPr/>
            <w:pict>
              <v:line style="position:absolute;mso-position-horizontal-relative:page;mso-position-vertical-relative:paragraph;z-index:15753728" from="76.800003pt,25.595791pt" to="533.76001pt,25.595791pt" stroked="true" strokeweight=".959976pt" strokecolor="#000000">
                <v:stroke dashstyle="dash"/>
                <w10:wrap type="none"/>
              </v:line>
            </w:pict>
          </w:r>
          <w:r>
            <w:rPr/>
            <w:pict>
              <v:rect style="position:absolute;margin-left:537.600037pt;margin-top:25.115803pt;width:1.919998pt;height:.959976pt;mso-position-horizontal-relative:page;mso-position-vertical-relative:paragraph;z-index:15754240" id="docshape37" filled="true" fillcolor="#000000" stroked="false">
                <v:fill type="solid"/>
                <w10:wrap type="none"/>
              </v:rect>
            </w:pict>
          </w:r>
          <w:hyperlink w:history="true" w:anchor="_TOC_250003">
            <w:r>
              <w:rPr/>
              <w:t>CHAPTER</w:t>
            </w:r>
            <w:r>
              <w:rPr>
                <w:spacing w:val="-3"/>
              </w:rPr>
              <w:t> </w:t>
            </w:r>
            <w:r>
              <w:rPr/>
              <w:t>III</w:t>
            </w:r>
          </w:hyperlink>
        </w:p>
        <w:p>
          <w:pPr>
            <w:pStyle w:val="TOC2"/>
            <w:numPr>
              <w:ilvl w:val="0"/>
              <w:numId w:val="2"/>
            </w:numPr>
            <w:tabs>
              <w:tab w:pos="1185" w:val="left" w:leader="none"/>
              <w:tab w:pos="8863" w:val="left" w:leader="none"/>
            </w:tabs>
            <w:spacing w:line="240" w:lineRule="auto" w:before="107" w:after="0"/>
            <w:ind w:left="1184" w:right="0" w:hanging="238"/>
            <w:jc w:val="left"/>
            <w:rPr>
              <w:i w:val="0"/>
              <w:sz w:val="22"/>
            </w:rPr>
          </w:pPr>
          <w:r>
            <w:rPr/>
            <w:pict>
              <v:rect style="position:absolute;margin-left:72pt;margin-top:19.775782pt;width:.959999pt;height:.960022pt;mso-position-horizontal-relative:page;mso-position-vertical-relative:paragraph;z-index:15754752" id="docshape38" filled="true" fillcolor="#000000" stroked="false">
                <v:fill type="solid"/>
                <w10:wrap type="none"/>
              </v:rect>
            </w:pict>
          </w:r>
          <w:r>
            <w:rPr/>
            <w:pict>
              <v:line style="position:absolute;mso-position-horizontal-relative:page;mso-position-vertical-relative:paragraph;z-index:15755264" from="76.800003pt,20.25581pt" to="533.76001pt,20.25581pt" stroked="true" strokeweight=".960023pt" strokecolor="#000000">
                <v:stroke dashstyle="dash"/>
                <w10:wrap type="none"/>
              </v:line>
            </w:pict>
          </w:r>
          <w:r>
            <w:rPr/>
            <w:pict>
              <v:rect style="position:absolute;margin-left:537.600037pt;margin-top:19.775797pt;width:1.919998pt;height:.960023pt;mso-position-horizontal-relative:page;mso-position-vertical-relative:paragraph;z-index:15755776" id="docshape39" filled="true" fillcolor="#000000" stroked="false">
                <v:fill type="solid"/>
                <w10:wrap type="none"/>
              </v:rect>
            </w:pict>
          </w:r>
          <w:hyperlink w:history="true" w:anchor="_TOC_250002">
            <w:r>
              <w:rPr>
                <w:i/>
              </w:rPr>
              <w:t>Results</w:t>
            </w:r>
            <w:r>
              <w:rPr>
                <w:rFonts w:ascii="Times New Roman"/>
                <w:i/>
              </w:rPr>
              <w:tab/>
            </w:r>
            <w:r>
              <w:rPr>
                <w:i w:val="0"/>
                <w:sz w:val="22"/>
              </w:rPr>
              <w:t>35</w:t>
            </w:r>
          </w:hyperlink>
        </w:p>
        <w:p>
          <w:pPr>
            <w:pStyle w:val="TOC3"/>
            <w:numPr>
              <w:ilvl w:val="1"/>
              <w:numId w:val="2"/>
            </w:numPr>
            <w:tabs>
              <w:tab w:pos="2026" w:val="left" w:leader="none"/>
              <w:tab w:pos="8863" w:val="left" w:leader="none"/>
            </w:tabs>
            <w:spacing w:line="240" w:lineRule="auto" w:before="20" w:after="0"/>
            <w:ind w:left="2025" w:right="0" w:hanging="359"/>
            <w:jc w:val="left"/>
            <w:rPr>
              <w:i w:val="0"/>
              <w:sz w:val="22"/>
            </w:rPr>
          </w:pPr>
          <w:r>
            <w:rPr/>
            <w:pict>
              <v:rect style="position:absolute;margin-left:72pt;margin-top:15.425781pt;width:.959999pt;height:.960022pt;mso-position-horizontal-relative:page;mso-position-vertical-relative:paragraph;z-index:15756288" id="docshape40" filled="true" fillcolor="#000000" stroked="false">
                <v:fill type="solid"/>
                <w10:wrap type="none"/>
              </v:rect>
            </w:pict>
          </w:r>
          <w:r>
            <w:rPr/>
            <w:pict>
              <v:line style="position:absolute;mso-position-horizontal-relative:page;mso-position-vertical-relative:paragraph;z-index:15756800" from="76.800003pt,15.905809pt" to="533.76001pt,15.905809pt" stroked="true" strokeweight=".960022pt" strokecolor="#000000">
                <v:stroke dashstyle="dash"/>
                <w10:wrap type="none"/>
              </v:line>
            </w:pict>
          </w:r>
          <w:r>
            <w:rPr/>
            <w:pict>
              <v:rect style="position:absolute;margin-left:537.600037pt;margin-top:15.425798pt;width:1.919998pt;height:.960022pt;mso-position-horizontal-relative:page;mso-position-vertical-relative:paragraph;z-index:15757312" id="docshape41" filled="true" fillcolor="#000000" stroked="false">
                <v:fill type="solid"/>
                <w10:wrap type="none"/>
              </v:rect>
            </w:pict>
          </w:r>
          <w:r>
            <w:rPr>
              <w:i/>
            </w:rPr>
            <w:t>Aromatic</w:t>
          </w:r>
          <w:r>
            <w:rPr>
              <w:i/>
              <w:spacing w:val="-3"/>
            </w:rPr>
            <w:t> </w:t>
          </w:r>
          <w:r>
            <w:rPr>
              <w:i/>
            </w:rPr>
            <w:t>Carotenoids</w:t>
          </w:r>
          <w:r>
            <w:rPr>
              <w:rFonts w:ascii="Times New Roman"/>
              <w:i/>
            </w:rPr>
            <w:tab/>
          </w:r>
          <w:r>
            <w:rPr>
              <w:i w:val="0"/>
              <w:sz w:val="22"/>
            </w:rPr>
            <w:t>36</w:t>
          </w:r>
        </w:p>
        <w:p>
          <w:pPr>
            <w:pStyle w:val="TOC3"/>
            <w:numPr>
              <w:ilvl w:val="1"/>
              <w:numId w:val="2"/>
            </w:numPr>
            <w:tabs>
              <w:tab w:pos="2026" w:val="left" w:leader="none"/>
              <w:tab w:pos="8863" w:val="left" w:leader="none"/>
            </w:tabs>
            <w:spacing w:line="240" w:lineRule="auto" w:before="11" w:after="0"/>
            <w:ind w:left="2025" w:right="0" w:hanging="359"/>
            <w:jc w:val="left"/>
            <w:rPr>
              <w:i w:val="0"/>
              <w:sz w:val="22"/>
            </w:rPr>
          </w:pPr>
          <w:r>
            <w:rPr/>
            <w:pict>
              <v:rect style="position:absolute;margin-left:72pt;margin-top:15.475781pt;width:.959999pt;height:.960022pt;mso-position-horizontal-relative:page;mso-position-vertical-relative:paragraph;z-index:15757824" id="docshape42" filled="true" fillcolor="#000000" stroked="false">
                <v:fill type="solid"/>
                <w10:wrap type="none"/>
              </v:rect>
            </w:pict>
          </w:r>
          <w:r>
            <w:rPr/>
            <w:pict>
              <v:line style="position:absolute;mso-position-horizontal-relative:page;mso-position-vertical-relative:paragraph;z-index:15758336" from="76.800003pt,15.95581pt" to="533.76001pt,15.95581pt" stroked="true" strokeweight=".960022pt" strokecolor="#000000">
                <v:stroke dashstyle="dash"/>
                <w10:wrap type="none"/>
              </v:line>
            </w:pict>
          </w:r>
          <w:r>
            <w:rPr/>
            <w:pict>
              <v:rect style="position:absolute;margin-left:537.600037pt;margin-top:15.475799pt;width:1.919998pt;height:.960022pt;mso-position-horizontal-relative:page;mso-position-vertical-relative:paragraph;z-index:15758848" id="docshape43" filled="true" fillcolor="#000000" stroked="false">
                <v:fill type="solid"/>
                <w10:wrap type="none"/>
              </v:rect>
            </w:pict>
          </w:r>
          <w:r>
            <w:rPr>
              <w:i/>
              <w:position w:val="1"/>
            </w:rPr>
            <w:t>Porphyrins</w:t>
          </w:r>
          <w:r>
            <w:rPr>
              <w:rFonts w:ascii="Times New Roman"/>
              <w:i/>
              <w:position w:val="1"/>
            </w:rPr>
            <w:tab/>
          </w:r>
          <w:r>
            <w:rPr>
              <w:i w:val="0"/>
              <w:sz w:val="22"/>
            </w:rPr>
            <w:t>38</w:t>
          </w:r>
        </w:p>
        <w:p>
          <w:pPr>
            <w:pStyle w:val="TOC4"/>
            <w:numPr>
              <w:ilvl w:val="1"/>
              <w:numId w:val="2"/>
            </w:numPr>
            <w:tabs>
              <w:tab w:pos="2026" w:val="left" w:leader="none"/>
              <w:tab w:pos="8863" w:val="left" w:leader="none"/>
            </w:tabs>
            <w:spacing w:line="240" w:lineRule="auto" w:before="24" w:after="0"/>
            <w:ind w:left="2025" w:right="0" w:hanging="359"/>
            <w:jc w:val="left"/>
            <w:rPr>
              <w:b w:val="0"/>
              <w:i w:val="0"/>
              <w:sz w:val="22"/>
            </w:rPr>
          </w:pPr>
          <w:r>
            <w:rPr/>
            <w:pict>
              <v:rect style="position:absolute;margin-left:72pt;margin-top:15.625781pt;width:.959999pt;height:.960022pt;mso-position-horizontal-relative:page;mso-position-vertical-relative:paragraph;z-index:15759360" id="docshape44" filled="true" fillcolor="#000000" stroked="false">
                <v:fill type="solid"/>
                <w10:wrap type="none"/>
              </v:rect>
            </w:pict>
          </w:r>
          <w:r>
            <w:rPr/>
            <w:pict>
              <v:line style="position:absolute;mso-position-horizontal-relative:page;mso-position-vertical-relative:paragraph;z-index:15759872" from="76.800003pt,16.105810pt" to="533.76001pt,16.105810pt" stroked="true" strokeweight=".960022pt" strokecolor="#000000">
                <v:stroke dashstyle="dash"/>
                <w10:wrap type="none"/>
              </v:line>
            </w:pict>
          </w:r>
          <w:r>
            <w:rPr/>
            <w:pict>
              <v:rect style="position:absolute;margin-left:537.600037pt;margin-top:15.625799pt;width:1.919998pt;height:.960022pt;mso-position-horizontal-relative:page;mso-position-vertical-relative:paragraph;z-index:15760384" id="docshape45" filled="true" fillcolor="#000000" stroked="false">
                <v:fill type="solid"/>
                <w10:wrap type="none"/>
              </v:rect>
            </w:pict>
          </w:r>
          <w:r>
            <w:rPr>
              <w:b w:val="0"/>
              <w:i/>
              <w:sz w:val="24"/>
            </w:rPr>
            <w:t>MTTC</w:t>
          </w:r>
          <w:r>
            <w:rPr>
              <w:rFonts w:ascii="Times New Roman"/>
              <w:b w:val="0"/>
              <w:i/>
              <w:sz w:val="24"/>
            </w:rPr>
            <w:tab/>
          </w:r>
          <w:r>
            <w:rPr>
              <w:b w:val="0"/>
              <w:i w:val="0"/>
              <w:sz w:val="22"/>
            </w:rPr>
            <w:t>42</w:t>
          </w:r>
        </w:p>
        <w:p>
          <w:pPr>
            <w:pStyle w:val="TOC3"/>
            <w:numPr>
              <w:ilvl w:val="1"/>
              <w:numId w:val="2"/>
            </w:numPr>
            <w:tabs>
              <w:tab w:pos="2026" w:val="left" w:leader="none"/>
              <w:tab w:pos="8863" w:val="left" w:leader="none"/>
            </w:tabs>
            <w:spacing w:line="240" w:lineRule="auto" w:before="19" w:after="0"/>
            <w:ind w:left="2025" w:right="0" w:hanging="359"/>
            <w:jc w:val="left"/>
            <w:rPr>
              <w:i w:val="0"/>
              <w:sz w:val="22"/>
            </w:rPr>
          </w:pPr>
          <w:r>
            <w:rPr/>
            <w:pict>
              <v:rect style="position:absolute;margin-left:72pt;margin-top:15.375781pt;width:.959999pt;height:.960022pt;mso-position-horizontal-relative:page;mso-position-vertical-relative:paragraph;z-index:15760896" id="docshape46" filled="true" fillcolor="#000000" stroked="false">
                <v:fill type="solid"/>
                <w10:wrap type="none"/>
              </v:rect>
            </w:pict>
          </w:r>
          <w:r>
            <w:rPr/>
            <w:pict>
              <v:line style="position:absolute;mso-position-horizontal-relative:page;mso-position-vertical-relative:paragraph;z-index:15761408" from="76.800003pt,15.855811pt" to="533.76001pt,15.855811pt" stroked="true" strokeweight=".960022pt" strokecolor="#000000">
                <v:stroke dashstyle="dash"/>
                <w10:wrap type="none"/>
              </v:line>
            </w:pict>
          </w:r>
          <w:r>
            <w:rPr/>
            <w:pict>
              <v:rect style="position:absolute;margin-left:537.600037pt;margin-top:15.3758pt;width:1.919998pt;height:.960022pt;mso-position-horizontal-relative:page;mso-position-vertical-relative:paragraph;z-index:15761920" id="docshape47" filled="true" fillcolor="#000000" stroked="false">
                <v:fill type="solid"/>
                <w10:wrap type="none"/>
              </v:rect>
            </w:pict>
          </w:r>
          <w:r>
            <w:rPr>
              <w:i/>
            </w:rPr>
            <w:t>Trimethylphytylbenzoquinone</w:t>
          </w:r>
          <w:r>
            <w:rPr>
              <w:rFonts w:ascii="Times New Roman"/>
              <w:i/>
            </w:rPr>
            <w:tab/>
          </w:r>
          <w:r>
            <w:rPr>
              <w:i w:val="0"/>
              <w:sz w:val="22"/>
            </w:rPr>
            <w:t>45</w:t>
          </w:r>
        </w:p>
        <w:p>
          <w:pPr>
            <w:pStyle w:val="TOC3"/>
            <w:numPr>
              <w:ilvl w:val="1"/>
              <w:numId w:val="2"/>
            </w:numPr>
            <w:tabs>
              <w:tab w:pos="2026" w:val="left" w:leader="none"/>
              <w:tab w:pos="8863" w:val="left" w:leader="none"/>
            </w:tabs>
            <w:spacing w:line="240" w:lineRule="auto" w:before="22" w:after="0"/>
            <w:ind w:left="2025" w:right="0" w:hanging="359"/>
            <w:jc w:val="left"/>
            <w:rPr>
              <w:i w:val="0"/>
              <w:sz w:val="22"/>
            </w:rPr>
          </w:pPr>
          <w:r>
            <w:rPr/>
            <w:pict>
              <v:rect style="position:absolute;margin-left:72pt;margin-top:15.525782pt;width:.959999pt;height:.960022pt;mso-position-horizontal-relative:page;mso-position-vertical-relative:paragraph;z-index:15762432" id="docshape48" filled="true" fillcolor="#000000" stroked="false">
                <v:fill type="solid"/>
                <w10:wrap type="none"/>
              </v:rect>
            </w:pict>
          </w:r>
          <w:r>
            <w:rPr/>
            <w:pict>
              <v:line style="position:absolute;mso-position-horizontal-relative:page;mso-position-vertical-relative:paragraph;z-index:15762944" from="76.800003pt,16.005812pt" to="533.76001pt,16.005812pt" stroked="true" strokeweight=".960022pt" strokecolor="#000000">
                <v:stroke dashstyle="dash"/>
                <w10:wrap type="none"/>
              </v:line>
            </w:pict>
          </w:r>
          <w:r>
            <w:rPr/>
            <w:pict>
              <v:rect style="position:absolute;margin-left:537.600037pt;margin-top:15.525801pt;width:1.919998pt;height:.960022pt;mso-position-horizontal-relative:page;mso-position-vertical-relative:paragraph;z-index:15763456" id="docshape49" filled="true" fillcolor="#000000" stroked="false">
                <v:fill type="solid"/>
                <w10:wrap type="none"/>
              </v:rect>
            </w:pict>
          </w:r>
          <w:r>
            <w:rPr>
              <w:i/>
            </w:rPr>
            <w:t>δ</w:t>
          </w:r>
          <w:r>
            <w:rPr>
              <w:i/>
              <w:vertAlign w:val="superscript"/>
            </w:rPr>
            <w:t>13</w:t>
          </w:r>
          <w:r>
            <w:rPr>
              <w:i/>
              <w:vertAlign w:val="baseline"/>
            </w:rPr>
            <w:t>C</w:t>
          </w:r>
          <w:r>
            <w:rPr>
              <w:i/>
              <w:spacing w:val="-2"/>
              <w:vertAlign w:val="baseline"/>
            </w:rPr>
            <w:t> </w:t>
          </w:r>
          <w:r>
            <w:rPr>
              <w:i/>
              <w:vertAlign w:val="baseline"/>
            </w:rPr>
            <w:t>of</w:t>
          </w:r>
          <w:r>
            <w:rPr>
              <w:i/>
              <w:spacing w:val="-3"/>
              <w:vertAlign w:val="baseline"/>
            </w:rPr>
            <w:t> </w:t>
          </w:r>
          <w:r>
            <w:rPr>
              <w:i/>
              <w:vertAlign w:val="baseline"/>
            </w:rPr>
            <w:t>Organic</w:t>
          </w:r>
          <w:r>
            <w:rPr>
              <w:i/>
              <w:spacing w:val="2"/>
              <w:vertAlign w:val="baseline"/>
            </w:rPr>
            <w:t> </w:t>
          </w:r>
          <w:r>
            <w:rPr>
              <w:i/>
              <w:vertAlign w:val="baseline"/>
            </w:rPr>
            <w:t>Carbon</w:t>
          </w:r>
          <w:r>
            <w:rPr>
              <w:rFonts w:ascii="Times New Roman" w:hAnsi="Times New Roman"/>
              <w:i/>
              <w:vertAlign w:val="baseline"/>
            </w:rPr>
            <w:tab/>
          </w:r>
          <w:r>
            <w:rPr>
              <w:i w:val="0"/>
              <w:sz w:val="22"/>
              <w:vertAlign w:val="baseline"/>
            </w:rPr>
            <w:t>47</w:t>
          </w:r>
        </w:p>
        <w:p>
          <w:pPr>
            <w:pStyle w:val="TOC1"/>
          </w:pPr>
          <w:r>
            <w:rPr/>
            <w:pict>
              <v:rect style="position:absolute;margin-left:72pt;margin-top:21.865788pt;width:.959999pt;height:.960022pt;mso-position-horizontal-relative:page;mso-position-vertical-relative:paragraph;z-index:15763968" id="docshape50" filled="true" fillcolor="#000000" stroked="false">
                <v:fill type="solid"/>
                <w10:wrap type="none"/>
              </v:rect>
            </w:pict>
          </w:r>
          <w:r>
            <w:rPr/>
            <w:pict>
              <v:line style="position:absolute;mso-position-horizontal-relative:page;mso-position-vertical-relative:paragraph;z-index:15764480" from="76.800003pt,22.345818pt" to="533.76001pt,22.345818pt" stroked="true" strokeweight=".960022pt" strokecolor="#000000">
                <v:stroke dashstyle="dash"/>
                <w10:wrap type="none"/>
              </v:line>
            </w:pict>
          </w:r>
          <w:r>
            <w:rPr/>
            <w:pict>
              <v:rect style="position:absolute;margin-left:537.600037pt;margin-top:21.865807pt;width:1.919998pt;height:.960022pt;mso-position-horizontal-relative:page;mso-position-vertical-relative:paragraph;z-index:15764992" id="docshape51" filled="true" fillcolor="#000000" stroked="false">
                <v:fill type="solid"/>
                <w10:wrap type="none"/>
              </v:rect>
            </w:pict>
          </w:r>
          <w:hyperlink w:history="true" w:anchor="_TOC_250001">
            <w:r>
              <w:rPr/>
              <w:t>CHAPTER</w:t>
            </w:r>
            <w:r>
              <w:rPr>
                <w:spacing w:val="-1"/>
              </w:rPr>
              <w:t> </w:t>
            </w:r>
            <w:r>
              <w:rPr/>
              <w:t>IV</w:t>
            </w:r>
          </w:hyperlink>
        </w:p>
        <w:p>
          <w:pPr>
            <w:pStyle w:val="TOC2"/>
            <w:numPr>
              <w:ilvl w:val="0"/>
              <w:numId w:val="2"/>
            </w:numPr>
            <w:tabs>
              <w:tab w:pos="1185" w:val="left" w:leader="none"/>
              <w:tab w:pos="8863" w:val="left" w:leader="none"/>
            </w:tabs>
            <w:spacing w:line="240" w:lineRule="auto" w:before="143" w:after="0"/>
            <w:ind w:left="1184" w:right="0" w:hanging="238"/>
            <w:jc w:val="left"/>
            <w:rPr>
              <w:i w:val="0"/>
              <w:sz w:val="22"/>
            </w:rPr>
          </w:pPr>
          <w:r>
            <w:rPr/>
            <w:pict>
              <v:rect style="position:absolute;margin-left:72pt;margin-top:21.575781pt;width:.959999pt;height:.960022pt;mso-position-horizontal-relative:page;mso-position-vertical-relative:paragraph;z-index:15765504" id="docshape52" filled="true" fillcolor="#000000" stroked="false">
                <v:fill type="solid"/>
                <w10:wrap type="none"/>
              </v:rect>
            </w:pict>
          </w:r>
          <w:r>
            <w:rPr/>
            <w:pict>
              <v:line style="position:absolute;mso-position-horizontal-relative:page;mso-position-vertical-relative:paragraph;z-index:15766016" from="76.800003pt,22.055813pt" to="533.76001pt,22.055813pt" stroked="true" strokeweight=".960022pt" strokecolor="#000000">
                <v:stroke dashstyle="dash"/>
                <w10:wrap type="none"/>
              </v:line>
            </w:pict>
          </w:r>
          <w:r>
            <w:rPr/>
            <w:pict>
              <v:rect style="position:absolute;margin-left:537.600037pt;margin-top:21.575802pt;width:1.919998pt;height:.960022pt;mso-position-horizontal-relative:page;mso-position-vertical-relative:paragraph;z-index:15766528" id="docshape53" filled="true" fillcolor="#000000" stroked="false">
                <v:fill type="solid"/>
                <w10:wrap type="none"/>
              </v:rect>
            </w:pict>
          </w:r>
          <w:hyperlink w:history="true" w:anchor="_TOC_250000">
            <w:r>
              <w:rPr>
                <w:i/>
              </w:rPr>
              <w:t>Discussion</w:t>
            </w:r>
            <w:r>
              <w:rPr>
                <w:rFonts w:ascii="Times New Roman"/>
                <w:i/>
              </w:rPr>
              <w:tab/>
            </w:r>
            <w:r>
              <w:rPr>
                <w:i w:val="0"/>
                <w:sz w:val="22"/>
              </w:rPr>
              <w:t>50</w:t>
            </w:r>
          </w:hyperlink>
        </w:p>
        <w:p>
          <w:pPr>
            <w:pStyle w:val="TOC3"/>
            <w:numPr>
              <w:ilvl w:val="1"/>
              <w:numId w:val="2"/>
            </w:numPr>
            <w:tabs>
              <w:tab w:pos="2026" w:val="left" w:leader="none"/>
              <w:tab w:pos="8863" w:val="left" w:leader="none"/>
            </w:tabs>
            <w:spacing w:line="240" w:lineRule="auto" w:before="20" w:after="0"/>
            <w:ind w:left="2025" w:right="0" w:hanging="359"/>
            <w:jc w:val="left"/>
            <w:rPr>
              <w:i w:val="0"/>
              <w:sz w:val="22"/>
            </w:rPr>
          </w:pPr>
          <w:r>
            <w:rPr/>
            <w:pict>
              <v:rect style="position:absolute;margin-left:72pt;margin-top:15.425781pt;width:.959999pt;height:.960022pt;mso-position-horizontal-relative:page;mso-position-vertical-relative:paragraph;z-index:15767040" id="docshape54" filled="true" fillcolor="#000000" stroked="false">
                <v:fill type="solid"/>
                <w10:wrap type="none"/>
              </v:rect>
            </w:pict>
          </w:r>
          <w:r>
            <w:rPr/>
            <w:pict>
              <v:line style="position:absolute;mso-position-horizontal-relative:page;mso-position-vertical-relative:paragraph;z-index:15767552" from="76.800003pt,15.905813pt" to="533.76001pt,15.905813pt" stroked="true" strokeweight=".960022pt" strokecolor="#000000">
                <v:stroke dashstyle="dash"/>
                <w10:wrap type="none"/>
              </v:line>
            </w:pict>
          </w:r>
          <w:r>
            <w:rPr/>
            <w:pict>
              <v:rect style="position:absolute;margin-left:537.600037pt;margin-top:15.425802pt;width:1.919998pt;height:.960022pt;mso-position-horizontal-relative:page;mso-position-vertical-relative:paragraph;z-index:15768064" id="docshape55" filled="true" fillcolor="#000000" stroked="false">
                <v:fill type="solid"/>
                <w10:wrap type="none"/>
              </v:rect>
            </w:pict>
          </w:r>
          <w:r>
            <w:rPr>
              <w:i/>
            </w:rPr>
            <w:t>LCMS</w:t>
          </w:r>
          <w:r>
            <w:rPr>
              <w:i/>
              <w:spacing w:val="-4"/>
            </w:rPr>
            <w:t> </w:t>
          </w:r>
          <w:r>
            <w:rPr>
              <w:i/>
            </w:rPr>
            <w:t>vs.</w:t>
          </w:r>
          <w:r>
            <w:rPr>
              <w:i/>
              <w:spacing w:val="-3"/>
            </w:rPr>
            <w:t> </w:t>
          </w:r>
          <w:r>
            <w:rPr>
              <w:i/>
            </w:rPr>
            <w:t>GCMS</w:t>
          </w:r>
          <w:r>
            <w:rPr>
              <w:i/>
              <w:spacing w:val="-3"/>
            </w:rPr>
            <w:t> </w:t>
          </w:r>
          <w:r>
            <w:rPr>
              <w:i/>
            </w:rPr>
            <w:t>for</w:t>
          </w:r>
          <w:r>
            <w:rPr>
              <w:i/>
              <w:spacing w:val="-3"/>
            </w:rPr>
            <w:t> </w:t>
          </w:r>
          <w:r>
            <w:rPr>
              <w:i/>
            </w:rPr>
            <w:t>Aromatic</w:t>
          </w:r>
          <w:r>
            <w:rPr>
              <w:i/>
              <w:spacing w:val="1"/>
            </w:rPr>
            <w:t> </w:t>
          </w:r>
          <w:r>
            <w:rPr>
              <w:i/>
            </w:rPr>
            <w:t>Carotenoids</w:t>
          </w:r>
          <w:r>
            <w:rPr>
              <w:rFonts w:ascii="Times New Roman"/>
              <w:i/>
            </w:rPr>
            <w:tab/>
          </w:r>
          <w:r>
            <w:rPr>
              <w:i w:val="0"/>
              <w:sz w:val="22"/>
            </w:rPr>
            <w:t>50</w:t>
          </w:r>
        </w:p>
        <w:p>
          <w:pPr>
            <w:pStyle w:val="TOC3"/>
            <w:numPr>
              <w:ilvl w:val="1"/>
              <w:numId w:val="2"/>
            </w:numPr>
            <w:tabs>
              <w:tab w:pos="2026" w:val="left" w:leader="none"/>
              <w:tab w:pos="8863" w:val="left" w:leader="none"/>
            </w:tabs>
            <w:spacing w:line="240" w:lineRule="auto" w:before="21" w:after="0"/>
            <w:ind w:left="2025" w:right="0" w:hanging="359"/>
            <w:jc w:val="left"/>
            <w:rPr>
              <w:i w:val="0"/>
              <w:sz w:val="22"/>
            </w:rPr>
          </w:pPr>
          <w:r>
            <w:rPr>
              <w:i/>
            </w:rPr>
            <w:t>Isorenieratane</w:t>
          </w:r>
          <w:r>
            <w:rPr>
              <w:i/>
              <w:spacing w:val="1"/>
            </w:rPr>
            <w:t> </w:t>
          </w:r>
          <w:r>
            <w:rPr>
              <w:i/>
            </w:rPr>
            <w:t>and</w:t>
          </w:r>
          <w:r>
            <w:rPr>
              <w:i/>
              <w:spacing w:val="-2"/>
            </w:rPr>
            <w:t> </w:t>
          </w:r>
          <w:r>
            <w:rPr>
              <w:i/>
            </w:rPr>
            <w:t>Paleorenieratane</w:t>
          </w:r>
          <w:r>
            <w:rPr>
              <w:i/>
              <w:spacing w:val="-2"/>
            </w:rPr>
            <w:t> </w:t>
          </w:r>
          <w:r>
            <w:rPr>
              <w:i/>
            </w:rPr>
            <w:t>as</w:t>
          </w:r>
          <w:r>
            <w:rPr>
              <w:i/>
              <w:spacing w:val="-2"/>
            </w:rPr>
            <w:t> </w:t>
          </w:r>
          <w:r>
            <w:rPr>
              <w:i/>
            </w:rPr>
            <w:t>Biomarkers</w:t>
          </w:r>
          <w:r>
            <w:rPr>
              <w:i/>
              <w:spacing w:val="-2"/>
            </w:rPr>
            <w:t> </w:t>
          </w:r>
          <w:r>
            <w:rPr>
              <w:i/>
            </w:rPr>
            <w:t>for</w:t>
          </w:r>
          <w:r>
            <w:rPr>
              <w:i/>
              <w:spacing w:val="-5"/>
            </w:rPr>
            <w:t> </w:t>
          </w:r>
          <w:r>
            <w:rPr>
              <w:i/>
            </w:rPr>
            <w:t>PZE</w:t>
          </w:r>
          <w:r>
            <w:rPr>
              <w:rFonts w:ascii="Times New Roman"/>
              <w:i/>
            </w:rPr>
            <w:tab/>
          </w:r>
          <w:r>
            <w:rPr>
              <w:i w:val="0"/>
              <w:sz w:val="22"/>
            </w:rPr>
            <w:t>56</w:t>
          </w:r>
        </w:p>
      </w:sdtContent>
    </w:sdt>
    <w:p>
      <w:pPr>
        <w:spacing w:line="20" w:lineRule="exact"/>
        <w:ind w:left="105" w:right="0" w:firstLine="0"/>
        <w:rPr>
          <w:sz w:val="2"/>
        </w:rPr>
      </w:pPr>
      <w:r>
        <w:rPr>
          <w:sz w:val="2"/>
        </w:rPr>
        <w:pict>
          <v:group style="width:1.7pt;height:1pt;mso-position-horizontal-relative:char;mso-position-vertical-relative:line" id="docshapegroup56" coordorigin="0,0" coordsize="34,20">
            <v:rect style="position:absolute;left:0;top:0;width:34;height:20" id="docshape57" filled="true" fillcolor="#000000" stroked="false">
              <v:fill type="solid"/>
            </v:rect>
          </v:group>
        </w:pict>
      </w:r>
      <w:r>
        <w:rPr>
          <w:sz w:val="2"/>
        </w:rPr>
      </w:r>
      <w:r>
        <w:rPr>
          <w:rFonts w:ascii="Times New Roman"/>
          <w:spacing w:val="55"/>
          <w:sz w:val="2"/>
        </w:rPr>
        <w:t> </w:t>
      </w:r>
      <w:r>
        <w:rPr>
          <w:spacing w:val="55"/>
          <w:position w:val="1"/>
          <w:sz w:val="2"/>
        </w:rPr>
        <w:pict>
          <v:group style="width:457pt;height:1pt;mso-position-horizontal-relative:char;mso-position-vertical-relative:line" id="docshapegroup58" coordorigin="0,0" coordsize="9140,20">
            <v:line style="position:absolute" from="0,10" to="9139,10" stroked="true" strokeweight=".960022pt" strokecolor="#000000">
              <v:stroke dashstyle="dash"/>
            </v:line>
          </v:group>
        </w:pict>
      </w:r>
      <w:r>
        <w:rPr>
          <w:spacing w:val="55"/>
          <w:position w:val="1"/>
          <w:sz w:val="2"/>
        </w:rPr>
      </w:r>
      <w:r>
        <w:rPr>
          <w:rFonts w:ascii="Times New Roman"/>
          <w:spacing w:val="62"/>
          <w:position w:val="1"/>
          <w:sz w:val="2"/>
        </w:rPr>
        <w:t> </w:t>
      </w:r>
      <w:r>
        <w:rPr>
          <w:spacing w:val="62"/>
          <w:sz w:val="2"/>
        </w:rPr>
        <w:pict>
          <v:group style="width:1.95pt;height:1pt;mso-position-horizontal-relative:char;mso-position-vertical-relative:line" id="docshapegroup59" coordorigin="0,0" coordsize="39,20">
            <v:rect style="position:absolute;left:0;top:0;width:39;height:20" id="docshape60" filled="true" fillcolor="#000000" stroked="false">
              <v:fill type="solid"/>
            </v:rect>
          </v:group>
        </w:pict>
      </w:r>
      <w:r>
        <w:rPr>
          <w:spacing w:val="62"/>
          <w:sz w:val="2"/>
        </w:rPr>
      </w:r>
    </w:p>
    <w:p>
      <w:pPr>
        <w:spacing w:after="0" w:line="20" w:lineRule="exact"/>
        <w:rPr>
          <w:sz w:val="2"/>
        </w:rPr>
        <w:sectPr>
          <w:footerReference w:type="default" r:id="rId8"/>
          <w:pgSz w:w="12240" w:h="15840"/>
          <w:pgMar w:footer="1014" w:header="0" w:top="1480" w:bottom="1200" w:left="1320" w:right="820"/>
        </w:sectPr>
      </w:pPr>
    </w:p>
    <w:tbl>
      <w:tblPr>
        <w:tblW w:w="0" w:type="auto"/>
        <w:jc w:val="left"/>
        <w:tblInd w:w="1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35"/>
        <w:gridCol w:w="815"/>
      </w:tblGrid>
      <w:tr>
        <w:trPr>
          <w:trHeight w:val="244" w:hRule="atLeast"/>
        </w:trPr>
        <w:tc>
          <w:tcPr>
            <w:tcW w:w="8535" w:type="dxa"/>
            <w:tcBorders>
              <w:bottom w:val="dashed" w:sz="8" w:space="0" w:color="000000"/>
            </w:tcBorders>
          </w:tcPr>
          <w:p>
            <w:pPr>
              <w:pStyle w:val="TableParagraph"/>
              <w:spacing w:line="224" w:lineRule="exact"/>
              <w:ind w:left="1548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4.3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Unexpected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Metalloporphyrin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Distribution</w:t>
            </w:r>
          </w:p>
        </w:tc>
        <w:tc>
          <w:tcPr>
            <w:tcW w:w="815" w:type="dxa"/>
            <w:tcBorders>
              <w:bottom w:val="dashed" w:sz="8" w:space="0" w:color="000000"/>
            </w:tcBorders>
          </w:tcPr>
          <w:p>
            <w:pPr>
              <w:pStyle w:val="TableParagraph"/>
              <w:spacing w:line="224" w:lineRule="exact"/>
              <w:ind w:left="208"/>
              <w:jc w:val="left"/>
              <w:rPr>
                <w:sz w:val="22"/>
              </w:rPr>
            </w:pPr>
            <w:r>
              <w:rPr>
                <w:sz w:val="22"/>
              </w:rPr>
              <w:t>59</w:t>
            </w:r>
          </w:p>
        </w:tc>
      </w:tr>
      <w:tr>
        <w:trPr>
          <w:trHeight w:val="292" w:hRule="atLeast"/>
        </w:trPr>
        <w:tc>
          <w:tcPr>
            <w:tcW w:w="8535" w:type="dxa"/>
            <w:tcBorders>
              <w:top w:val="dashed" w:sz="8" w:space="0" w:color="000000"/>
              <w:bottom w:val="dashed" w:sz="8" w:space="0" w:color="000000"/>
            </w:tcBorders>
          </w:tcPr>
          <w:p>
            <w:pPr>
              <w:pStyle w:val="TableParagraph"/>
              <w:spacing w:line="272" w:lineRule="exact"/>
              <w:ind w:left="1548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4.4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Trimethylphytylbenzoquinone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MTTC</w:t>
            </w:r>
          </w:p>
        </w:tc>
        <w:tc>
          <w:tcPr>
            <w:tcW w:w="815" w:type="dxa"/>
            <w:tcBorders>
              <w:top w:val="dashed" w:sz="8" w:space="0" w:color="000000"/>
              <w:bottom w:val="dashed" w:sz="8" w:space="0" w:color="000000"/>
            </w:tcBorders>
          </w:tcPr>
          <w:p>
            <w:pPr>
              <w:pStyle w:val="TableParagraph"/>
              <w:spacing w:line="249" w:lineRule="exact" w:before="23"/>
              <w:ind w:left="208"/>
              <w:jc w:val="left"/>
              <w:rPr>
                <w:sz w:val="22"/>
              </w:rPr>
            </w:pPr>
            <w:r>
              <w:rPr>
                <w:sz w:val="22"/>
              </w:rPr>
              <w:t>69</w:t>
            </w:r>
          </w:p>
        </w:tc>
      </w:tr>
      <w:tr>
        <w:trPr>
          <w:trHeight w:val="294" w:hRule="atLeast"/>
        </w:trPr>
        <w:tc>
          <w:tcPr>
            <w:tcW w:w="8535" w:type="dxa"/>
            <w:tcBorders>
              <w:top w:val="dashed" w:sz="8" w:space="0" w:color="000000"/>
              <w:bottom w:val="dashed" w:sz="8" w:space="0" w:color="000000"/>
            </w:tcBorders>
          </w:tcPr>
          <w:p>
            <w:pPr>
              <w:pStyle w:val="TableParagraph"/>
              <w:spacing w:line="273" w:lineRule="exact" w:before="1"/>
              <w:ind w:left="1548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4.5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Locating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Frasnian-Famennian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Boundary</w:t>
            </w:r>
          </w:p>
        </w:tc>
        <w:tc>
          <w:tcPr>
            <w:tcW w:w="815" w:type="dxa"/>
            <w:tcBorders>
              <w:top w:val="dashed" w:sz="8" w:space="0" w:color="000000"/>
              <w:bottom w:val="dashed" w:sz="8" w:space="0" w:color="000000"/>
            </w:tcBorders>
          </w:tcPr>
          <w:p>
            <w:pPr>
              <w:pStyle w:val="TableParagraph"/>
              <w:spacing w:line="249" w:lineRule="exact" w:before="25"/>
              <w:ind w:left="208"/>
              <w:jc w:val="left"/>
              <w:rPr>
                <w:sz w:val="22"/>
              </w:rPr>
            </w:pPr>
            <w:r>
              <w:rPr>
                <w:sz w:val="22"/>
              </w:rPr>
              <w:t>74</w:t>
            </w:r>
          </w:p>
        </w:tc>
      </w:tr>
      <w:tr>
        <w:trPr>
          <w:trHeight w:val="292" w:hRule="atLeast"/>
        </w:trPr>
        <w:tc>
          <w:tcPr>
            <w:tcW w:w="8535" w:type="dxa"/>
            <w:tcBorders>
              <w:top w:val="dashed" w:sz="8" w:space="0" w:color="000000"/>
              <w:bottom w:val="dashed" w:sz="8" w:space="0" w:color="000000"/>
            </w:tcBorders>
          </w:tcPr>
          <w:p>
            <w:pPr>
              <w:pStyle w:val="TableParagraph"/>
              <w:spacing w:line="272" w:lineRule="exact"/>
              <w:ind w:left="1548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4.6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Changes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Deposition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Environment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During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Woodford</w:t>
            </w:r>
          </w:p>
        </w:tc>
        <w:tc>
          <w:tcPr>
            <w:tcW w:w="815" w:type="dxa"/>
            <w:tcBorders>
              <w:top w:val="dashed" w:sz="8" w:space="0" w:color="000000"/>
              <w:bottom w:val="dashed" w:sz="8" w:space="0" w:color="000000"/>
            </w:tcBorders>
          </w:tcPr>
          <w:p>
            <w:pPr>
              <w:pStyle w:val="TableParagraph"/>
              <w:spacing w:line="249" w:lineRule="exact" w:before="23"/>
              <w:ind w:left="208"/>
              <w:jc w:val="left"/>
              <w:rPr>
                <w:sz w:val="22"/>
              </w:rPr>
            </w:pPr>
            <w:r>
              <w:rPr>
                <w:sz w:val="22"/>
              </w:rPr>
              <w:t>77</w:t>
            </w:r>
          </w:p>
        </w:tc>
      </w:tr>
      <w:tr>
        <w:trPr>
          <w:trHeight w:val="440" w:hRule="atLeast"/>
        </w:trPr>
        <w:tc>
          <w:tcPr>
            <w:tcW w:w="8535" w:type="dxa"/>
            <w:tcBorders>
              <w:top w:val="dashed" w:sz="8" w:space="0" w:color="000000"/>
              <w:bottom w:val="dashed" w:sz="8" w:space="0" w:color="000000"/>
            </w:tcBorders>
          </w:tcPr>
          <w:p>
            <w:pPr>
              <w:pStyle w:val="TableParagraph"/>
              <w:spacing w:line="273" w:lineRule="exact" w:before="148"/>
              <w:ind w:left="10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CHAPTER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V</w:t>
            </w:r>
          </w:p>
        </w:tc>
        <w:tc>
          <w:tcPr>
            <w:tcW w:w="815" w:type="dxa"/>
            <w:tcBorders>
              <w:top w:val="dashed" w:sz="8" w:space="0" w:color="000000"/>
              <w:bottom w:val="dashed" w:sz="8" w:space="0" w:color="000000"/>
            </w:tcBorders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402" w:hRule="atLeast"/>
        </w:trPr>
        <w:tc>
          <w:tcPr>
            <w:tcW w:w="8535" w:type="dxa"/>
            <w:tcBorders>
              <w:top w:val="dashed" w:sz="8" w:space="0" w:color="000000"/>
              <w:bottom w:val="dashed" w:sz="8" w:space="0" w:color="000000"/>
            </w:tcBorders>
          </w:tcPr>
          <w:p>
            <w:pPr>
              <w:pStyle w:val="TableParagraph"/>
              <w:spacing w:line="273" w:lineRule="exact" w:before="109"/>
              <w:ind w:left="828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5.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Conclusions</w:t>
            </w:r>
          </w:p>
        </w:tc>
        <w:tc>
          <w:tcPr>
            <w:tcW w:w="815" w:type="dxa"/>
            <w:tcBorders>
              <w:top w:val="dashed" w:sz="8" w:space="0" w:color="000000"/>
              <w:bottom w:val="dashed" w:sz="8" w:space="0" w:color="000000"/>
            </w:tcBorders>
          </w:tcPr>
          <w:p>
            <w:pPr>
              <w:pStyle w:val="TableParagraph"/>
              <w:spacing w:line="249" w:lineRule="exact" w:before="133"/>
              <w:ind w:left="208"/>
              <w:jc w:val="left"/>
              <w:rPr>
                <w:sz w:val="22"/>
              </w:rPr>
            </w:pPr>
            <w:r>
              <w:rPr>
                <w:sz w:val="22"/>
              </w:rPr>
              <w:t>81</w:t>
            </w:r>
          </w:p>
        </w:tc>
      </w:tr>
      <w:tr>
        <w:trPr>
          <w:trHeight w:val="414" w:hRule="atLeast"/>
        </w:trPr>
        <w:tc>
          <w:tcPr>
            <w:tcW w:w="8535" w:type="dxa"/>
            <w:tcBorders>
              <w:top w:val="dashed" w:sz="8" w:space="0" w:color="000000"/>
              <w:bottom w:val="dashed" w:sz="8" w:space="0" w:color="000000"/>
            </w:tcBorders>
          </w:tcPr>
          <w:p>
            <w:pPr>
              <w:pStyle w:val="TableParagraph"/>
              <w:spacing w:line="273" w:lineRule="exact" w:before="121"/>
              <w:ind w:left="10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FUTURE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WORK</w:t>
            </w:r>
          </w:p>
        </w:tc>
        <w:tc>
          <w:tcPr>
            <w:tcW w:w="815" w:type="dxa"/>
            <w:tcBorders>
              <w:top w:val="dashed" w:sz="8" w:space="0" w:color="000000"/>
              <w:bottom w:val="dashed" w:sz="8" w:space="0" w:color="000000"/>
            </w:tcBorders>
          </w:tcPr>
          <w:p>
            <w:pPr>
              <w:pStyle w:val="TableParagraph"/>
              <w:spacing w:line="249" w:lineRule="exact" w:before="145"/>
              <w:ind w:left="208"/>
              <w:jc w:val="left"/>
              <w:rPr>
                <w:sz w:val="22"/>
              </w:rPr>
            </w:pPr>
            <w:r>
              <w:rPr>
                <w:sz w:val="22"/>
              </w:rPr>
              <w:t>84</w:t>
            </w:r>
          </w:p>
        </w:tc>
      </w:tr>
      <w:tr>
        <w:trPr>
          <w:trHeight w:val="438" w:hRule="atLeast"/>
        </w:trPr>
        <w:tc>
          <w:tcPr>
            <w:tcW w:w="8535" w:type="dxa"/>
            <w:tcBorders>
              <w:top w:val="dashed" w:sz="8" w:space="0" w:color="000000"/>
              <w:bottom w:val="dashed" w:sz="8" w:space="0" w:color="000000"/>
            </w:tcBorders>
          </w:tcPr>
          <w:p>
            <w:pPr>
              <w:pStyle w:val="TableParagraph"/>
              <w:spacing w:line="273" w:lineRule="exact" w:before="145"/>
              <w:ind w:left="10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BIBLIOGRAPHY</w:t>
            </w:r>
          </w:p>
        </w:tc>
        <w:tc>
          <w:tcPr>
            <w:tcW w:w="815" w:type="dxa"/>
            <w:tcBorders>
              <w:top w:val="dashed" w:sz="8" w:space="0" w:color="000000"/>
              <w:bottom w:val="dashed" w:sz="8" w:space="0" w:color="000000"/>
            </w:tcBorders>
          </w:tcPr>
          <w:p>
            <w:pPr>
              <w:pStyle w:val="TableParagraph"/>
              <w:spacing w:line="249" w:lineRule="exact" w:before="169"/>
              <w:ind w:left="208"/>
              <w:jc w:val="left"/>
              <w:rPr>
                <w:sz w:val="22"/>
              </w:rPr>
            </w:pPr>
            <w:r>
              <w:rPr>
                <w:sz w:val="22"/>
              </w:rPr>
              <w:t>87</w:t>
            </w:r>
          </w:p>
        </w:tc>
      </w:tr>
      <w:tr>
        <w:trPr>
          <w:trHeight w:val="440" w:hRule="atLeast"/>
        </w:trPr>
        <w:tc>
          <w:tcPr>
            <w:tcW w:w="8535" w:type="dxa"/>
            <w:tcBorders>
              <w:top w:val="dashed" w:sz="8" w:space="0" w:color="000000"/>
              <w:bottom w:val="dashed" w:sz="8" w:space="0" w:color="000000"/>
            </w:tcBorders>
          </w:tcPr>
          <w:p>
            <w:pPr>
              <w:pStyle w:val="TableParagraph"/>
              <w:spacing w:line="273" w:lineRule="exact" w:before="148"/>
              <w:ind w:left="10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APPENDIX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I: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STRUCTURES</w:t>
            </w:r>
          </w:p>
        </w:tc>
        <w:tc>
          <w:tcPr>
            <w:tcW w:w="815" w:type="dxa"/>
            <w:tcBorders>
              <w:top w:val="dashed" w:sz="8" w:space="0" w:color="000000"/>
              <w:bottom w:val="dashed" w:sz="8" w:space="0" w:color="000000"/>
            </w:tcBorders>
          </w:tcPr>
          <w:p>
            <w:pPr>
              <w:pStyle w:val="TableParagraph"/>
              <w:spacing w:line="249" w:lineRule="exact" w:before="171"/>
              <w:ind w:left="208"/>
              <w:jc w:val="left"/>
              <w:rPr>
                <w:sz w:val="22"/>
              </w:rPr>
            </w:pPr>
            <w:r>
              <w:rPr>
                <w:sz w:val="22"/>
              </w:rPr>
              <w:t>98</w:t>
            </w:r>
          </w:p>
        </w:tc>
      </w:tr>
      <w:tr>
        <w:trPr>
          <w:trHeight w:val="440" w:hRule="atLeast"/>
        </w:trPr>
        <w:tc>
          <w:tcPr>
            <w:tcW w:w="8535" w:type="dxa"/>
            <w:tcBorders>
              <w:top w:val="dashed" w:sz="8" w:space="0" w:color="000000"/>
              <w:bottom w:val="dashed" w:sz="8" w:space="0" w:color="000000"/>
            </w:tcBorders>
          </w:tcPr>
          <w:p>
            <w:pPr>
              <w:pStyle w:val="TableParagraph"/>
              <w:spacing w:line="273" w:lineRule="exact" w:before="148"/>
              <w:ind w:left="10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APPENDIX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II: TABLES</w:t>
            </w:r>
          </w:p>
        </w:tc>
        <w:tc>
          <w:tcPr>
            <w:tcW w:w="815" w:type="dxa"/>
            <w:tcBorders>
              <w:top w:val="dashed" w:sz="8" w:space="0" w:color="000000"/>
              <w:bottom w:val="dashed" w:sz="8" w:space="0" w:color="000000"/>
            </w:tcBorders>
          </w:tcPr>
          <w:p>
            <w:pPr>
              <w:pStyle w:val="TableParagraph"/>
              <w:spacing w:line="249" w:lineRule="exact" w:before="171"/>
              <w:ind w:left="153"/>
              <w:jc w:val="left"/>
              <w:rPr>
                <w:sz w:val="22"/>
              </w:rPr>
            </w:pPr>
            <w:r>
              <w:rPr>
                <w:sz w:val="22"/>
              </w:rPr>
              <w:t>101</w:t>
            </w:r>
          </w:p>
        </w:tc>
      </w:tr>
      <w:tr>
        <w:trPr>
          <w:trHeight w:val="428" w:hRule="atLeast"/>
        </w:trPr>
        <w:tc>
          <w:tcPr>
            <w:tcW w:w="8535" w:type="dxa"/>
            <w:tcBorders>
              <w:top w:val="dashed" w:sz="8" w:space="0" w:color="000000"/>
              <w:bottom w:val="dashed" w:sz="8" w:space="0" w:color="000000"/>
            </w:tcBorders>
          </w:tcPr>
          <w:p>
            <w:pPr>
              <w:pStyle w:val="TableParagraph"/>
              <w:spacing w:line="273" w:lineRule="exact" w:before="136"/>
              <w:ind w:left="10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APPENDIX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III: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CHROMATOGRAMS</w:t>
            </w:r>
          </w:p>
        </w:tc>
        <w:tc>
          <w:tcPr>
            <w:tcW w:w="815" w:type="dxa"/>
            <w:tcBorders>
              <w:top w:val="dashed" w:sz="8" w:space="0" w:color="000000"/>
              <w:bottom w:val="dashed" w:sz="8" w:space="0" w:color="000000"/>
            </w:tcBorders>
          </w:tcPr>
          <w:p>
            <w:pPr>
              <w:pStyle w:val="TableParagraph"/>
              <w:spacing w:line="249" w:lineRule="exact" w:before="159"/>
              <w:ind w:left="153"/>
              <w:jc w:val="left"/>
              <w:rPr>
                <w:sz w:val="22"/>
              </w:rPr>
            </w:pPr>
            <w:r>
              <w:rPr>
                <w:sz w:val="22"/>
              </w:rPr>
              <w:t>109</w:t>
            </w:r>
          </w:p>
        </w:tc>
      </w:tr>
      <w:tr>
        <w:trPr>
          <w:trHeight w:val="848" w:hRule="atLeast"/>
        </w:trPr>
        <w:tc>
          <w:tcPr>
            <w:tcW w:w="8535" w:type="dxa"/>
            <w:tcBorders>
              <w:top w:val="dashed" w:sz="8" w:space="0" w:color="000000"/>
            </w:tcBorders>
          </w:tcPr>
          <w:p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  <w:p>
            <w:pPr>
              <w:pStyle w:val="TableParagraph"/>
              <w:spacing w:line="240" w:lineRule="auto" w:before="159"/>
              <w:ind w:left="3906" w:right="3082"/>
              <w:rPr>
                <w:b/>
                <w:sz w:val="24"/>
              </w:rPr>
            </w:pPr>
            <w:r>
              <w:rPr>
                <w:b/>
                <w:sz w:val="24"/>
              </w:rPr>
              <w:t>LIST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TABLES</w:t>
            </w:r>
          </w:p>
        </w:tc>
        <w:tc>
          <w:tcPr>
            <w:tcW w:w="815" w:type="dxa"/>
            <w:tcBorders>
              <w:top w:val="dashed" w:sz="8" w:space="0" w:color="000000"/>
            </w:tcBorders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843" w:hRule="atLeast"/>
        </w:trPr>
        <w:tc>
          <w:tcPr>
            <w:tcW w:w="8535" w:type="dxa"/>
            <w:tcBorders>
              <w:bottom w:val="dashed" w:sz="8" w:space="0" w:color="000000"/>
            </w:tcBorders>
          </w:tcPr>
          <w:p>
            <w:pPr>
              <w:pStyle w:val="TableParagraph"/>
              <w:spacing w:line="240" w:lineRule="auto" w:before="58"/>
              <w:ind w:left="108" w:right="579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Table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sz w:val="24"/>
              </w:rPr>
              <w:t>Woodford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Shale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samples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associated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depths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locations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obtained</w:t>
            </w:r>
            <w:r>
              <w:rPr>
                <w:spacing w:val="-51"/>
                <w:sz w:val="24"/>
              </w:rPr>
              <w:t> </w:t>
            </w:r>
            <w:r>
              <w:rPr>
                <w:sz w:val="24"/>
              </w:rPr>
              <w:t>from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Wyche-1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core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geochemical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analyses</w:t>
            </w:r>
          </w:p>
        </w:tc>
        <w:tc>
          <w:tcPr>
            <w:tcW w:w="815" w:type="dxa"/>
            <w:tcBorders>
              <w:bottom w:val="dashed" w:sz="8" w:space="0" w:color="000000"/>
            </w:tcBorders>
          </w:tcPr>
          <w:p>
            <w:pPr>
              <w:pStyle w:val="TableParagraph"/>
              <w:spacing w:line="240" w:lineRule="auto" w:before="9"/>
              <w:ind w:left="0"/>
              <w:jc w:val="left"/>
              <w:rPr>
                <w:sz w:val="28"/>
              </w:rPr>
            </w:pPr>
          </w:p>
          <w:p>
            <w:pPr>
              <w:pStyle w:val="TableParagraph"/>
              <w:spacing w:line="240" w:lineRule="auto"/>
              <w:ind w:left="262" w:right="266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>
        <w:trPr>
          <w:trHeight w:val="786" w:hRule="atLeast"/>
        </w:trPr>
        <w:tc>
          <w:tcPr>
            <w:tcW w:w="8535" w:type="dxa"/>
            <w:tcBorders>
              <w:top w:val="dashed" w:sz="8" w:space="0" w:color="000000"/>
              <w:bottom w:val="dashed" w:sz="8" w:space="0" w:color="000000"/>
            </w:tcBorders>
          </w:tcPr>
          <w:p>
            <w:pPr>
              <w:pStyle w:val="TableParagraph"/>
              <w:spacing w:line="240" w:lineRule="auto" w:before="1"/>
              <w:ind w:left="108" w:right="44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Table 2. </w:t>
            </w:r>
            <w:r>
              <w:rPr>
                <w:sz w:val="24"/>
              </w:rPr>
              <w:t>Aromatic Carotenoid Methylation Derivatives(</w:t>
            </w:r>
            <w:r>
              <w:rPr>
                <w:b/>
                <w:sz w:val="24"/>
              </w:rPr>
              <w:t>I-VI</w:t>
            </w:r>
            <w:r>
              <w:rPr>
                <w:sz w:val="24"/>
              </w:rPr>
              <w:t>). Concentrations are in</w:t>
            </w:r>
            <w:r>
              <w:rPr>
                <w:spacing w:val="-53"/>
                <w:sz w:val="24"/>
              </w:rPr>
              <w:t> </w:t>
            </w:r>
            <w:r>
              <w:rPr>
                <w:sz w:val="24"/>
              </w:rPr>
              <w:t>ng/g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OC</w:t>
            </w:r>
          </w:p>
        </w:tc>
        <w:tc>
          <w:tcPr>
            <w:tcW w:w="815" w:type="dxa"/>
            <w:tcBorders>
              <w:top w:val="dashed" w:sz="8" w:space="0" w:color="000000"/>
              <w:bottom w:val="dashed" w:sz="8" w:space="0" w:color="000000"/>
            </w:tcBorders>
          </w:tcPr>
          <w:p>
            <w:pPr>
              <w:pStyle w:val="TableParagraph"/>
              <w:spacing w:line="240" w:lineRule="auto" w:before="1"/>
              <w:ind w:left="0"/>
              <w:jc w:val="left"/>
              <w:rPr>
                <w:sz w:val="24"/>
              </w:rPr>
            </w:pPr>
          </w:p>
          <w:p>
            <w:pPr>
              <w:pStyle w:val="TableParagraph"/>
              <w:spacing w:line="240" w:lineRule="auto"/>
              <w:ind w:left="225"/>
              <w:jc w:val="left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</w:tr>
      <w:tr>
        <w:trPr>
          <w:trHeight w:val="786" w:hRule="atLeast"/>
        </w:trPr>
        <w:tc>
          <w:tcPr>
            <w:tcW w:w="8535" w:type="dxa"/>
            <w:tcBorders>
              <w:top w:val="dashed" w:sz="8" w:space="0" w:color="000000"/>
              <w:bottom w:val="dashed" w:sz="8" w:space="0" w:color="000000"/>
            </w:tcBorders>
          </w:tcPr>
          <w:p>
            <w:pPr>
              <w:pStyle w:val="TableParagraph"/>
              <w:spacing w:line="240" w:lineRule="auto" w:before="1"/>
              <w:ind w:left="108" w:right="576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Table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sz w:val="24"/>
              </w:rPr>
              <w:t>Isorenieratane/Paleorenieratane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ratios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LCMS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GCMS,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GCMS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data</w:t>
            </w:r>
            <w:r>
              <w:rPr>
                <w:spacing w:val="-51"/>
                <w:sz w:val="24"/>
              </w:rPr>
              <w:t> </w:t>
            </w:r>
            <w:r>
              <w:rPr>
                <w:sz w:val="24"/>
              </w:rPr>
              <w:t>taken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from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Connock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al.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2018</w:t>
            </w:r>
          </w:p>
        </w:tc>
        <w:tc>
          <w:tcPr>
            <w:tcW w:w="815" w:type="dxa"/>
            <w:tcBorders>
              <w:top w:val="dashed" w:sz="8" w:space="0" w:color="000000"/>
              <w:bottom w:val="dashed" w:sz="8" w:space="0" w:color="000000"/>
            </w:tcBorders>
          </w:tcPr>
          <w:p>
            <w:pPr>
              <w:pStyle w:val="TableParagraph"/>
              <w:spacing w:line="240" w:lineRule="auto" w:before="1"/>
              <w:ind w:left="0"/>
              <w:jc w:val="left"/>
              <w:rPr>
                <w:sz w:val="24"/>
              </w:rPr>
            </w:pPr>
          </w:p>
          <w:p>
            <w:pPr>
              <w:pStyle w:val="TableParagraph"/>
              <w:spacing w:line="240" w:lineRule="auto"/>
              <w:ind w:left="227"/>
              <w:jc w:val="lef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</w:tr>
      <w:tr>
        <w:trPr>
          <w:trHeight w:val="786" w:hRule="atLeast"/>
        </w:trPr>
        <w:tc>
          <w:tcPr>
            <w:tcW w:w="8535" w:type="dxa"/>
            <w:tcBorders>
              <w:top w:val="dashed" w:sz="8" w:space="0" w:color="000000"/>
              <w:bottom w:val="dashed" w:sz="8" w:space="0" w:color="000000"/>
            </w:tcBorders>
          </w:tcPr>
          <w:p>
            <w:pPr>
              <w:pStyle w:val="TableParagraph"/>
              <w:spacing w:line="240" w:lineRule="auto"/>
              <w:ind w:left="108" w:right="20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Table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sz w:val="24"/>
              </w:rPr>
              <w:t>Porphyrin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sums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each class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 compound.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BiCAP,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DPEP,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ETIO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reported</w:t>
            </w:r>
            <w:r>
              <w:rPr>
                <w:spacing w:val="-5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ng/g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OC</w:t>
            </w:r>
          </w:p>
        </w:tc>
        <w:tc>
          <w:tcPr>
            <w:tcW w:w="815" w:type="dxa"/>
            <w:tcBorders>
              <w:top w:val="dashed" w:sz="8" w:space="0" w:color="000000"/>
              <w:bottom w:val="dashed" w:sz="8" w:space="0" w:color="000000"/>
            </w:tcBorders>
          </w:tcPr>
          <w:p>
            <w:pPr>
              <w:pStyle w:val="TableParagraph"/>
              <w:spacing w:line="240" w:lineRule="auto" w:before="11"/>
              <w:ind w:left="0"/>
              <w:jc w:val="left"/>
              <w:rPr>
                <w:sz w:val="23"/>
              </w:rPr>
            </w:pPr>
          </w:p>
          <w:p>
            <w:pPr>
              <w:pStyle w:val="TableParagraph"/>
              <w:spacing w:line="240" w:lineRule="auto"/>
              <w:ind w:left="224"/>
              <w:jc w:val="left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</w:tr>
      <w:tr>
        <w:trPr>
          <w:trHeight w:val="786" w:hRule="atLeast"/>
        </w:trPr>
        <w:tc>
          <w:tcPr>
            <w:tcW w:w="8535" w:type="dxa"/>
            <w:tcBorders>
              <w:top w:val="dashed" w:sz="8" w:space="0" w:color="000000"/>
              <w:bottom w:val="dashed" w:sz="8" w:space="0" w:color="000000"/>
            </w:tcBorders>
          </w:tcPr>
          <w:p>
            <w:pPr>
              <w:pStyle w:val="TableParagraph"/>
              <w:spacing w:line="240" w:lineRule="auto"/>
              <w:ind w:left="108" w:right="711"/>
              <w:jc w:val="left"/>
              <w:rPr>
                <w:sz w:val="24"/>
              </w:rPr>
            </w:pPr>
            <w:r>
              <w:rPr>
                <w:b/>
                <w:position w:val="2"/>
                <w:sz w:val="24"/>
              </w:rPr>
              <w:t>Table 5. </w:t>
            </w:r>
            <w:r>
              <w:rPr>
                <w:position w:val="2"/>
                <w:sz w:val="24"/>
              </w:rPr>
              <w:t>VO/Ni porphyrin ratio, DPEP/ETIO ratio, and T</w:t>
            </w:r>
            <w:r>
              <w:rPr>
                <w:sz w:val="16"/>
              </w:rPr>
              <w:t>max</w:t>
            </w:r>
            <w:r>
              <w:rPr>
                <w:position w:val="2"/>
                <w:sz w:val="24"/>
              </w:rPr>
              <w:t>. T</w:t>
            </w:r>
            <w:r>
              <w:rPr>
                <w:sz w:val="16"/>
              </w:rPr>
              <w:t>max </w:t>
            </w:r>
            <w:r>
              <w:rPr>
                <w:position w:val="2"/>
                <w:sz w:val="24"/>
              </w:rPr>
              <w:t>data taken from</w:t>
            </w:r>
            <w:r>
              <w:rPr>
                <w:spacing w:val="-52"/>
                <w:position w:val="2"/>
                <w:sz w:val="24"/>
              </w:rPr>
              <w:t> </w:t>
            </w:r>
            <w:r>
              <w:rPr>
                <w:sz w:val="24"/>
              </w:rPr>
              <w:t>Connock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al.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2018</w:t>
            </w:r>
          </w:p>
        </w:tc>
        <w:tc>
          <w:tcPr>
            <w:tcW w:w="815" w:type="dxa"/>
            <w:tcBorders>
              <w:top w:val="dashed" w:sz="8" w:space="0" w:color="000000"/>
              <w:bottom w:val="dashed" w:sz="8" w:space="0" w:color="000000"/>
            </w:tcBorders>
          </w:tcPr>
          <w:p>
            <w:pPr>
              <w:pStyle w:val="TableParagraph"/>
              <w:spacing w:line="240" w:lineRule="auto" w:before="11"/>
              <w:ind w:left="0"/>
              <w:jc w:val="left"/>
              <w:rPr>
                <w:sz w:val="23"/>
              </w:rPr>
            </w:pPr>
          </w:p>
          <w:p>
            <w:pPr>
              <w:pStyle w:val="TableParagraph"/>
              <w:spacing w:line="240" w:lineRule="auto"/>
              <w:ind w:left="224"/>
              <w:jc w:val="left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</w:tr>
      <w:tr>
        <w:trPr>
          <w:trHeight w:val="491" w:hRule="atLeast"/>
        </w:trPr>
        <w:tc>
          <w:tcPr>
            <w:tcW w:w="8535" w:type="dxa"/>
            <w:tcBorders>
              <w:top w:val="dashed" w:sz="8" w:space="0" w:color="000000"/>
              <w:bottom w:val="dashed" w:sz="8" w:space="0" w:color="000000"/>
            </w:tcBorders>
          </w:tcPr>
          <w:p>
            <w:pPr>
              <w:pStyle w:val="TableParagraph"/>
              <w:spacing w:line="292" w:lineRule="exact"/>
              <w:ind w:left="108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Table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sz w:val="24"/>
              </w:rPr>
              <w:t>MTTC concentrations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ng/g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OC.</w:t>
            </w:r>
          </w:p>
        </w:tc>
        <w:tc>
          <w:tcPr>
            <w:tcW w:w="815" w:type="dxa"/>
            <w:tcBorders>
              <w:top w:val="dashed" w:sz="8" w:space="0" w:color="000000"/>
              <w:bottom w:val="dashed" w:sz="8" w:space="0" w:color="000000"/>
            </w:tcBorders>
          </w:tcPr>
          <w:p>
            <w:pPr>
              <w:pStyle w:val="TableParagraph"/>
              <w:spacing w:line="292" w:lineRule="exact"/>
              <w:ind w:left="223"/>
              <w:jc w:val="left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</w:tr>
      <w:tr>
        <w:trPr>
          <w:trHeight w:val="786" w:hRule="atLeast"/>
        </w:trPr>
        <w:tc>
          <w:tcPr>
            <w:tcW w:w="8535" w:type="dxa"/>
            <w:tcBorders>
              <w:top w:val="dashed" w:sz="8" w:space="0" w:color="000000"/>
              <w:bottom w:val="dashed" w:sz="8" w:space="0" w:color="000000"/>
            </w:tcBorders>
          </w:tcPr>
          <w:p>
            <w:pPr>
              <w:pStyle w:val="TableParagraph"/>
              <w:spacing w:line="240" w:lineRule="auto" w:before="1"/>
              <w:ind w:left="108" w:right="146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Table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sz w:val="24"/>
              </w:rPr>
              <w:t>Trimethylphytylbenzoquinone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(TMPBQ)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concentrations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separated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isomer</w:t>
            </w:r>
            <w:r>
              <w:rPr>
                <w:spacing w:val="-51"/>
                <w:sz w:val="24"/>
              </w:rPr>
              <w:t> </w:t>
            </w:r>
            <w:r>
              <w:rPr>
                <w:sz w:val="24"/>
              </w:rPr>
              <w:t>peaks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identified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chromatograph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reported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 ng/g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OC</w:t>
            </w:r>
          </w:p>
        </w:tc>
        <w:tc>
          <w:tcPr>
            <w:tcW w:w="815" w:type="dxa"/>
            <w:tcBorders>
              <w:top w:val="dashed" w:sz="8" w:space="0" w:color="000000"/>
              <w:bottom w:val="dashed" w:sz="8" w:space="0" w:color="000000"/>
            </w:tcBorders>
          </w:tcPr>
          <w:p>
            <w:pPr>
              <w:pStyle w:val="TableParagraph"/>
              <w:spacing w:line="240" w:lineRule="auto" w:before="1"/>
              <w:ind w:left="0"/>
              <w:jc w:val="left"/>
              <w:rPr>
                <w:sz w:val="24"/>
              </w:rPr>
            </w:pPr>
          </w:p>
          <w:p>
            <w:pPr>
              <w:pStyle w:val="TableParagraph"/>
              <w:spacing w:line="240" w:lineRule="auto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</w:tr>
      <w:tr>
        <w:trPr>
          <w:trHeight w:val="786" w:hRule="atLeast"/>
        </w:trPr>
        <w:tc>
          <w:tcPr>
            <w:tcW w:w="8535" w:type="dxa"/>
            <w:tcBorders>
              <w:top w:val="dashed" w:sz="8" w:space="0" w:color="000000"/>
              <w:bottom w:val="dashed" w:sz="8" w:space="0" w:color="000000"/>
            </w:tcBorders>
          </w:tcPr>
          <w:p>
            <w:pPr>
              <w:pStyle w:val="TableParagraph"/>
              <w:spacing w:line="240" w:lineRule="auto" w:before="1"/>
              <w:ind w:left="108" w:right="4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Table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8. </w:t>
            </w:r>
            <w:r>
              <w:rPr>
                <w:sz w:val="24"/>
              </w:rPr>
              <w:t>δ</w:t>
            </w:r>
            <w:r>
              <w:rPr>
                <w:sz w:val="24"/>
                <w:vertAlign w:val="superscript"/>
              </w:rPr>
              <w:t>13</w:t>
            </w:r>
            <w:r>
              <w:rPr>
                <w:sz w:val="24"/>
                <w:vertAlign w:val="baseline"/>
              </w:rPr>
              <w:t>C</w:t>
            </w:r>
            <w:r>
              <w:rPr>
                <w:spacing w:val="-3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whole</w:t>
            </w:r>
            <w:r>
              <w:rPr>
                <w:spacing w:val="-2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organic</w:t>
            </w:r>
            <w:r>
              <w:rPr>
                <w:spacing w:val="-3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carbon</w:t>
            </w:r>
            <w:r>
              <w:rPr>
                <w:spacing w:val="2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values.</w:t>
            </w:r>
            <w:r>
              <w:rPr>
                <w:spacing w:val="-2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Samples</w:t>
            </w:r>
            <w:r>
              <w:rPr>
                <w:spacing w:val="-2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are</w:t>
            </w:r>
            <w:r>
              <w:rPr>
                <w:spacing w:val="-3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marked</w:t>
            </w:r>
            <w:r>
              <w:rPr>
                <w:spacing w:val="2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if</w:t>
            </w:r>
            <w:r>
              <w:rPr>
                <w:spacing w:val="-3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they</w:t>
            </w:r>
            <w:r>
              <w:rPr>
                <w:spacing w:val="-5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came</w:t>
            </w:r>
            <w:r>
              <w:rPr>
                <w:spacing w:val="-2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from</w:t>
            </w:r>
            <w:r>
              <w:rPr>
                <w:spacing w:val="-52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previous</w:t>
            </w:r>
            <w:r>
              <w:rPr>
                <w:spacing w:val="-1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studies</w:t>
            </w:r>
            <w:r>
              <w:rPr>
                <w:spacing w:val="-3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or</w:t>
            </w:r>
            <w:r>
              <w:rPr>
                <w:spacing w:val="-2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this</w:t>
            </w:r>
            <w:r>
              <w:rPr>
                <w:spacing w:val="-3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study’s</w:t>
            </w:r>
            <w:r>
              <w:rPr>
                <w:spacing w:val="-1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samples</w:t>
            </w:r>
            <w:r>
              <w:rPr>
                <w:spacing w:val="-3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(Molinares-Blanco,</w:t>
            </w:r>
            <w:r>
              <w:rPr>
                <w:spacing w:val="-1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2019)</w:t>
            </w:r>
          </w:p>
        </w:tc>
        <w:tc>
          <w:tcPr>
            <w:tcW w:w="815" w:type="dxa"/>
            <w:tcBorders>
              <w:top w:val="dashed" w:sz="8" w:space="0" w:color="000000"/>
              <w:bottom w:val="dashed" w:sz="8" w:space="0" w:color="000000"/>
            </w:tcBorders>
          </w:tcPr>
          <w:p>
            <w:pPr>
              <w:pStyle w:val="TableParagraph"/>
              <w:spacing w:line="240" w:lineRule="auto" w:before="1"/>
              <w:ind w:left="0"/>
              <w:jc w:val="left"/>
              <w:rPr>
                <w:sz w:val="24"/>
              </w:rPr>
            </w:pPr>
          </w:p>
          <w:p>
            <w:pPr>
              <w:pStyle w:val="TableParagraph"/>
              <w:spacing w:line="240" w:lineRule="auto"/>
              <w:ind w:left="218"/>
              <w:jc w:val="left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</w:tr>
      <w:tr>
        <w:trPr>
          <w:trHeight w:val="580" w:hRule="atLeast"/>
        </w:trPr>
        <w:tc>
          <w:tcPr>
            <w:tcW w:w="8535" w:type="dxa"/>
            <w:tcBorders>
              <w:top w:val="dashed" w:sz="8" w:space="0" w:color="000000"/>
            </w:tcBorders>
          </w:tcPr>
          <w:p>
            <w:pPr>
              <w:pStyle w:val="TableParagraph"/>
              <w:spacing w:line="292" w:lineRule="exact"/>
              <w:ind w:left="108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Table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9. </w:t>
            </w:r>
            <w:r>
              <w:rPr>
                <w:sz w:val="24"/>
              </w:rPr>
              <w:t>Comparison of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values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concentrations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obtained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from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LCMS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method</w:t>
            </w:r>
          </w:p>
          <w:p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and the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concentrations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obtained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from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GCMS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method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(Connock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et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al.,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2018).</w:t>
            </w:r>
          </w:p>
        </w:tc>
        <w:tc>
          <w:tcPr>
            <w:tcW w:w="815" w:type="dxa"/>
            <w:tcBorders>
              <w:top w:val="dashed" w:sz="8" w:space="0" w:color="000000"/>
            </w:tcBorders>
          </w:tcPr>
          <w:p>
            <w:pPr>
              <w:pStyle w:val="TableParagraph"/>
              <w:spacing w:line="240" w:lineRule="auto" w:before="11"/>
              <w:ind w:left="0"/>
              <w:jc w:val="left"/>
              <w:rPr>
                <w:sz w:val="23"/>
              </w:rPr>
            </w:pPr>
          </w:p>
          <w:p>
            <w:pPr>
              <w:pStyle w:val="TableParagraph"/>
              <w:spacing w:line="268" w:lineRule="exact"/>
              <w:ind w:left="261" w:right="267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</w:tr>
    </w:tbl>
    <w:p>
      <w:pPr>
        <w:pStyle w:val="BodyText"/>
        <w:spacing w:before="3"/>
        <w:rPr>
          <w:sz w:val="16"/>
        </w:rPr>
      </w:pPr>
      <w:r>
        <w:rPr/>
        <w:pict>
          <v:rect style="position:absolute;margin-left:71.279999pt;margin-top:11.115625pt;width:1.679999pt;height:.959977pt;mso-position-horizontal-relative:page;mso-position-vertical-relative:paragraph;z-index:-15688704;mso-wrap-distance-left:0;mso-wrap-distance-right:0" id="docshape62" filled="true" fillcolor="#000000" stroked="false">
            <v:fill type="solid"/>
            <w10:wrap type="topAndBottom"/>
          </v:rect>
        </w:pict>
      </w:r>
      <w:r>
        <w:rPr/>
        <w:pict>
          <v:shape style="position:absolute;margin-left:76.800003pt;margin-top:11.595634pt;width:457pt;height:.1pt;mso-position-horizontal-relative:page;mso-position-vertical-relative:paragraph;z-index:-15688192;mso-wrap-distance-left:0;mso-wrap-distance-right:0" id="docshape63" coordorigin="1536,232" coordsize="9140,0" path="m1536,232l10675,232e" filled="false" stroked="true" strokeweight=".959977pt" strokecolor="#000000">
            <v:path arrowok="t"/>
            <v:stroke dashstyle="dash"/>
            <w10:wrap type="topAndBottom"/>
          </v:shape>
        </w:pict>
      </w:r>
      <w:r>
        <w:rPr/>
        <w:pict>
          <v:rect style="position:absolute;margin-left:537.600037pt;margin-top:11.115645pt;width:1.919998pt;height:.959977pt;mso-position-horizontal-relative:page;mso-position-vertical-relative:paragraph;z-index:-15687680;mso-wrap-distance-left:0;mso-wrap-distance-right:0" id="docshape64" filled="true" fillcolor="#000000" stroked="false">
            <v:fill type="solid"/>
            <w10:wrap type="topAndBottom"/>
          </v:rect>
        </w:pict>
      </w:r>
    </w:p>
    <w:p>
      <w:pPr>
        <w:spacing w:after="0"/>
        <w:rPr>
          <w:sz w:val="16"/>
        </w:rPr>
        <w:sectPr>
          <w:footerReference w:type="default" r:id="rId9"/>
          <w:pgSz w:w="12240" w:h="15840"/>
          <w:pgMar w:footer="1014" w:header="0" w:top="1480" w:bottom="1200" w:left="1320" w:right="820"/>
          <w:pgNumType w:start="1"/>
        </w:sectPr>
      </w:pPr>
    </w:p>
    <w:p>
      <w:pPr>
        <w:pStyle w:val="Heading1"/>
      </w:pPr>
      <w:r>
        <w:rPr/>
        <w:t>LIST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FIGURES</w:t>
      </w:r>
    </w:p>
    <w:p>
      <w:pPr>
        <w:pStyle w:val="BodyText"/>
        <w:spacing w:before="161"/>
        <w:ind w:left="227"/>
      </w:pPr>
      <w:r>
        <w:rPr>
          <w:b/>
        </w:rPr>
        <w:t>Figure</w:t>
      </w:r>
      <w:r>
        <w:rPr>
          <w:b/>
          <w:spacing w:val="-4"/>
        </w:rPr>
        <w:t> </w:t>
      </w:r>
      <w:r>
        <w:rPr>
          <w:b/>
        </w:rPr>
        <w:t>1.</w:t>
      </w:r>
      <w:r>
        <w:rPr>
          <w:b/>
          <w:spacing w:val="1"/>
        </w:rPr>
        <w:t> </w:t>
      </w:r>
      <w:r>
        <w:rPr/>
        <w:t>Arkoma</w:t>
      </w:r>
      <w:r>
        <w:rPr>
          <w:spacing w:val="-4"/>
        </w:rPr>
        <w:t> </w:t>
      </w:r>
      <w:r>
        <w:rPr/>
        <w:t>basin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Oklahoma</w:t>
      </w:r>
      <w:r>
        <w:rPr>
          <w:spacing w:val="-4"/>
        </w:rPr>
        <w:t> </w:t>
      </w:r>
      <w:r>
        <w:rPr/>
        <w:t>and</w:t>
      </w:r>
      <w:r>
        <w:rPr>
          <w:spacing w:val="1"/>
        </w:rPr>
        <w:t> </w:t>
      </w:r>
      <w:r>
        <w:rPr/>
        <w:t>Arkansas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the surrounding</w:t>
      </w:r>
      <w:r>
        <w:rPr>
          <w:spacing w:val="-2"/>
        </w:rPr>
        <w:t> </w:t>
      </w:r>
      <w:r>
        <w:rPr/>
        <w:t>geologic</w:t>
      </w:r>
    </w:p>
    <w:p>
      <w:pPr>
        <w:pStyle w:val="BodyText"/>
        <w:tabs>
          <w:tab w:pos="9122" w:val="right" w:leader="none"/>
        </w:tabs>
        <w:ind w:left="227"/>
      </w:pPr>
      <w:r>
        <w:rPr/>
        <w:t>provinces.</w:t>
      </w:r>
      <w:r>
        <w:rPr>
          <w:spacing w:val="-2"/>
        </w:rPr>
        <w:t> </w:t>
      </w:r>
      <w:r>
        <w:rPr/>
        <w:t>(Sutherland,</w:t>
      </w:r>
      <w:r>
        <w:rPr>
          <w:spacing w:val="-1"/>
        </w:rPr>
        <w:t> </w:t>
      </w:r>
      <w:r>
        <w:rPr/>
        <w:t>1988)</w:t>
      </w:r>
      <w:r>
        <w:rPr>
          <w:rFonts w:ascii="Times New Roman"/>
        </w:rPr>
        <w:tab/>
      </w:r>
      <w:r>
        <w:rPr/>
        <w:t>3</w:t>
      </w:r>
    </w:p>
    <w:p>
      <w:pPr>
        <w:pStyle w:val="BodyText"/>
        <w:spacing w:before="220"/>
        <w:ind w:left="227"/>
      </w:pPr>
      <w:r>
        <w:rPr/>
        <w:pict>
          <v:rect style="position:absolute;margin-left:72pt;margin-top:9.945755pt;width:.959999pt;height:.959998pt;mso-position-horizontal-relative:page;mso-position-vertical-relative:paragraph;z-index:15770112" id="docshape68" filled="true" fillcolor="#000000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15770624" from="76.800003pt,10.425758pt" to="533.76001pt,10.425758pt" stroked="true" strokeweight=".959999pt" strokecolor="#000000">
            <v:stroke dashstyle="dash"/>
            <w10:wrap type="none"/>
          </v:line>
        </w:pict>
      </w:r>
      <w:r>
        <w:rPr/>
        <w:pict>
          <v:rect style="position:absolute;margin-left:537.600037pt;margin-top:9.94576pt;width:1.919998pt;height:.959999pt;mso-position-horizontal-relative:page;mso-position-vertical-relative:paragraph;z-index:15771136" id="docshape69" filled="true" fillcolor="#000000" stroked="false">
            <v:fill type="solid"/>
            <w10:wrap type="none"/>
          </v:rect>
        </w:pict>
      </w:r>
      <w:r>
        <w:rPr>
          <w:b/>
        </w:rPr>
        <w:t>Figure</w:t>
      </w:r>
      <w:r>
        <w:rPr>
          <w:b/>
          <w:spacing w:val="-4"/>
        </w:rPr>
        <w:t> </w:t>
      </w:r>
      <w:r>
        <w:rPr>
          <w:b/>
        </w:rPr>
        <w:t>2. </w:t>
      </w:r>
      <w:r>
        <w:rPr/>
        <w:t>Geologic</w:t>
      </w:r>
      <w:r>
        <w:rPr>
          <w:spacing w:val="-3"/>
        </w:rPr>
        <w:t> </w:t>
      </w:r>
      <w:r>
        <w:rPr/>
        <w:t>map</w:t>
      </w:r>
      <w:r>
        <w:rPr>
          <w:spacing w:val="-4"/>
        </w:rPr>
        <w:t> </w:t>
      </w:r>
      <w:r>
        <w:rPr/>
        <w:t>and</w:t>
      </w:r>
      <w:r>
        <w:rPr>
          <w:spacing w:val="1"/>
        </w:rPr>
        <w:t> </w:t>
      </w:r>
      <w:r>
        <w:rPr/>
        <w:t>geologic</w:t>
      </w:r>
      <w:r>
        <w:rPr>
          <w:spacing w:val="-3"/>
        </w:rPr>
        <w:t> </w:t>
      </w:r>
      <w:r>
        <w:rPr/>
        <w:t>cross</w:t>
      </w:r>
      <w:r>
        <w:rPr>
          <w:spacing w:val="-3"/>
        </w:rPr>
        <w:t> </w:t>
      </w:r>
      <w:r>
        <w:rPr/>
        <w:t>sections of</w:t>
      </w:r>
      <w:r>
        <w:rPr>
          <w:spacing w:val="1"/>
        </w:rPr>
        <w:t> </w:t>
      </w:r>
      <w:r>
        <w:rPr/>
        <w:t>Oklahoma.</w:t>
      </w:r>
      <w:r>
        <w:rPr>
          <w:spacing w:val="-2"/>
        </w:rPr>
        <w:t> </w:t>
      </w:r>
      <w:r>
        <w:rPr/>
        <w:t>Cross</w:t>
      </w:r>
      <w:r>
        <w:rPr>
          <w:spacing w:val="-3"/>
        </w:rPr>
        <w:t> </w:t>
      </w:r>
      <w:r>
        <w:rPr/>
        <w:t>sections</w:t>
      </w:r>
    </w:p>
    <w:p>
      <w:pPr>
        <w:pStyle w:val="BodyText"/>
        <w:tabs>
          <w:tab w:pos="9118" w:val="right" w:leader="none"/>
        </w:tabs>
        <w:ind w:left="227"/>
      </w:pPr>
      <w:r>
        <w:rPr/>
        <w:pict>
          <v:rect style="position:absolute;margin-left:72pt;margin-top:24.625809pt;width:.959999pt;height:.959999pt;mso-position-horizontal-relative:page;mso-position-vertical-relative:paragraph;z-index:15771648" id="docshape70" filled="true" fillcolor="#000000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15772160" from="76.800003pt,25.105814pt" to="533.76001pt,25.105814pt" stroked="true" strokeweight=".959999pt" strokecolor="#000000">
            <v:stroke dashstyle="dash"/>
            <w10:wrap type="none"/>
          </v:line>
        </w:pict>
      </w:r>
      <w:r>
        <w:rPr/>
        <w:pict>
          <v:rect style="position:absolute;margin-left:537.600037pt;margin-top:24.625814pt;width:1.919998pt;height:.959999pt;mso-position-horizontal-relative:page;mso-position-vertical-relative:paragraph;z-index:15772672" id="docshape71" filled="true" fillcolor="#000000" stroked="false">
            <v:fill type="solid"/>
            <w10:wrap type="none"/>
          </v:rect>
        </w:pict>
      </w:r>
      <w:r>
        <w:rPr/>
        <w:t>follow</w:t>
      </w:r>
      <w:r>
        <w:rPr>
          <w:spacing w:val="-2"/>
        </w:rPr>
        <w:t> </w:t>
      </w:r>
      <w:r>
        <w:rPr/>
        <w:t>lines</w:t>
      </w:r>
      <w:r>
        <w:rPr>
          <w:spacing w:val="1"/>
        </w:rPr>
        <w:t> </w:t>
      </w:r>
      <w:r>
        <w:rPr/>
        <w:t>A-A',</w:t>
      </w:r>
      <w:r>
        <w:rPr>
          <w:spacing w:val="-1"/>
        </w:rPr>
        <w:t> </w:t>
      </w:r>
      <w:r>
        <w:rPr/>
        <w:t>B-B',</w:t>
      </w:r>
      <w:r>
        <w:rPr>
          <w:spacing w:val="-2"/>
        </w:rPr>
        <w:t> </w:t>
      </w:r>
      <w:r>
        <w:rPr/>
        <w:t>and</w:t>
      </w:r>
      <w:r>
        <w:rPr>
          <w:spacing w:val="2"/>
        </w:rPr>
        <w:t> </w:t>
      </w:r>
      <w:r>
        <w:rPr/>
        <w:t>C-C'</w:t>
      </w:r>
      <w:r>
        <w:rPr>
          <w:spacing w:val="-1"/>
        </w:rPr>
        <w:t> </w:t>
      </w:r>
      <w:r>
        <w:rPr/>
        <w:t>on the</w:t>
      </w:r>
      <w:r>
        <w:rPr>
          <w:spacing w:val="-1"/>
        </w:rPr>
        <w:t> </w:t>
      </w:r>
      <w:r>
        <w:rPr/>
        <w:t>map (Johnson</w:t>
      </w:r>
      <w:r>
        <w:rPr>
          <w:spacing w:val="2"/>
        </w:rPr>
        <w:t> </w:t>
      </w:r>
      <w:r>
        <w:rPr/>
        <w:t>and</w:t>
      </w:r>
      <w:r>
        <w:rPr>
          <w:spacing w:val="-1"/>
        </w:rPr>
        <w:t> </w:t>
      </w:r>
      <w:r>
        <w:rPr/>
        <w:t>Suneson,</w:t>
      </w:r>
      <w:r>
        <w:rPr>
          <w:spacing w:val="-4"/>
        </w:rPr>
        <w:t> </w:t>
      </w:r>
      <w:r>
        <w:rPr/>
        <w:t>1997)</w:t>
      </w:r>
      <w:r>
        <w:rPr>
          <w:rFonts w:ascii="Times New Roman"/>
        </w:rPr>
        <w:tab/>
      </w:r>
      <w:r>
        <w:rPr/>
        <w:t>4</w:t>
      </w:r>
    </w:p>
    <w:p>
      <w:pPr>
        <w:pStyle w:val="BodyText"/>
        <w:tabs>
          <w:tab w:pos="9120" w:val="right" w:leader="none"/>
        </w:tabs>
        <w:spacing w:before="218"/>
        <w:ind w:left="227"/>
      </w:pPr>
      <w:r>
        <w:rPr>
          <w:b/>
        </w:rPr>
        <w:t>Figure</w:t>
      </w:r>
      <w:r>
        <w:rPr>
          <w:b/>
          <w:spacing w:val="-3"/>
        </w:rPr>
        <w:t> </w:t>
      </w:r>
      <w:r>
        <w:rPr>
          <w:b/>
        </w:rPr>
        <w:t>3.</w:t>
      </w:r>
      <w:r>
        <w:rPr>
          <w:b/>
          <w:spacing w:val="2"/>
        </w:rPr>
        <w:t> </w:t>
      </w:r>
      <w:r>
        <w:rPr/>
        <w:t>Modern</w:t>
      </w:r>
      <w:r>
        <w:rPr>
          <w:spacing w:val="3"/>
        </w:rPr>
        <w:t> </w:t>
      </w:r>
      <w:r>
        <w:rPr/>
        <w:t>geologic</w:t>
      </w:r>
      <w:r>
        <w:rPr>
          <w:spacing w:val="-1"/>
        </w:rPr>
        <w:t> </w:t>
      </w:r>
      <w:r>
        <w:rPr/>
        <w:t>provinces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Oklahoma</w:t>
      </w:r>
      <w:r>
        <w:rPr>
          <w:spacing w:val="-1"/>
        </w:rPr>
        <w:t> </w:t>
      </w:r>
      <w:r>
        <w:rPr/>
        <w:t>(Cardott, 2012)</w:t>
      </w:r>
      <w:r>
        <w:rPr>
          <w:rFonts w:ascii="Times New Roman"/>
        </w:rPr>
        <w:tab/>
      </w:r>
      <w:r>
        <w:rPr/>
        <w:t>6</w:t>
      </w:r>
    </w:p>
    <w:p>
      <w:pPr>
        <w:pStyle w:val="BodyText"/>
        <w:spacing w:before="221"/>
        <w:ind w:left="227" w:right="1636"/>
        <w:jc w:val="both"/>
      </w:pPr>
      <w:r>
        <w:rPr/>
        <w:pict>
          <v:rect style="position:absolute;margin-left:72pt;margin-top:10.11575pt;width:.959999pt;height:.959998pt;mso-position-horizontal-relative:page;mso-position-vertical-relative:paragraph;z-index:15773184" id="docshape72" filled="true" fillcolor="#000000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15773696" from="76.800003pt,10.595756pt" to="533.76001pt,10.595756pt" stroked="true" strokeweight=".959999pt" strokecolor="#000000">
            <v:stroke dashstyle="dash"/>
            <w10:wrap type="none"/>
          </v:line>
        </w:pict>
      </w:r>
      <w:r>
        <w:rPr/>
        <w:pict>
          <v:rect style="position:absolute;margin-left:537.600037pt;margin-top:10.115756pt;width:1.919998pt;height:.959999pt;mso-position-horizontal-relative:page;mso-position-vertical-relative:paragraph;z-index:15774208" id="docshape73" filled="true" fillcolor="#000000" stroked="false">
            <v:fill type="solid"/>
            <w10:wrap type="none"/>
          </v:rect>
        </w:pict>
      </w:r>
      <w:r>
        <w:rPr>
          <w:b/>
        </w:rPr>
        <w:t>Figure</w:t>
      </w:r>
      <w:r>
        <w:rPr>
          <w:b/>
          <w:spacing w:val="-5"/>
        </w:rPr>
        <w:t> </w:t>
      </w:r>
      <w:r>
        <w:rPr>
          <w:b/>
        </w:rPr>
        <w:t>4.</w:t>
      </w:r>
      <w:r>
        <w:rPr>
          <w:b/>
          <w:spacing w:val="-1"/>
        </w:rPr>
        <w:t> </w:t>
      </w:r>
      <w:r>
        <w:rPr/>
        <w:t>Relative</w:t>
      </w:r>
      <w:r>
        <w:rPr>
          <w:spacing w:val="-4"/>
        </w:rPr>
        <w:t> </w:t>
      </w:r>
      <w:r>
        <w:rPr/>
        <w:t>sea-level</w:t>
      </w:r>
      <w:r>
        <w:rPr>
          <w:spacing w:val="-4"/>
        </w:rPr>
        <w:t> </w:t>
      </w:r>
      <w:r>
        <w:rPr/>
        <w:t>curve comprising</w:t>
      </w:r>
      <w:r>
        <w:rPr>
          <w:spacing w:val="-1"/>
        </w:rPr>
        <w:t> </w:t>
      </w:r>
      <w:r>
        <w:rPr/>
        <w:t>one</w:t>
      </w:r>
      <w:r>
        <w:rPr>
          <w:spacing w:val="-1"/>
        </w:rPr>
        <w:t> </w:t>
      </w:r>
      <w:r>
        <w:rPr/>
        <w:t>complete</w:t>
      </w:r>
      <w:r>
        <w:rPr>
          <w:spacing w:val="-4"/>
        </w:rPr>
        <w:t> </w:t>
      </w:r>
      <w:r>
        <w:rPr/>
        <w:t>cycle from</w:t>
      </w:r>
      <w:r>
        <w:rPr>
          <w:spacing w:val="-1"/>
        </w:rPr>
        <w:t> </w:t>
      </w:r>
      <w:r>
        <w:rPr/>
        <w:t>one</w:t>
      </w:r>
      <w:r>
        <w:rPr>
          <w:spacing w:val="-4"/>
        </w:rPr>
        <w:t> </w:t>
      </w:r>
      <w:r>
        <w:rPr/>
        <w:t>highstand</w:t>
      </w:r>
      <w:r>
        <w:rPr>
          <w:spacing w:val="-52"/>
        </w:rPr>
        <w:t> </w:t>
      </w:r>
      <w:r>
        <w:rPr/>
        <w:t>to the next highstand. The falling limb represents the falling stage of the relative sea</w:t>
      </w:r>
      <w:r>
        <w:rPr>
          <w:spacing w:val="-52"/>
        </w:rPr>
        <w:t> </w:t>
      </w:r>
      <w:r>
        <w:rPr/>
        <w:t>level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rising</w:t>
      </w:r>
      <w:r>
        <w:rPr>
          <w:spacing w:val="-4"/>
        </w:rPr>
        <w:t> </w:t>
      </w:r>
      <w:r>
        <w:rPr/>
        <w:t>limb</w:t>
      </w:r>
      <w:r>
        <w:rPr>
          <w:spacing w:val="-3"/>
        </w:rPr>
        <w:t> </w:t>
      </w:r>
      <w:r>
        <w:rPr/>
        <w:t>represents</w:t>
      </w:r>
      <w:r>
        <w:rPr>
          <w:spacing w:val="-2"/>
        </w:rPr>
        <w:t> </w:t>
      </w:r>
      <w:r>
        <w:rPr/>
        <w:t>the</w:t>
      </w:r>
      <w:r>
        <w:rPr>
          <w:spacing w:val="1"/>
        </w:rPr>
        <w:t> </w:t>
      </w:r>
      <w:r>
        <w:rPr/>
        <w:t>rising</w:t>
      </w:r>
      <w:r>
        <w:rPr>
          <w:spacing w:val="1"/>
        </w:rPr>
        <w:t> </w:t>
      </w:r>
      <w:r>
        <w:rPr/>
        <w:t>stage</w:t>
      </w:r>
      <w:r>
        <w:rPr>
          <w:spacing w:val="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1"/>
        </w:rPr>
        <w:t> </w:t>
      </w:r>
      <w:r>
        <w:rPr/>
        <w:t>relative</w:t>
      </w:r>
      <w:r>
        <w:rPr>
          <w:spacing w:val="-3"/>
        </w:rPr>
        <w:t> </w:t>
      </w:r>
      <w:r>
        <w:rPr/>
        <w:t>sea</w:t>
      </w:r>
      <w:r>
        <w:rPr>
          <w:spacing w:val="-2"/>
        </w:rPr>
        <w:t> </w:t>
      </w:r>
      <w:r>
        <w:rPr/>
        <w:t>level.</w:t>
      </w:r>
    </w:p>
    <w:p>
      <w:pPr>
        <w:pStyle w:val="BodyText"/>
        <w:tabs>
          <w:tab w:pos="9002" w:val="left" w:leader="none"/>
        </w:tabs>
        <w:spacing w:line="292" w:lineRule="exact"/>
        <w:ind w:left="227"/>
        <w:jc w:val="both"/>
      </w:pPr>
      <w:r>
        <w:rPr/>
        <w:t>(Simmons,</w:t>
      </w:r>
      <w:r>
        <w:rPr>
          <w:spacing w:val="-1"/>
        </w:rPr>
        <w:t> </w:t>
      </w:r>
      <w:r>
        <w:rPr/>
        <w:t>2012)</w:t>
      </w:r>
      <w:r>
        <w:rPr>
          <w:rFonts w:ascii="Times New Roman"/>
        </w:rPr>
        <w:tab/>
      </w:r>
      <w:r>
        <w:rPr/>
        <w:t>9</w:t>
      </w:r>
    </w:p>
    <w:p>
      <w:pPr>
        <w:pStyle w:val="BodyText"/>
        <w:tabs>
          <w:tab w:pos="9178" w:val="right" w:leader="none"/>
        </w:tabs>
        <w:spacing w:before="221"/>
        <w:ind w:left="227"/>
      </w:pPr>
      <w:r>
        <w:rPr/>
        <w:pict>
          <v:rect style="position:absolute;margin-left:72pt;margin-top:10.115766pt;width:.959999pt;height:.960023pt;mso-position-horizontal-relative:page;mso-position-vertical-relative:paragraph;z-index:15774720" id="docshape74" filled="true" fillcolor="#000000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15775232" from="76.800003pt,10.595784pt" to="533.76001pt,10.595784pt" stroked="true" strokeweight=".960023pt" strokecolor="#000000">
            <v:stroke dashstyle="dash"/>
            <w10:wrap type="none"/>
          </v:line>
        </w:pict>
      </w:r>
      <w:r>
        <w:rPr/>
        <w:pict>
          <v:rect style="position:absolute;margin-left:537.600037pt;margin-top:10.115773pt;width:1.919998pt;height:.960023pt;mso-position-horizontal-relative:page;mso-position-vertical-relative:paragraph;z-index:15775744" id="docshape75" filled="true" fillcolor="#000000" stroked="false">
            <v:fill type="solid"/>
            <w10:wrap type="none"/>
          </v:rect>
        </w:pict>
      </w:r>
      <w:r>
        <w:rPr/>
        <w:pict>
          <v:rect style="position:absolute;margin-left:72pt;margin-top:35.675777pt;width:.959999pt;height:.959999pt;mso-position-horizontal-relative:page;mso-position-vertical-relative:paragraph;z-index:15776256" id="docshape76" filled="true" fillcolor="#000000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15776768" from="76.800003pt,36.155785pt" to="533.76001pt,36.155785pt" stroked="true" strokeweight=".959999pt" strokecolor="#000000">
            <v:stroke dashstyle="dash"/>
            <w10:wrap type="none"/>
          </v:line>
        </w:pict>
      </w:r>
      <w:r>
        <w:rPr/>
        <w:pict>
          <v:rect style="position:absolute;margin-left:537.600037pt;margin-top:35.675785pt;width:1.919998pt;height:.959999pt;mso-position-horizontal-relative:page;mso-position-vertical-relative:paragraph;z-index:15777280" id="docshape77" filled="true" fillcolor="#000000" stroked="false">
            <v:fill type="solid"/>
            <w10:wrap type="none"/>
          </v:rect>
        </w:pict>
      </w:r>
      <w:r>
        <w:rPr>
          <w:b/>
        </w:rPr>
        <w:t>Figure</w:t>
      </w:r>
      <w:r>
        <w:rPr>
          <w:b/>
          <w:spacing w:val="-3"/>
        </w:rPr>
        <w:t> </w:t>
      </w:r>
      <w:r>
        <w:rPr>
          <w:b/>
        </w:rPr>
        <w:t>5.</w:t>
      </w:r>
      <w:r>
        <w:rPr>
          <w:b/>
          <w:spacing w:val="2"/>
        </w:rPr>
        <w:t> </w:t>
      </w:r>
      <w:r>
        <w:rPr/>
        <w:t>Borehole</w:t>
      </w:r>
      <w:r>
        <w:rPr>
          <w:spacing w:val="-3"/>
        </w:rPr>
        <w:t> </w:t>
      </w:r>
      <w:r>
        <w:rPr/>
        <w:t>log</w:t>
      </w:r>
      <w:r>
        <w:rPr>
          <w:spacing w:val="-2"/>
        </w:rPr>
        <w:t> </w:t>
      </w:r>
      <w:r>
        <w:rPr/>
        <w:t>data</w:t>
      </w:r>
      <w:r>
        <w:rPr>
          <w:spacing w:val="1"/>
        </w:rPr>
        <w:t> </w:t>
      </w:r>
      <w:r>
        <w:rPr/>
        <w:t>set</w:t>
      </w:r>
      <w:r>
        <w:rPr>
          <w:spacing w:val="3"/>
        </w:rPr>
        <w:t> </w:t>
      </w:r>
      <w:r>
        <w:rPr/>
        <w:t>from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Wyche-1</w:t>
      </w:r>
      <w:r>
        <w:rPr>
          <w:spacing w:val="-2"/>
        </w:rPr>
        <w:t> </w:t>
      </w:r>
      <w:r>
        <w:rPr/>
        <w:t>well.</w:t>
      </w:r>
      <w:r>
        <w:rPr>
          <w:spacing w:val="-1"/>
        </w:rPr>
        <w:t> </w:t>
      </w:r>
      <w:r>
        <w:rPr/>
        <w:t>(Molinares-Blanco,</w:t>
      </w:r>
      <w:r>
        <w:rPr>
          <w:spacing w:val="-3"/>
        </w:rPr>
        <w:t> </w:t>
      </w:r>
      <w:r>
        <w:rPr/>
        <w:t>2013)</w:t>
      </w:r>
      <w:r>
        <w:rPr>
          <w:rFonts w:ascii="Times New Roman"/>
        </w:rPr>
        <w:tab/>
      </w:r>
      <w:r>
        <w:rPr/>
        <w:t>11</w:t>
      </w:r>
    </w:p>
    <w:p>
      <w:pPr>
        <w:pStyle w:val="BodyText"/>
        <w:spacing w:before="220"/>
        <w:ind w:left="227" w:right="1641"/>
      </w:pPr>
      <w:r>
        <w:rPr>
          <w:b/>
        </w:rPr>
        <w:t>Figure 6. </w:t>
      </w:r>
      <w:r>
        <w:rPr/>
        <w:t>Sequence stratigraphic framework developed by RHP analysis and</w:t>
      </w:r>
      <w:r>
        <w:rPr>
          <w:spacing w:val="1"/>
        </w:rPr>
        <w:t> </w:t>
      </w:r>
      <w:r>
        <w:rPr/>
        <w:t>correlation</w:t>
      </w:r>
      <w:r>
        <w:rPr>
          <w:spacing w:val="-4"/>
        </w:rPr>
        <w:t> </w:t>
      </w:r>
      <w:r>
        <w:rPr/>
        <w:t>to</w:t>
      </w:r>
      <w:r>
        <w:rPr>
          <w:spacing w:val="-2"/>
        </w:rPr>
        <w:t> </w:t>
      </w:r>
      <w:r>
        <w:rPr/>
        <w:t>preexisting</w:t>
      </w:r>
      <w:r>
        <w:rPr>
          <w:spacing w:val="-4"/>
        </w:rPr>
        <w:t> </w:t>
      </w:r>
      <w:r>
        <w:rPr/>
        <w:t>characterizations</w:t>
      </w:r>
      <w:r>
        <w:rPr>
          <w:spacing w:val="-3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Woodford Shale</w:t>
      </w:r>
      <w:r>
        <w:rPr>
          <w:spacing w:val="-4"/>
        </w:rPr>
        <w:t> </w:t>
      </w:r>
      <w:r>
        <w:rPr/>
        <w:t>(Romero and</w:t>
      </w:r>
    </w:p>
    <w:p>
      <w:pPr>
        <w:pStyle w:val="BodyText"/>
        <w:tabs>
          <w:tab w:pos="8942" w:val="left" w:leader="none"/>
        </w:tabs>
        <w:spacing w:line="293" w:lineRule="exact"/>
        <w:ind w:left="227"/>
      </w:pPr>
      <w:r>
        <w:rPr/>
        <w:pict>
          <v:rect style="position:absolute;margin-left:72pt;margin-top:24.60891pt;width:.959999pt;height:.959999pt;mso-position-horizontal-relative:page;mso-position-vertical-relative:paragraph;z-index:15777792" id="docshape78" filled="true" fillcolor="#000000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15778304" from="76.800003pt,25.088919pt" to="533.76001pt,25.088919pt" stroked="true" strokeweight=".959999pt" strokecolor="#000000">
            <v:stroke dashstyle="dash"/>
            <w10:wrap type="none"/>
          </v:line>
        </w:pict>
      </w:r>
      <w:r>
        <w:rPr/>
        <w:pict>
          <v:rect style="position:absolute;margin-left:537.600037pt;margin-top:24.608919pt;width:1.919998pt;height:.959999pt;mso-position-horizontal-relative:page;mso-position-vertical-relative:paragraph;z-index:15778816" id="docshape79" filled="true" fillcolor="#000000" stroked="false">
            <v:fill type="solid"/>
            <w10:wrap type="none"/>
          </v:rect>
        </w:pict>
      </w:r>
      <w:r>
        <w:rPr/>
        <w:t>Philp,</w:t>
      </w:r>
      <w:r>
        <w:rPr>
          <w:spacing w:val="-3"/>
        </w:rPr>
        <w:t> </w:t>
      </w:r>
      <w:r>
        <w:rPr/>
        <w:t>2012)</w:t>
      </w:r>
      <w:r>
        <w:rPr>
          <w:rFonts w:ascii="Times New Roman"/>
        </w:rPr>
        <w:tab/>
      </w:r>
      <w:r>
        <w:rPr/>
        <w:t>12</w:t>
      </w:r>
    </w:p>
    <w:p>
      <w:pPr>
        <w:pStyle w:val="BodyText"/>
        <w:spacing w:before="221"/>
        <w:ind w:left="227"/>
      </w:pPr>
      <w:r>
        <w:rPr>
          <w:b/>
        </w:rPr>
        <w:t>Figure</w:t>
      </w:r>
      <w:r>
        <w:rPr>
          <w:b/>
          <w:spacing w:val="-3"/>
        </w:rPr>
        <w:t> </w:t>
      </w:r>
      <w:r>
        <w:rPr>
          <w:b/>
        </w:rPr>
        <w:t>7.</w:t>
      </w:r>
      <w:r>
        <w:rPr>
          <w:b/>
          <w:spacing w:val="2"/>
        </w:rPr>
        <w:t> </w:t>
      </w:r>
      <w:r>
        <w:rPr/>
        <w:t>Sequence</w:t>
      </w:r>
      <w:r>
        <w:rPr>
          <w:spacing w:val="-2"/>
        </w:rPr>
        <w:t> </w:t>
      </w:r>
      <w:r>
        <w:rPr/>
        <w:t>stratigraphic</w:t>
      </w:r>
      <w:r>
        <w:rPr>
          <w:spacing w:val="-4"/>
        </w:rPr>
        <w:t> </w:t>
      </w:r>
      <w:r>
        <w:rPr/>
        <w:t>framework</w:t>
      </w:r>
      <w:r>
        <w:rPr>
          <w:spacing w:val="-3"/>
        </w:rPr>
        <w:t> </w:t>
      </w:r>
      <w:r>
        <w:rPr/>
        <w:t>generated</w:t>
      </w:r>
      <w:r>
        <w:rPr>
          <w:spacing w:val="-2"/>
        </w:rPr>
        <w:t> </w:t>
      </w:r>
      <w:r>
        <w:rPr/>
        <w:t>for the</w:t>
      </w:r>
      <w:r>
        <w:rPr>
          <w:spacing w:val="-1"/>
        </w:rPr>
        <w:t> </w:t>
      </w:r>
      <w:r>
        <w:rPr/>
        <w:t>Wyche-1</w:t>
      </w:r>
      <w:r>
        <w:rPr>
          <w:spacing w:val="-2"/>
        </w:rPr>
        <w:t> </w:t>
      </w:r>
      <w:r>
        <w:rPr/>
        <w:t>core</w:t>
      </w:r>
      <w:r>
        <w:rPr>
          <w:spacing w:val="-1"/>
        </w:rPr>
        <w:t> </w:t>
      </w:r>
      <w:r>
        <w:rPr/>
        <w:t>by</w:t>
      </w:r>
    </w:p>
    <w:p>
      <w:pPr>
        <w:pStyle w:val="BodyText"/>
        <w:tabs>
          <w:tab w:pos="8935" w:val="left" w:leader="none"/>
        </w:tabs>
        <w:ind w:left="227"/>
      </w:pPr>
      <w:r>
        <w:rPr/>
        <w:pict>
          <v:rect style="position:absolute;margin-left:72pt;margin-top:24.625763pt;width:.959999pt;height:.960023pt;mso-position-horizontal-relative:page;mso-position-vertical-relative:paragraph;z-index:15779328" id="docshape80" filled="true" fillcolor="#000000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15779840" from="76.800003pt,25.105785pt" to="533.76001pt,25.105785pt" stroked="true" strokeweight=".960023pt" strokecolor="#000000">
            <v:stroke dashstyle="dash"/>
            <w10:wrap type="none"/>
          </v:line>
        </w:pict>
      </w:r>
      <w:r>
        <w:rPr/>
        <w:pict>
          <v:rect style="position:absolute;margin-left:537.600037pt;margin-top:24.625774pt;width:1.919998pt;height:.960023pt;mso-position-horizontal-relative:page;mso-position-vertical-relative:paragraph;z-index:15780352" id="docshape81" filled="true" fillcolor="#000000" stroked="false">
            <v:fill type="solid"/>
            <w10:wrap type="none"/>
          </v:rect>
        </w:pict>
      </w:r>
      <w:r>
        <w:rPr/>
        <w:t>Molinares-Blanco</w:t>
      </w:r>
      <w:r>
        <w:rPr>
          <w:spacing w:val="-4"/>
        </w:rPr>
        <w:t> </w:t>
      </w:r>
      <w:r>
        <w:rPr/>
        <w:t>(2013).</w:t>
      </w:r>
      <w:r>
        <w:rPr>
          <w:spacing w:val="-3"/>
        </w:rPr>
        <w:t> </w:t>
      </w:r>
      <w:r>
        <w:rPr/>
        <w:t>UK=Upper</w:t>
      </w:r>
      <w:r>
        <w:rPr>
          <w:spacing w:val="-2"/>
        </w:rPr>
        <w:t> </w:t>
      </w:r>
      <w:r>
        <w:rPr/>
        <w:t>Kellwasser</w:t>
      </w:r>
      <w:r>
        <w:rPr>
          <w:spacing w:val="-2"/>
        </w:rPr>
        <w:t> </w:t>
      </w:r>
      <w:r>
        <w:rPr/>
        <w:t>LK=Lower</w:t>
      </w:r>
      <w:r>
        <w:rPr>
          <w:spacing w:val="-4"/>
        </w:rPr>
        <w:t> </w:t>
      </w:r>
      <w:r>
        <w:rPr/>
        <w:t>Kellwasser</w:t>
      </w:r>
      <w:r>
        <w:rPr>
          <w:rFonts w:ascii="Times New Roman"/>
        </w:rPr>
        <w:tab/>
      </w:r>
      <w:r>
        <w:rPr/>
        <w:t>13</w:t>
      </w:r>
    </w:p>
    <w:p>
      <w:pPr>
        <w:pStyle w:val="BodyText"/>
        <w:spacing w:before="218"/>
        <w:ind w:left="227"/>
      </w:pPr>
      <w:r>
        <w:rPr>
          <w:b/>
        </w:rPr>
        <w:t>Figure</w:t>
      </w:r>
      <w:r>
        <w:rPr>
          <w:b/>
          <w:spacing w:val="-3"/>
        </w:rPr>
        <w:t> </w:t>
      </w:r>
      <w:r>
        <w:rPr>
          <w:b/>
        </w:rPr>
        <w:t>8.</w:t>
      </w:r>
      <w:r>
        <w:rPr>
          <w:b/>
          <w:spacing w:val="1"/>
        </w:rPr>
        <w:t> </w:t>
      </w:r>
      <w:r>
        <w:rPr/>
        <w:t>Gamma</w:t>
      </w:r>
      <w:r>
        <w:rPr>
          <w:spacing w:val="-3"/>
        </w:rPr>
        <w:t> </w:t>
      </w:r>
      <w:r>
        <w:rPr/>
        <w:t>ray,</w:t>
      </w:r>
      <w:r>
        <w:rPr>
          <w:spacing w:val="-5"/>
        </w:rPr>
        <w:t> </w:t>
      </w:r>
      <w:r>
        <w:rPr/>
        <w:t>trace</w:t>
      </w:r>
      <w:r>
        <w:rPr>
          <w:spacing w:val="-2"/>
        </w:rPr>
        <w:t> </w:t>
      </w:r>
      <w:r>
        <w:rPr/>
        <w:t>element,</w:t>
      </w:r>
      <w:r>
        <w:rPr>
          <w:spacing w:val="-3"/>
        </w:rPr>
        <w:t> </w:t>
      </w:r>
      <w:r>
        <w:rPr/>
        <w:t>organic</w:t>
      </w:r>
      <w:r>
        <w:rPr>
          <w:spacing w:val="-2"/>
        </w:rPr>
        <w:t> </w:t>
      </w:r>
      <w:r>
        <w:rPr/>
        <w:t>richness,</w:t>
      </w:r>
      <w:r>
        <w:rPr>
          <w:spacing w:val="2"/>
        </w:rPr>
        <w:t> </w:t>
      </w:r>
      <w:r>
        <w:rPr/>
        <w:t>and</w:t>
      </w:r>
      <w:r>
        <w:rPr>
          <w:spacing w:val="-2"/>
        </w:rPr>
        <w:t> </w:t>
      </w:r>
      <w:r>
        <w:rPr/>
        <w:t>pollen</w:t>
      </w:r>
      <w:r>
        <w:rPr>
          <w:spacing w:val="-2"/>
        </w:rPr>
        <w:t> </w:t>
      </w:r>
      <w:r>
        <w:rPr/>
        <w:t>index</w:t>
      </w:r>
      <w:r>
        <w:rPr>
          <w:spacing w:val="-4"/>
        </w:rPr>
        <w:t> </w:t>
      </w:r>
      <w:r>
        <w:rPr/>
        <w:t>logs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</w:p>
    <w:p>
      <w:pPr>
        <w:pStyle w:val="BodyText"/>
        <w:tabs>
          <w:tab w:pos="8938" w:val="left" w:leader="none"/>
        </w:tabs>
        <w:spacing w:before="2"/>
        <w:ind w:left="227"/>
      </w:pPr>
      <w:r>
        <w:rPr/>
        <w:pict>
          <v:rect style="position:absolute;margin-left:72pt;margin-top:24.725763pt;width:.959999pt;height:.960023pt;mso-position-horizontal-relative:page;mso-position-vertical-relative:paragraph;z-index:15780864" id="docshape82" filled="true" fillcolor="#000000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15781376" from="76.800003pt,25.205788pt" to="533.76001pt,25.205788pt" stroked="true" strokeweight=".960023pt" strokecolor="#000000">
            <v:stroke dashstyle="dash"/>
            <w10:wrap type="none"/>
          </v:line>
        </w:pict>
      </w:r>
      <w:r>
        <w:rPr/>
        <w:pict>
          <v:rect style="position:absolute;margin-left:537.600037pt;margin-top:24.725775pt;width:1.919998pt;height:.960023pt;mso-position-horizontal-relative:page;mso-position-vertical-relative:paragraph;z-index:15781888" id="docshape83" filled="true" fillcolor="#000000" stroked="false">
            <v:fill type="solid"/>
            <w10:wrap type="none"/>
          </v:rect>
        </w:pict>
      </w:r>
      <w:r>
        <w:rPr/>
        <w:t>Wyche-1</w:t>
      </w:r>
      <w:r>
        <w:rPr>
          <w:spacing w:val="1"/>
        </w:rPr>
        <w:t> </w:t>
      </w:r>
      <w:r>
        <w:rPr/>
        <w:t>core.</w:t>
      </w:r>
      <w:r>
        <w:rPr>
          <w:spacing w:val="-2"/>
        </w:rPr>
        <w:t> </w:t>
      </w:r>
      <w:r>
        <w:rPr/>
        <w:t>(Turner</w:t>
      </w:r>
      <w:r>
        <w:rPr>
          <w:spacing w:val="-4"/>
        </w:rPr>
        <w:t> </w:t>
      </w:r>
      <w:r>
        <w:rPr/>
        <w:t>et</w:t>
      </w:r>
      <w:r>
        <w:rPr>
          <w:spacing w:val="-2"/>
        </w:rPr>
        <w:t> </w:t>
      </w:r>
      <w:r>
        <w:rPr/>
        <w:t>al.,</w:t>
      </w:r>
      <w:r>
        <w:rPr>
          <w:spacing w:val="-1"/>
        </w:rPr>
        <w:t> </w:t>
      </w:r>
      <w:r>
        <w:rPr/>
        <w:t>2015)</w:t>
      </w:r>
      <w:r>
        <w:rPr>
          <w:rFonts w:ascii="Times New Roman"/>
        </w:rPr>
        <w:tab/>
      </w:r>
      <w:r>
        <w:rPr/>
        <w:t>14</w:t>
      </w:r>
    </w:p>
    <w:p>
      <w:pPr>
        <w:pStyle w:val="BodyText"/>
        <w:spacing w:before="218"/>
        <w:ind w:left="227"/>
      </w:pPr>
      <w:r>
        <w:rPr>
          <w:b/>
        </w:rPr>
        <w:t>Figure</w:t>
      </w:r>
      <w:r>
        <w:rPr>
          <w:b/>
          <w:spacing w:val="-4"/>
        </w:rPr>
        <w:t> </w:t>
      </w:r>
      <w:r>
        <w:rPr>
          <w:b/>
        </w:rPr>
        <w:t>9. </w:t>
      </w:r>
      <w:r>
        <w:rPr/>
        <w:t>Water</w:t>
      </w:r>
      <w:r>
        <w:rPr>
          <w:spacing w:val="1"/>
        </w:rPr>
        <w:t> </w:t>
      </w:r>
      <w:r>
        <w:rPr/>
        <w:t>column</w:t>
      </w:r>
      <w:r>
        <w:rPr>
          <w:spacing w:val="-4"/>
        </w:rPr>
        <w:t> </w:t>
      </w:r>
      <w:r>
        <w:rPr/>
        <w:t>structure</w:t>
      </w:r>
      <w:r>
        <w:rPr>
          <w:spacing w:val="-4"/>
        </w:rPr>
        <w:t> </w:t>
      </w:r>
      <w:r>
        <w:rPr/>
        <w:t>and</w:t>
      </w:r>
      <w:r>
        <w:rPr>
          <w:spacing w:val="1"/>
        </w:rPr>
        <w:t> </w:t>
      </w:r>
      <w:r>
        <w:rPr/>
        <w:t>biology</w:t>
      </w:r>
      <w:r>
        <w:rPr>
          <w:spacing w:val="-4"/>
        </w:rPr>
        <w:t> </w:t>
      </w:r>
      <w:r>
        <w:rPr/>
        <w:t>during</w:t>
      </w:r>
      <w:r>
        <w:rPr>
          <w:spacing w:val="-2"/>
        </w:rPr>
        <w:t> </w:t>
      </w:r>
      <w:r>
        <w:rPr/>
        <w:t>times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euxinia.</w:t>
      </w:r>
      <w:r>
        <w:rPr>
          <w:spacing w:val="-4"/>
        </w:rPr>
        <w:t> </w:t>
      </w:r>
      <w:r>
        <w:rPr/>
        <w:t>Marker</w:t>
      </w:r>
    </w:p>
    <w:p>
      <w:pPr>
        <w:pStyle w:val="BodyText"/>
        <w:tabs>
          <w:tab w:pos="8934" w:val="left" w:leader="none"/>
        </w:tabs>
        <w:ind w:left="227"/>
      </w:pPr>
      <w:r>
        <w:rPr/>
        <w:t>molecule for</w:t>
      </w:r>
      <w:r>
        <w:rPr>
          <w:spacing w:val="-3"/>
        </w:rPr>
        <w:t> </w:t>
      </w:r>
      <w:r>
        <w:rPr/>
        <w:t>each</w:t>
      </w:r>
      <w:r>
        <w:rPr>
          <w:spacing w:val="-2"/>
        </w:rPr>
        <w:t> </w:t>
      </w:r>
      <w:r>
        <w:rPr/>
        <w:t>sulfur</w:t>
      </w:r>
      <w:r>
        <w:rPr>
          <w:spacing w:val="-3"/>
        </w:rPr>
        <w:t> </w:t>
      </w:r>
      <w:r>
        <w:rPr/>
        <w:t>bacteria</w:t>
      </w:r>
      <w:r>
        <w:rPr>
          <w:spacing w:val="-3"/>
        </w:rPr>
        <w:t> </w:t>
      </w:r>
      <w:r>
        <w:rPr/>
        <w:t>is</w:t>
      </w:r>
      <w:r>
        <w:rPr>
          <w:spacing w:val="-1"/>
        </w:rPr>
        <w:t> </w:t>
      </w:r>
      <w:r>
        <w:rPr/>
        <w:t>shown</w:t>
      </w:r>
      <w:r>
        <w:rPr>
          <w:spacing w:val="2"/>
        </w:rPr>
        <w:t> </w:t>
      </w:r>
      <w:r>
        <w:rPr/>
        <w:t>beside</w:t>
      </w:r>
      <w:r>
        <w:rPr>
          <w:spacing w:val="-4"/>
        </w:rPr>
        <w:t> </w:t>
      </w:r>
      <w:r>
        <w:rPr/>
        <w:t>it.</w:t>
      </w:r>
      <w:r>
        <w:rPr>
          <w:spacing w:val="-1"/>
        </w:rPr>
        <w:t> </w:t>
      </w:r>
      <w:r>
        <w:rPr/>
        <w:t>(Sousa</w:t>
      </w:r>
      <w:r>
        <w:rPr>
          <w:spacing w:val="-4"/>
        </w:rPr>
        <w:t> </w:t>
      </w:r>
      <w:r>
        <w:rPr/>
        <w:t>Júnior</w:t>
      </w:r>
      <w:r>
        <w:rPr>
          <w:spacing w:val="-2"/>
        </w:rPr>
        <w:t> </w:t>
      </w:r>
      <w:r>
        <w:rPr/>
        <w:t>et</w:t>
      </w:r>
      <w:r>
        <w:rPr>
          <w:spacing w:val="-2"/>
        </w:rPr>
        <w:t> </w:t>
      </w:r>
      <w:r>
        <w:rPr/>
        <w:t>al.,</w:t>
      </w:r>
      <w:r>
        <w:rPr>
          <w:spacing w:val="-2"/>
        </w:rPr>
        <w:t> </w:t>
      </w:r>
      <w:r>
        <w:rPr/>
        <w:t>2013)</w:t>
      </w:r>
      <w:r>
        <w:rPr>
          <w:rFonts w:ascii="Times New Roman" w:hAnsi="Times New Roman"/>
        </w:rPr>
        <w:tab/>
      </w:r>
      <w:r>
        <w:rPr/>
        <w:t>20</w:t>
      </w:r>
    </w:p>
    <w:p>
      <w:pPr>
        <w:pStyle w:val="BodyText"/>
        <w:spacing w:before="221"/>
        <w:ind w:left="227" w:right="1641"/>
      </w:pPr>
      <w:r>
        <w:rPr/>
        <w:pict>
          <v:rect style="position:absolute;margin-left:72pt;margin-top:10.115796pt;width:.959999pt;height:.960022pt;mso-position-horizontal-relative:page;mso-position-vertical-relative:paragraph;z-index:15782400" id="docshape84" filled="true" fillcolor="#000000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15782912" from="76.800003pt,10.59582pt" to="533.76001pt,10.59582pt" stroked="true" strokeweight=".960022pt" strokecolor="#000000">
            <v:stroke dashstyle="dash"/>
            <w10:wrap type="none"/>
          </v:line>
        </w:pict>
      </w:r>
      <w:r>
        <w:rPr/>
        <w:pict>
          <v:rect style="position:absolute;margin-left:537.600037pt;margin-top:10.11581pt;width:1.919998pt;height:.960022pt;mso-position-horizontal-relative:page;mso-position-vertical-relative:paragraph;z-index:15783424" id="docshape85" filled="true" fillcolor="#000000" stroked="false">
            <v:fill type="solid"/>
            <w10:wrap type="none"/>
          </v:rect>
        </w:pict>
      </w:r>
      <w:r>
        <w:rPr>
          <w:b/>
        </w:rPr>
        <w:t>Figure 10. </w:t>
      </w:r>
      <w:r>
        <w:rPr/>
        <w:t>A conceptual model of the biosynthetic origin of MTTCs. MTTCs are</w:t>
      </w:r>
      <w:r>
        <w:rPr>
          <w:spacing w:val="1"/>
        </w:rPr>
        <w:t> </w:t>
      </w:r>
      <w:r>
        <w:rPr/>
        <w:t>suggested</w:t>
      </w:r>
      <w:r>
        <w:rPr>
          <w:spacing w:val="2"/>
        </w:rPr>
        <w:t> </w:t>
      </w:r>
      <w:r>
        <w:rPr/>
        <w:t>to</w:t>
      </w:r>
      <w:r>
        <w:rPr>
          <w:spacing w:val="-3"/>
        </w:rPr>
        <w:t> </w:t>
      </w:r>
      <w:r>
        <w:rPr/>
        <w:t>derive</w:t>
      </w:r>
      <w:r>
        <w:rPr>
          <w:spacing w:val="-3"/>
        </w:rPr>
        <w:t> </w:t>
      </w:r>
      <w:r>
        <w:rPr/>
        <w:t>from</w:t>
      </w:r>
      <w:r>
        <w:rPr>
          <w:spacing w:val="-4"/>
        </w:rPr>
        <w:t> </w:t>
      </w:r>
      <w:r>
        <w:rPr/>
        <w:t>photosynthetic</w:t>
      </w:r>
      <w:r>
        <w:rPr>
          <w:spacing w:val="-5"/>
        </w:rPr>
        <w:t> </w:t>
      </w:r>
      <w:r>
        <w:rPr/>
        <w:t>organisms</w:t>
      </w:r>
      <w:r>
        <w:rPr>
          <w:spacing w:val="2"/>
        </w:rPr>
        <w:t> </w:t>
      </w:r>
      <w:r>
        <w:rPr/>
        <w:t>originating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euxinic</w:t>
      </w:r>
      <w:r>
        <w:rPr>
          <w:spacing w:val="-3"/>
        </w:rPr>
        <w:t> </w:t>
      </w:r>
      <w:r>
        <w:rPr/>
        <w:t>portions</w:t>
      </w:r>
      <w:r>
        <w:rPr>
          <w:spacing w:val="-1"/>
        </w:rPr>
        <w:t> </w:t>
      </w:r>
      <w:r>
        <w:rPr/>
        <w:t>of</w:t>
      </w:r>
    </w:p>
    <w:p>
      <w:pPr>
        <w:pStyle w:val="BodyText"/>
        <w:tabs>
          <w:tab w:pos="8938" w:val="left" w:leader="none"/>
        </w:tabs>
        <w:spacing w:line="293" w:lineRule="exact"/>
        <w:ind w:left="227"/>
      </w:pPr>
      <w:r>
        <w:rPr/>
        <w:t>photic</w:t>
      </w:r>
      <w:r>
        <w:rPr>
          <w:spacing w:val="-2"/>
        </w:rPr>
        <w:t> </w:t>
      </w:r>
      <w:r>
        <w:rPr/>
        <w:t>zones</w:t>
      </w:r>
      <w:r>
        <w:rPr>
          <w:spacing w:val="-3"/>
        </w:rPr>
        <w:t> </w:t>
      </w:r>
      <w:r>
        <w:rPr/>
        <w:t>(PZE).</w:t>
      </w:r>
      <w:r>
        <w:rPr>
          <w:spacing w:val="-2"/>
        </w:rPr>
        <w:t> </w:t>
      </w:r>
      <w:r>
        <w:rPr/>
        <w:t>(Jiang</w:t>
      </w:r>
      <w:r>
        <w:rPr>
          <w:spacing w:val="-1"/>
        </w:rPr>
        <w:t> </w:t>
      </w:r>
      <w:r>
        <w:rPr/>
        <w:t>et</w:t>
      </w:r>
      <w:r>
        <w:rPr>
          <w:spacing w:val="-2"/>
        </w:rPr>
        <w:t> </w:t>
      </w:r>
      <w:r>
        <w:rPr/>
        <w:t>al.,</w:t>
      </w:r>
      <w:r>
        <w:rPr>
          <w:spacing w:val="-2"/>
        </w:rPr>
        <w:t> </w:t>
      </w:r>
      <w:r>
        <w:rPr/>
        <w:t>2019)</w:t>
      </w:r>
      <w:r>
        <w:rPr>
          <w:rFonts w:ascii="Times New Roman"/>
        </w:rPr>
        <w:tab/>
      </w:r>
      <w:r>
        <w:rPr/>
        <w:t>23</w:t>
      </w:r>
    </w:p>
    <w:p>
      <w:pPr>
        <w:pStyle w:val="BodyText"/>
        <w:spacing w:before="220"/>
        <w:ind w:left="227" w:right="1641"/>
      </w:pPr>
      <w:r>
        <w:rPr/>
        <w:pict>
          <v:rect style="position:absolute;margin-left:72pt;margin-top:10.065796pt;width:.959999pt;height:.959977pt;mso-position-horizontal-relative:page;mso-position-vertical-relative:paragraph;z-index:15783936" id="docshape86" filled="true" fillcolor="#000000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15784448" from="76.800003pt,10.5458pt" to="533.76001pt,10.5458pt" stroked="true" strokeweight=".959977pt" strokecolor="#000000">
            <v:stroke dashstyle="dash"/>
            <w10:wrap type="none"/>
          </v:line>
        </w:pict>
      </w:r>
      <w:r>
        <w:rPr/>
        <w:pict>
          <v:rect style="position:absolute;margin-left:537.600037pt;margin-top:10.065811pt;width:1.919998pt;height:.959977pt;mso-position-horizontal-relative:page;mso-position-vertical-relative:paragraph;z-index:15784960" id="docshape87" filled="true" fillcolor="#000000" stroked="false">
            <v:fill type="solid"/>
            <w10:wrap type="none"/>
          </v:rect>
        </w:pict>
      </w:r>
      <w:r>
        <w:rPr>
          <w:b/>
        </w:rPr>
        <w:t>Figure</w:t>
      </w:r>
      <w:r>
        <w:rPr>
          <w:b/>
          <w:spacing w:val="-4"/>
        </w:rPr>
        <w:t> </w:t>
      </w:r>
      <w:r>
        <w:rPr>
          <w:b/>
        </w:rPr>
        <w:t>11.</w:t>
      </w:r>
      <w:r>
        <w:rPr>
          <w:b/>
          <w:spacing w:val="1"/>
        </w:rPr>
        <w:t> </w:t>
      </w:r>
      <w:r>
        <w:rPr/>
        <w:t>Location</w:t>
      </w:r>
      <w:r>
        <w:rPr>
          <w:spacing w:val="2"/>
        </w:rPr>
        <w:t> </w:t>
      </w:r>
      <w:r>
        <w:rPr/>
        <w:t>map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Wyche</w:t>
      </w:r>
      <w:r>
        <w:rPr>
          <w:spacing w:val="-2"/>
        </w:rPr>
        <w:t> </w:t>
      </w:r>
      <w:r>
        <w:rPr/>
        <w:t>Farm-1</w:t>
      </w:r>
      <w:r>
        <w:rPr>
          <w:spacing w:val="-3"/>
        </w:rPr>
        <w:t> </w:t>
      </w:r>
      <w:r>
        <w:rPr/>
        <w:t>core</w:t>
      </w:r>
      <w:r>
        <w:rPr>
          <w:spacing w:val="2"/>
        </w:rPr>
        <w:t> </w:t>
      </w:r>
      <w:r>
        <w:rPr/>
        <w:t>in</w:t>
      </w:r>
      <w:r>
        <w:rPr>
          <w:spacing w:val="-4"/>
        </w:rPr>
        <w:t> </w:t>
      </w:r>
      <w:r>
        <w:rPr/>
        <w:t>Pontotoc</w:t>
      </w:r>
      <w:r>
        <w:rPr>
          <w:spacing w:val="-3"/>
        </w:rPr>
        <w:t> </w:t>
      </w:r>
      <w:r>
        <w:rPr/>
        <w:t>County,</w:t>
      </w:r>
      <w:r>
        <w:rPr>
          <w:spacing w:val="-3"/>
        </w:rPr>
        <w:t> </w:t>
      </w:r>
      <w:r>
        <w:rPr/>
        <w:t>Oklahoma.</w:t>
      </w:r>
      <w:r>
        <w:rPr>
          <w:spacing w:val="-51"/>
        </w:rPr>
        <w:t> </w:t>
      </w:r>
      <w:r>
        <w:rPr/>
        <w:t>The coordinates on</w:t>
      </w:r>
      <w:r>
        <w:rPr>
          <w:spacing w:val="2"/>
        </w:rPr>
        <w:t> </w:t>
      </w:r>
      <w:r>
        <w:rPr/>
        <w:t>the</w:t>
      </w:r>
      <w:r>
        <w:rPr>
          <w:spacing w:val="-3"/>
        </w:rPr>
        <w:t> </w:t>
      </w:r>
      <w:r>
        <w:rPr/>
        <w:t>side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air</w:t>
      </w:r>
      <w:r>
        <w:rPr>
          <w:spacing w:val="-4"/>
        </w:rPr>
        <w:t> </w:t>
      </w:r>
      <w:r>
        <w:rPr/>
        <w:t>photo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topographic</w:t>
      </w:r>
      <w:r>
        <w:rPr>
          <w:spacing w:val="-4"/>
        </w:rPr>
        <w:t> </w:t>
      </w:r>
      <w:r>
        <w:rPr/>
        <w:t>map</w:t>
      </w:r>
      <w:r>
        <w:rPr>
          <w:spacing w:val="-2"/>
        </w:rPr>
        <w:t> </w:t>
      </w:r>
      <w:r>
        <w:rPr/>
        <w:t>are</w:t>
      </w:r>
      <w:r>
        <w:rPr>
          <w:spacing w:val="-3"/>
        </w:rPr>
        <w:t> </w:t>
      </w:r>
      <w:r>
        <w:rPr/>
        <w:t>in</w:t>
      </w:r>
      <w:r>
        <w:rPr>
          <w:spacing w:val="2"/>
        </w:rPr>
        <w:t> </w:t>
      </w:r>
      <w:r>
        <w:rPr/>
        <w:t>Universal</w:t>
      </w:r>
    </w:p>
    <w:p>
      <w:pPr>
        <w:pStyle w:val="BodyText"/>
        <w:tabs>
          <w:tab w:pos="8940" w:val="left" w:leader="none"/>
        </w:tabs>
        <w:spacing w:line="293" w:lineRule="exact"/>
        <w:ind w:left="227"/>
      </w:pPr>
      <w:r>
        <w:rPr/>
        <w:pict>
          <v:rect style="position:absolute;margin-left:72pt;margin-top:24.608917pt;width:.959999pt;height:.959977pt;mso-position-horizontal-relative:page;mso-position-vertical-relative:paragraph;z-index:15785472" id="docshape88" filled="true" fillcolor="#000000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15785984" from="76.800003pt,25.088923pt" to="533.76001pt,25.088923pt" stroked="true" strokeweight=".959977pt" strokecolor="#000000">
            <v:stroke dashstyle="dash"/>
            <w10:wrap type="none"/>
          </v:line>
        </w:pict>
      </w:r>
      <w:r>
        <w:rPr/>
        <w:pict>
          <v:rect style="position:absolute;margin-left:537.600037pt;margin-top:24.608934pt;width:1.919998pt;height:.959977pt;mso-position-horizontal-relative:page;mso-position-vertical-relative:paragraph;z-index:15786496" id="docshape89" filled="true" fillcolor="#000000" stroked="false">
            <v:fill type="solid"/>
            <w10:wrap type="none"/>
          </v:rect>
        </w:pict>
      </w:r>
      <w:r>
        <w:rPr/>
        <w:t>Transverse</w:t>
      </w:r>
      <w:r>
        <w:rPr>
          <w:spacing w:val="-3"/>
        </w:rPr>
        <w:t> </w:t>
      </w:r>
      <w:r>
        <w:rPr/>
        <w:t>Mercator. (Turner</w:t>
      </w:r>
      <w:r>
        <w:rPr>
          <w:spacing w:val="-4"/>
        </w:rPr>
        <w:t> </w:t>
      </w:r>
      <w:r>
        <w:rPr/>
        <w:t>et</w:t>
      </w:r>
      <w:r>
        <w:rPr>
          <w:spacing w:val="2"/>
        </w:rPr>
        <w:t> </w:t>
      </w:r>
      <w:r>
        <w:rPr/>
        <w:t>al.,</w:t>
      </w:r>
      <w:r>
        <w:rPr>
          <w:spacing w:val="-3"/>
        </w:rPr>
        <w:t> </w:t>
      </w:r>
      <w:r>
        <w:rPr/>
        <w:t>2015)</w:t>
      </w:r>
      <w:r>
        <w:rPr>
          <w:rFonts w:ascii="Times New Roman"/>
        </w:rPr>
        <w:tab/>
      </w:r>
      <w:r>
        <w:rPr/>
        <w:t>28</w:t>
      </w:r>
    </w:p>
    <w:p>
      <w:pPr>
        <w:pStyle w:val="BodyText"/>
        <w:spacing w:before="221"/>
        <w:ind w:left="227"/>
      </w:pPr>
      <w:r>
        <w:rPr>
          <w:b/>
        </w:rPr>
        <w:t>Figure</w:t>
      </w:r>
      <w:r>
        <w:rPr>
          <w:b/>
          <w:spacing w:val="-5"/>
        </w:rPr>
        <w:t> </w:t>
      </w:r>
      <w:r>
        <w:rPr>
          <w:b/>
        </w:rPr>
        <w:t>12.</w:t>
      </w:r>
      <w:r>
        <w:rPr>
          <w:b/>
          <w:spacing w:val="1"/>
        </w:rPr>
        <w:t> </w:t>
      </w:r>
      <w:r>
        <w:rPr/>
        <w:t>Experimental</w:t>
      </w:r>
      <w:r>
        <w:rPr>
          <w:spacing w:val="-6"/>
        </w:rPr>
        <w:t> </w:t>
      </w:r>
      <w:r>
        <w:rPr/>
        <w:t>procedure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preparation,</w:t>
      </w:r>
      <w:r>
        <w:rPr>
          <w:spacing w:val="-3"/>
        </w:rPr>
        <w:t> </w:t>
      </w:r>
      <w:r>
        <w:rPr/>
        <w:t>extraction,</w:t>
      </w:r>
      <w:r>
        <w:rPr>
          <w:spacing w:val="-4"/>
        </w:rPr>
        <w:t> </w:t>
      </w:r>
      <w:r>
        <w:rPr/>
        <w:t>and</w:t>
      </w:r>
      <w:r>
        <w:rPr>
          <w:spacing w:val="1"/>
        </w:rPr>
        <w:t> </w:t>
      </w:r>
      <w:r>
        <w:rPr/>
        <w:t>analysis</w:t>
      </w:r>
      <w:r>
        <w:rPr>
          <w:spacing w:val="-3"/>
        </w:rPr>
        <w:t> </w:t>
      </w:r>
      <w:r>
        <w:rPr/>
        <w:t>of</w:t>
      </w:r>
    </w:p>
    <w:p>
      <w:pPr>
        <w:pStyle w:val="BodyText"/>
        <w:tabs>
          <w:tab w:pos="8944" w:val="left" w:leader="none"/>
        </w:tabs>
        <w:ind w:left="227"/>
      </w:pPr>
      <w:r>
        <w:rPr/>
        <w:pict>
          <v:rect style="position:absolute;margin-left:72pt;margin-top:24.625763pt;width:.959999pt;height:.960022pt;mso-position-horizontal-relative:page;mso-position-vertical-relative:paragraph;z-index:15787008" id="docshape90" filled="true" fillcolor="#000000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15787520" from="76.800003pt,25.105793pt" to="533.76001pt,25.105793pt" stroked="true" strokeweight=".960022pt" strokecolor="#000000">
            <v:stroke dashstyle="dash"/>
            <w10:wrap type="none"/>
          </v:line>
        </w:pict>
      </w:r>
      <w:r>
        <w:rPr/>
        <w:pict>
          <v:rect style="position:absolute;margin-left:537.600037pt;margin-top:24.625782pt;width:1.919998pt;height:.960022pt;mso-position-horizontal-relative:page;mso-position-vertical-relative:paragraph;z-index:15788032" id="docshape91" filled="true" fillcolor="#000000" stroked="false">
            <v:fill type="solid"/>
            <w10:wrap type="none"/>
          </v:rect>
        </w:pict>
      </w:r>
      <w:r>
        <w:rPr/>
        <w:t>biomarkers</w:t>
      </w:r>
      <w:r>
        <w:rPr>
          <w:rFonts w:ascii="Times New Roman"/>
        </w:rPr>
        <w:tab/>
      </w:r>
      <w:r>
        <w:rPr/>
        <w:t>32</w:t>
      </w:r>
    </w:p>
    <w:p>
      <w:pPr>
        <w:pStyle w:val="BodyText"/>
        <w:tabs>
          <w:tab w:pos="9187" w:val="right" w:leader="none"/>
        </w:tabs>
        <w:spacing w:before="221"/>
        <w:ind w:left="227" w:right="909"/>
      </w:pPr>
      <w:r>
        <w:rPr/>
        <w:pict>
          <v:rect style="position:absolute;margin-left:72pt;margin-top:50.315777pt;width:.959999pt;height:.960022pt;mso-position-horizontal-relative:page;mso-position-vertical-relative:paragraph;z-index:15788544" id="docshape92" filled="true" fillcolor="#000000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15789056" from="76.800003pt,50.795807pt" to="533.76001pt,50.795807pt" stroked="true" strokeweight=".960022pt" strokecolor="#000000">
            <v:stroke dashstyle="dash"/>
            <w10:wrap type="none"/>
          </v:line>
        </w:pict>
      </w:r>
      <w:r>
        <w:rPr/>
        <w:pict>
          <v:rect style="position:absolute;margin-left:537.600037pt;margin-top:50.315796pt;width:1.919998pt;height:.960022pt;mso-position-horizontal-relative:page;mso-position-vertical-relative:paragraph;z-index:15789568" id="docshape93" filled="true" fillcolor="#000000" stroked="false">
            <v:fill type="solid"/>
            <w10:wrap type="none"/>
          </v:rect>
        </w:pict>
      </w:r>
      <w:r>
        <w:rPr>
          <w:b/>
        </w:rPr>
        <w:t>Figure 13. </w:t>
      </w:r>
      <w:r>
        <w:rPr/>
        <w:t>General Depth Plot of TOC, Isorenieratane(</w:t>
      </w:r>
      <w:r>
        <w:rPr>
          <w:b/>
        </w:rPr>
        <w:t>I</w:t>
      </w:r>
      <w:r>
        <w:rPr/>
        <w:t>), Paleorenieratane (</w:t>
      </w:r>
      <w:r>
        <w:rPr>
          <w:b/>
        </w:rPr>
        <w:t>II</w:t>
      </w:r>
      <w:r>
        <w:rPr/>
        <w:t>), VO-</w:t>
      </w:r>
      <w:r>
        <w:rPr>
          <w:spacing w:val="1"/>
        </w:rPr>
        <w:t> </w:t>
      </w:r>
      <w:r>
        <w:rPr/>
        <w:t>Porphyrin(</w:t>
      </w:r>
      <w:r>
        <w:rPr>
          <w:b/>
        </w:rPr>
        <w:t>VII-XI</w:t>
      </w:r>
      <w:r>
        <w:rPr/>
        <w:t>),</w:t>
      </w:r>
      <w:r>
        <w:rPr>
          <w:spacing w:val="-2"/>
        </w:rPr>
        <w:t> </w:t>
      </w:r>
      <w:r>
        <w:rPr/>
        <w:t>Ni-Porphyrin(</w:t>
      </w:r>
      <w:r>
        <w:rPr>
          <w:b/>
        </w:rPr>
        <w:t>X-XII</w:t>
      </w:r>
      <w:r>
        <w:rPr/>
        <w:t>),</w:t>
      </w:r>
      <w:r>
        <w:rPr>
          <w:spacing w:val="-1"/>
        </w:rPr>
        <w:t> </w:t>
      </w:r>
      <w:r>
        <w:rPr/>
        <w:t>α-MTTC(</w:t>
      </w:r>
      <w:r>
        <w:rPr>
          <w:b/>
        </w:rPr>
        <w:t>XVI</w:t>
      </w:r>
      <w:r>
        <w:rPr/>
        <w:t>),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Total</w:t>
      </w:r>
      <w:r>
        <w:rPr>
          <w:spacing w:val="-3"/>
        </w:rPr>
        <w:t> </w:t>
      </w:r>
      <w:r>
        <w:rPr/>
        <w:t>TMPBQ(</w:t>
      </w:r>
      <w:r>
        <w:rPr>
          <w:b/>
        </w:rPr>
        <w:t>XVII</w:t>
      </w:r>
      <w:r>
        <w:rPr/>
        <w:t>)</w:t>
      </w:r>
      <w:r>
        <w:rPr>
          <w:rFonts w:ascii="Times New Roman" w:hAnsi="Times New Roman"/>
        </w:rPr>
        <w:tab/>
      </w:r>
      <w:r>
        <w:rPr/>
        <w:t>35</w:t>
      </w:r>
    </w:p>
    <w:p>
      <w:pPr>
        <w:pStyle w:val="BodyText"/>
        <w:spacing w:before="218"/>
        <w:ind w:left="227"/>
      </w:pPr>
      <w:r>
        <w:rPr>
          <w:b/>
        </w:rPr>
        <w:t>Figure</w:t>
      </w:r>
      <w:r>
        <w:rPr>
          <w:b/>
          <w:spacing w:val="-4"/>
        </w:rPr>
        <w:t> </w:t>
      </w:r>
      <w:r>
        <w:rPr>
          <w:b/>
        </w:rPr>
        <w:t>14. </w:t>
      </w:r>
      <w:r>
        <w:rPr/>
        <w:t>Example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chromatogram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molecular</w:t>
      </w:r>
      <w:r>
        <w:rPr>
          <w:spacing w:val="-3"/>
        </w:rPr>
        <w:t> </w:t>
      </w:r>
      <w:r>
        <w:rPr/>
        <w:t>structures</w:t>
      </w:r>
      <w:r>
        <w:rPr>
          <w:spacing w:val="-4"/>
        </w:rPr>
        <w:t> </w:t>
      </w:r>
      <w:r>
        <w:rPr/>
        <w:t>for</w:t>
      </w:r>
      <w:r>
        <w:rPr>
          <w:spacing w:val="-3"/>
        </w:rPr>
        <w:t> </w:t>
      </w:r>
      <w:r>
        <w:rPr/>
        <w:t>isorenieratane</w:t>
      </w:r>
    </w:p>
    <w:p>
      <w:pPr>
        <w:pStyle w:val="BodyText"/>
        <w:tabs>
          <w:tab w:pos="8942" w:val="left" w:leader="none"/>
        </w:tabs>
        <w:spacing w:before="2"/>
        <w:ind w:left="227"/>
      </w:pPr>
      <w:r>
        <w:rPr/>
        <w:t>and</w:t>
      </w:r>
      <w:r>
        <w:rPr>
          <w:spacing w:val="-1"/>
        </w:rPr>
        <w:t> </w:t>
      </w:r>
      <w:r>
        <w:rPr/>
        <w:t>paleorenieratane.</w:t>
      </w:r>
      <w:r>
        <w:rPr>
          <w:rFonts w:ascii="Times New Roman"/>
        </w:rPr>
        <w:tab/>
      </w:r>
      <w:r>
        <w:rPr/>
        <w:t>36</w:t>
      </w:r>
    </w:p>
    <w:p>
      <w:pPr>
        <w:spacing w:after="0"/>
        <w:sectPr>
          <w:footerReference w:type="default" r:id="rId10"/>
          <w:pgSz w:w="12240" w:h="15840"/>
          <w:pgMar w:footer="1605" w:header="0" w:top="1400" w:bottom="1800" w:left="1320" w:right="820"/>
        </w:sectPr>
      </w:pPr>
    </w:p>
    <w:p>
      <w:pPr>
        <w:pStyle w:val="BodyText"/>
        <w:spacing w:before="39"/>
        <w:ind w:left="227" w:right="1563"/>
      </w:pPr>
      <w:r>
        <w:rPr>
          <w:b/>
        </w:rPr>
        <w:t>Figure 15. </w:t>
      </w:r>
      <w:r>
        <w:rPr/>
        <w:t>Depth profile of the Aromatic Carotenoid Methylation Derivatives(I-VI).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line</w:t>
      </w:r>
      <w:r>
        <w:rPr>
          <w:spacing w:val="-2"/>
        </w:rPr>
        <w:t> </w:t>
      </w:r>
      <w:r>
        <w:rPr/>
        <w:t>at</w:t>
      </w:r>
      <w:r>
        <w:rPr>
          <w:spacing w:val="-3"/>
        </w:rPr>
        <w:t> </w:t>
      </w:r>
      <w:r>
        <w:rPr/>
        <w:t>118ft</w:t>
      </w:r>
      <w:r>
        <w:rPr>
          <w:spacing w:val="-3"/>
        </w:rPr>
        <w:t> </w:t>
      </w:r>
      <w:r>
        <w:rPr/>
        <w:t>divides the</w:t>
      </w:r>
      <w:r>
        <w:rPr>
          <w:spacing w:val="-2"/>
        </w:rPr>
        <w:t> </w:t>
      </w:r>
      <w:r>
        <w:rPr/>
        <w:t>Upper</w:t>
      </w:r>
      <w:r>
        <w:rPr>
          <w:spacing w:val="-2"/>
        </w:rPr>
        <w:t> </w:t>
      </w:r>
      <w:r>
        <w:rPr/>
        <w:t>Woodford</w:t>
      </w:r>
      <w:r>
        <w:rPr>
          <w:spacing w:val="-3"/>
        </w:rPr>
        <w:t> </w:t>
      </w:r>
      <w:r>
        <w:rPr/>
        <w:t>Shale</w:t>
      </w:r>
      <w:r>
        <w:rPr>
          <w:spacing w:val="-1"/>
        </w:rPr>
        <w:t> </w:t>
      </w:r>
      <w:r>
        <w:rPr/>
        <w:t>and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Middle</w:t>
      </w:r>
      <w:r>
        <w:rPr>
          <w:spacing w:val="-3"/>
        </w:rPr>
        <w:t> </w:t>
      </w:r>
      <w:r>
        <w:rPr/>
        <w:t>Woodford</w:t>
      </w:r>
      <w:r>
        <w:rPr>
          <w:spacing w:val="-1"/>
        </w:rPr>
        <w:t> </w:t>
      </w:r>
      <w:r>
        <w:rPr/>
        <w:t>Shale,</w:t>
      </w:r>
    </w:p>
    <w:p>
      <w:pPr>
        <w:pStyle w:val="BodyText"/>
        <w:tabs>
          <w:tab w:pos="8936" w:val="left" w:leader="none"/>
        </w:tabs>
        <w:spacing w:line="293" w:lineRule="exact"/>
        <w:ind w:left="227"/>
      </w:pPr>
      <w:r>
        <w:rPr/>
        <w:t>the</w:t>
      </w:r>
      <w:r>
        <w:rPr>
          <w:spacing w:val="-3"/>
        </w:rPr>
        <w:t> </w:t>
      </w:r>
      <w:r>
        <w:rPr/>
        <w:t>line</w:t>
      </w:r>
      <w:r>
        <w:rPr>
          <w:spacing w:val="-3"/>
        </w:rPr>
        <w:t> </w:t>
      </w:r>
      <w:r>
        <w:rPr/>
        <w:t>at</w:t>
      </w:r>
      <w:r>
        <w:rPr>
          <w:spacing w:val="-3"/>
        </w:rPr>
        <w:t> </w:t>
      </w:r>
      <w:r>
        <w:rPr/>
        <w:t>185ft</w:t>
      </w:r>
      <w:r>
        <w:rPr>
          <w:spacing w:val="-2"/>
        </w:rPr>
        <w:t> </w:t>
      </w:r>
      <w:r>
        <w:rPr/>
        <w:t>divides</w:t>
      </w:r>
      <w:r>
        <w:rPr>
          <w:spacing w:val="-3"/>
        </w:rPr>
        <w:t> </w:t>
      </w:r>
      <w:r>
        <w:rPr/>
        <w:t>the Middle</w:t>
      </w:r>
      <w:r>
        <w:rPr>
          <w:spacing w:val="-2"/>
        </w:rPr>
        <w:t> </w:t>
      </w:r>
      <w:r>
        <w:rPr/>
        <w:t>Woodford</w:t>
      </w:r>
      <w:r>
        <w:rPr>
          <w:spacing w:val="-2"/>
        </w:rPr>
        <w:t> </w:t>
      </w:r>
      <w:r>
        <w:rPr/>
        <w:t>Shale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Lower</w:t>
      </w:r>
      <w:r>
        <w:rPr>
          <w:spacing w:val="-2"/>
        </w:rPr>
        <w:t> </w:t>
      </w:r>
      <w:r>
        <w:rPr/>
        <w:t>Woodford</w:t>
      </w:r>
      <w:r>
        <w:rPr>
          <w:spacing w:val="-2"/>
        </w:rPr>
        <w:t> </w:t>
      </w:r>
      <w:r>
        <w:rPr/>
        <w:t>Shale</w:t>
      </w:r>
      <w:r>
        <w:rPr>
          <w:rFonts w:ascii="Times New Roman"/>
        </w:rPr>
        <w:tab/>
      </w:r>
      <w:r>
        <w:rPr/>
        <w:t>37</w:t>
      </w:r>
    </w:p>
    <w:p>
      <w:pPr>
        <w:pStyle w:val="BodyText"/>
        <w:spacing w:before="221"/>
        <w:ind w:left="227" w:right="1563"/>
      </w:pPr>
      <w:r>
        <w:rPr/>
        <w:pict>
          <v:rect style="position:absolute;margin-left:72pt;margin-top:10.115796pt;width:.959999pt;height:.959999pt;mso-position-horizontal-relative:page;mso-position-vertical-relative:paragraph;z-index:15790080" id="docshape98" filled="true" fillcolor="#000000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15790592" from="76.800003pt,10.595799pt" to="533.76001pt,10.595799pt" stroked="true" strokeweight=".959999pt" strokecolor="#000000">
            <v:stroke dashstyle="dash"/>
            <w10:wrap type="none"/>
          </v:line>
        </w:pict>
      </w:r>
      <w:r>
        <w:rPr/>
        <w:pict>
          <v:rect style="position:absolute;margin-left:537.600037pt;margin-top:10.1158pt;width:1.919998pt;height:.959999pt;mso-position-horizontal-relative:page;mso-position-vertical-relative:paragraph;z-index:15791104" id="docshape99" filled="true" fillcolor="#000000" stroked="false">
            <v:fill type="solid"/>
            <w10:wrap type="none"/>
          </v:rect>
        </w:pict>
      </w:r>
      <w:r>
        <w:rPr>
          <w:b/>
        </w:rPr>
        <w:t>Figure 16. </w:t>
      </w:r>
      <w:r>
        <w:rPr/>
        <w:t>Gamma profile of the Wyche-1 core correlated to the lithofacies of the</w:t>
      </w:r>
      <w:r>
        <w:rPr>
          <w:spacing w:val="1"/>
        </w:rPr>
        <w:t> </w:t>
      </w:r>
      <w:r>
        <w:rPr/>
        <w:t>core.</w:t>
      </w:r>
      <w:r>
        <w:rPr>
          <w:spacing w:val="-3"/>
        </w:rPr>
        <w:t> </w:t>
      </w:r>
      <w:r>
        <w:rPr/>
        <w:t>Red</w:t>
      </w:r>
      <w:r>
        <w:rPr>
          <w:spacing w:val="-3"/>
        </w:rPr>
        <w:t> </w:t>
      </w:r>
      <w:r>
        <w:rPr/>
        <w:t>arrows</w:t>
      </w:r>
      <w:r>
        <w:rPr>
          <w:spacing w:val="-3"/>
        </w:rPr>
        <w:t> </w:t>
      </w:r>
      <w:r>
        <w:rPr/>
        <w:t>represent</w:t>
      </w:r>
      <w:r>
        <w:rPr>
          <w:spacing w:val="1"/>
        </w:rPr>
        <w:t> </w:t>
      </w:r>
      <w:r>
        <w:rPr/>
        <w:t>regressive</w:t>
      </w:r>
      <w:r>
        <w:rPr>
          <w:spacing w:val="-1"/>
        </w:rPr>
        <w:t> </w:t>
      </w:r>
      <w:r>
        <w:rPr/>
        <w:t>cycles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blue</w:t>
      </w:r>
      <w:r>
        <w:rPr>
          <w:spacing w:val="-4"/>
        </w:rPr>
        <w:t> </w:t>
      </w:r>
      <w:r>
        <w:rPr/>
        <w:t>arrows represent</w:t>
      </w:r>
      <w:r>
        <w:rPr>
          <w:spacing w:val="-3"/>
        </w:rPr>
        <w:t> </w:t>
      </w:r>
      <w:r>
        <w:rPr/>
        <w:t>transgressive</w:t>
      </w:r>
      <w:r>
        <w:rPr>
          <w:spacing w:val="-52"/>
        </w:rPr>
        <w:t> </w:t>
      </w:r>
      <w:r>
        <w:rPr/>
        <w:t>cycles.</w:t>
      </w:r>
      <w:r>
        <w:rPr>
          <w:spacing w:val="-3"/>
        </w:rPr>
        <w:t> </w:t>
      </w:r>
      <w:r>
        <w:rPr/>
        <w:t>Dashed lines</w:t>
      </w:r>
      <w:r>
        <w:rPr>
          <w:spacing w:val="-3"/>
        </w:rPr>
        <w:t> </w:t>
      </w:r>
      <w:r>
        <w:rPr/>
        <w:t>represent</w:t>
      </w:r>
      <w:r>
        <w:rPr>
          <w:spacing w:val="-1"/>
        </w:rPr>
        <w:t> </w:t>
      </w:r>
      <w:r>
        <w:rPr/>
        <w:t>unconformities</w:t>
      </w:r>
      <w:r>
        <w:rPr>
          <w:spacing w:val="1"/>
        </w:rPr>
        <w:t> </w:t>
      </w:r>
      <w:r>
        <w:rPr/>
        <w:t>at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top</w:t>
      </w:r>
      <w:r>
        <w:rPr>
          <w:spacing w:val="-2"/>
        </w:rPr>
        <w:t> </w:t>
      </w:r>
      <w:r>
        <w:rPr/>
        <w:t>and bottom</w:t>
      </w:r>
      <w:r>
        <w:rPr>
          <w:spacing w:val="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</w:p>
    <w:p>
      <w:pPr>
        <w:pStyle w:val="BodyText"/>
        <w:tabs>
          <w:tab w:pos="8934" w:val="left" w:leader="none"/>
        </w:tabs>
        <w:spacing w:line="292" w:lineRule="exact"/>
        <w:ind w:left="227"/>
      </w:pPr>
      <w:r>
        <w:rPr/>
        <w:pict>
          <v:rect style="position:absolute;margin-left:72pt;margin-top:24.600494pt;width:.959999pt;height:.959998pt;mso-position-horizontal-relative:page;mso-position-vertical-relative:paragraph;z-index:15791616" id="docshape100" filled="true" fillcolor="#000000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15792128" from="76.800003pt,25.0805pt" to="533.76001pt,25.0805pt" stroked="true" strokeweight=".959999pt" strokecolor="#000000">
            <v:stroke dashstyle="dash"/>
            <w10:wrap type="none"/>
          </v:line>
        </w:pict>
      </w:r>
      <w:r>
        <w:rPr/>
        <w:pict>
          <v:rect style="position:absolute;margin-left:537.600037pt;margin-top:24.6005pt;width:1.919998pt;height:.959999pt;mso-position-horizontal-relative:page;mso-position-vertical-relative:paragraph;z-index:15792640" id="docshape101" filled="true" fillcolor="#000000" stroked="false">
            <v:fill type="solid"/>
            <w10:wrap type="none"/>
          </v:rect>
        </w:pict>
      </w:r>
      <w:r>
        <w:rPr/>
        <w:t>Woodford</w:t>
      </w:r>
      <w:r>
        <w:rPr>
          <w:spacing w:val="-4"/>
        </w:rPr>
        <w:t> </w:t>
      </w:r>
      <w:r>
        <w:rPr/>
        <w:t>Shale. Figure</w:t>
      </w:r>
      <w:r>
        <w:rPr>
          <w:spacing w:val="-3"/>
        </w:rPr>
        <w:t> </w:t>
      </w:r>
      <w:r>
        <w:rPr/>
        <w:t>modified from</w:t>
      </w:r>
      <w:r>
        <w:rPr>
          <w:spacing w:val="-2"/>
        </w:rPr>
        <w:t> </w:t>
      </w:r>
      <w:r>
        <w:rPr/>
        <w:t>(Molinares-Blanco,</w:t>
      </w:r>
      <w:r>
        <w:rPr>
          <w:spacing w:val="-3"/>
        </w:rPr>
        <w:t> </w:t>
      </w:r>
      <w:r>
        <w:rPr/>
        <w:t>2013).</w:t>
      </w:r>
      <w:r>
        <w:rPr>
          <w:rFonts w:ascii="Times New Roman"/>
        </w:rPr>
        <w:tab/>
      </w:r>
      <w:r>
        <w:rPr/>
        <w:t>38</w:t>
      </w:r>
    </w:p>
    <w:p>
      <w:pPr>
        <w:pStyle w:val="BodyText"/>
        <w:spacing w:before="220"/>
        <w:ind w:left="227"/>
      </w:pPr>
      <w:r>
        <w:rPr>
          <w:b/>
        </w:rPr>
        <w:t>Figure</w:t>
      </w:r>
      <w:r>
        <w:rPr>
          <w:b/>
          <w:spacing w:val="-4"/>
        </w:rPr>
        <w:t> </w:t>
      </w:r>
      <w:r>
        <w:rPr>
          <w:b/>
        </w:rPr>
        <w:t>17.</w:t>
      </w:r>
      <w:r>
        <w:rPr>
          <w:b/>
          <w:spacing w:val="1"/>
        </w:rPr>
        <w:t> </w:t>
      </w:r>
      <w:r>
        <w:rPr/>
        <w:t>Example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the chromatograms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molecular structures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1"/>
        </w:rPr>
        <w:t> </w:t>
      </w:r>
      <w:r>
        <w:rPr/>
        <w:t>major</w:t>
      </w:r>
    </w:p>
    <w:p>
      <w:pPr>
        <w:pStyle w:val="BodyText"/>
        <w:tabs>
          <w:tab w:pos="8944" w:val="left" w:leader="none"/>
        </w:tabs>
        <w:ind w:left="227"/>
      </w:pPr>
      <w:r>
        <w:rPr/>
        <w:pict>
          <v:rect style="position:absolute;margin-left:72pt;margin-top:24.625801pt;width:.959999pt;height:.959999pt;mso-position-horizontal-relative:page;mso-position-vertical-relative:paragraph;z-index:15793152" id="docshape102" filled="true" fillcolor="#000000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15793664" from="76.800003pt,25.105808pt" to="533.76001pt,25.105808pt" stroked="true" strokeweight=".959999pt" strokecolor="#000000">
            <v:stroke dashstyle="dash"/>
            <w10:wrap type="none"/>
          </v:line>
        </w:pict>
      </w:r>
      <w:r>
        <w:rPr/>
        <w:pict>
          <v:rect style="position:absolute;margin-left:537.600037pt;margin-top:24.625809pt;width:1.919998pt;height:.959999pt;mso-position-horizontal-relative:page;mso-position-vertical-relative:paragraph;z-index:15794176" id="docshape103" filled="true" fillcolor="#000000" stroked="false">
            <v:fill type="solid"/>
            <w10:wrap type="none"/>
          </v:rect>
        </w:pict>
      </w:r>
      <w:r>
        <w:rPr/>
        <w:t>compound</w:t>
      </w:r>
      <w:r>
        <w:rPr>
          <w:spacing w:val="-4"/>
        </w:rPr>
        <w:t> </w:t>
      </w:r>
      <w:r>
        <w:rPr/>
        <w:t>detected</w:t>
      </w:r>
      <w:r>
        <w:rPr>
          <w:spacing w:val="-2"/>
        </w:rPr>
        <w:t> </w:t>
      </w:r>
      <w:r>
        <w:rPr/>
        <w:t>for</w:t>
      </w:r>
      <w:r>
        <w:rPr>
          <w:spacing w:val="-5"/>
        </w:rPr>
        <w:t> </w:t>
      </w:r>
      <w:r>
        <w:rPr/>
        <w:t>each</w:t>
      </w:r>
      <w:r>
        <w:rPr>
          <w:spacing w:val="-2"/>
        </w:rPr>
        <w:t> </w:t>
      </w:r>
      <w:r>
        <w:rPr/>
        <w:t>class</w:t>
      </w:r>
      <w:r>
        <w:rPr>
          <w:spacing w:val="-2"/>
        </w:rPr>
        <w:t> </w:t>
      </w:r>
      <w:r>
        <w:rPr/>
        <w:t>of</w:t>
      </w:r>
      <w:r>
        <w:rPr>
          <w:spacing w:val="2"/>
        </w:rPr>
        <w:t> </w:t>
      </w:r>
      <w:r>
        <w:rPr/>
        <w:t>VO</w:t>
      </w:r>
      <w:r>
        <w:rPr>
          <w:spacing w:val="-3"/>
        </w:rPr>
        <w:t> </w:t>
      </w:r>
      <w:r>
        <w:rPr/>
        <w:t>metalloporphyrins</w:t>
      </w:r>
      <w:r>
        <w:rPr>
          <w:rFonts w:ascii="Times New Roman"/>
        </w:rPr>
        <w:tab/>
      </w:r>
      <w:r>
        <w:rPr/>
        <w:t>39</w:t>
      </w:r>
    </w:p>
    <w:p>
      <w:pPr>
        <w:pStyle w:val="BodyText"/>
        <w:tabs>
          <w:tab w:pos="9180" w:val="right" w:leader="none"/>
        </w:tabs>
        <w:spacing w:before="221"/>
        <w:ind w:left="227" w:right="917"/>
      </w:pPr>
      <w:r>
        <w:rPr/>
        <w:pict>
          <v:rect style="position:absolute;margin-left:72pt;margin-top:50.315754pt;width:.959999pt;height:.959998pt;mso-position-horizontal-relative:page;mso-position-vertical-relative:paragraph;z-index:15794688" id="docshape104" filled="true" fillcolor="#000000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15795200" from="76.800003pt,50.795761pt" to="533.76001pt,50.795761pt" stroked="true" strokeweight=".959999pt" strokecolor="#000000">
            <v:stroke dashstyle="dash"/>
            <w10:wrap type="none"/>
          </v:line>
        </w:pict>
      </w:r>
      <w:r>
        <w:rPr/>
        <w:pict>
          <v:rect style="position:absolute;margin-left:537.600037pt;margin-top:50.315762pt;width:1.919998pt;height:.959999pt;mso-position-horizontal-relative:page;mso-position-vertical-relative:paragraph;z-index:15795712" id="docshape105" filled="true" fillcolor="#000000" stroked="false">
            <v:fill type="solid"/>
            <w10:wrap type="none"/>
          </v:rect>
        </w:pict>
      </w:r>
      <w:r>
        <w:rPr>
          <w:b/>
        </w:rPr>
        <w:t>Figure 18. </w:t>
      </w:r>
      <w:r>
        <w:rPr/>
        <w:t>Example of the chromatograms and molecular structures of the major</w:t>
      </w:r>
      <w:r>
        <w:rPr>
          <w:spacing w:val="1"/>
        </w:rPr>
        <w:t> </w:t>
      </w:r>
      <w:r>
        <w:rPr/>
        <w:t>compounds</w:t>
      </w:r>
      <w:r>
        <w:rPr>
          <w:spacing w:val="-1"/>
        </w:rPr>
        <w:t> </w:t>
      </w:r>
      <w:r>
        <w:rPr/>
        <w:t>detected</w:t>
      </w:r>
      <w:r>
        <w:rPr>
          <w:spacing w:val="-1"/>
        </w:rPr>
        <w:t> </w:t>
      </w:r>
      <w:r>
        <w:rPr/>
        <w:t>for</w:t>
      </w:r>
      <w:r>
        <w:rPr>
          <w:spacing w:val="-3"/>
        </w:rPr>
        <w:t> </w:t>
      </w:r>
      <w:r>
        <w:rPr/>
        <w:t>each</w:t>
      </w:r>
      <w:r>
        <w:rPr>
          <w:spacing w:val="-1"/>
        </w:rPr>
        <w:t> </w:t>
      </w:r>
      <w:r>
        <w:rPr/>
        <w:t>class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Ni</w:t>
      </w:r>
      <w:r>
        <w:rPr>
          <w:spacing w:val="2"/>
        </w:rPr>
        <w:t> </w:t>
      </w:r>
      <w:r>
        <w:rPr/>
        <w:t>metalloporphyrins.</w:t>
      </w:r>
      <w:r>
        <w:rPr>
          <w:rFonts w:ascii="Times New Roman"/>
        </w:rPr>
        <w:tab/>
      </w:r>
      <w:r>
        <w:rPr/>
        <w:t>40</w:t>
      </w:r>
    </w:p>
    <w:p>
      <w:pPr>
        <w:pStyle w:val="BodyText"/>
        <w:tabs>
          <w:tab w:pos="9181" w:val="right" w:leader="none"/>
        </w:tabs>
        <w:spacing w:before="218"/>
        <w:ind w:left="227" w:right="916"/>
      </w:pPr>
      <w:r>
        <w:rPr>
          <w:b/>
        </w:rPr>
        <w:t>Figure 19. </w:t>
      </w:r>
      <w:r>
        <w:rPr/>
        <w:t>Depth profile of the metalloporphyrins. The line at 118ft divides the Upper</w:t>
      </w:r>
      <w:r>
        <w:rPr>
          <w:spacing w:val="1"/>
        </w:rPr>
        <w:t> </w:t>
      </w:r>
      <w:r>
        <w:rPr/>
        <w:t>Woodford Shale and the Middle Woodford Shale, the line at 185ft divides the Middle</w:t>
      </w:r>
      <w:r>
        <w:rPr>
          <w:spacing w:val="1"/>
        </w:rPr>
        <w:t> </w:t>
      </w:r>
      <w:r>
        <w:rPr/>
        <w:t>Woodford</w:t>
      </w:r>
      <w:r>
        <w:rPr>
          <w:spacing w:val="-3"/>
        </w:rPr>
        <w:t> </w:t>
      </w:r>
      <w:r>
        <w:rPr/>
        <w:t>Shale</w:t>
      </w:r>
      <w:r>
        <w:rPr>
          <w:spacing w:val="3"/>
        </w:rPr>
        <w:t> </w:t>
      </w:r>
      <w:r>
        <w:rPr/>
        <w:t>and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Lower</w:t>
      </w:r>
      <w:r>
        <w:rPr>
          <w:spacing w:val="-2"/>
        </w:rPr>
        <w:t> </w:t>
      </w:r>
      <w:r>
        <w:rPr/>
        <w:t>Woodford</w:t>
      </w:r>
      <w:r>
        <w:rPr>
          <w:spacing w:val="3"/>
        </w:rPr>
        <w:t> </w:t>
      </w:r>
      <w:r>
        <w:rPr/>
        <w:t>Shale.</w:t>
      </w:r>
      <w:r>
        <w:rPr>
          <w:rFonts w:ascii="Times New Roman"/>
        </w:rPr>
        <w:tab/>
      </w:r>
      <w:r>
        <w:rPr/>
        <w:t>42</w:t>
      </w:r>
    </w:p>
    <w:p>
      <w:pPr>
        <w:pStyle w:val="BodyText"/>
        <w:spacing w:before="220"/>
        <w:ind w:left="227" w:right="1641"/>
      </w:pPr>
      <w:r>
        <w:rPr/>
        <w:pict>
          <v:rect style="position:absolute;margin-left:72pt;margin-top:10.065781pt;width:.959999pt;height:.959999pt;mso-position-horizontal-relative:page;mso-position-vertical-relative:paragraph;z-index:15796224" id="docshape106" filled="true" fillcolor="#000000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15796736" from="76.800003pt,10.54579pt" to="533.76001pt,10.54579pt" stroked="true" strokeweight=".959999pt" strokecolor="#000000">
            <v:stroke dashstyle="dash"/>
            <w10:wrap type="none"/>
          </v:line>
        </w:pict>
      </w:r>
      <w:r>
        <w:rPr/>
        <w:pict>
          <v:rect style="position:absolute;margin-left:537.600037pt;margin-top:10.06579pt;width:1.919998pt;height:.959999pt;mso-position-horizontal-relative:page;mso-position-vertical-relative:paragraph;z-index:15797248" id="docshape107" filled="true" fillcolor="#000000" stroked="false">
            <v:fill type="solid"/>
            <w10:wrap type="none"/>
          </v:rect>
        </w:pict>
      </w:r>
      <w:r>
        <w:rPr>
          <w:b/>
        </w:rPr>
        <w:t>Figure 20. </w:t>
      </w:r>
      <w:r>
        <w:rPr/>
        <w:t>Chromatograms and molecular structures of the MTTCs and of TMPBQ.</w:t>
      </w:r>
      <w:r>
        <w:rPr>
          <w:spacing w:val="1"/>
        </w:rPr>
        <w:t> </w:t>
      </w:r>
      <w:r>
        <w:rPr/>
        <w:t>The first chromatogram shows the demethylated MTTCs, there are three peaks but</w:t>
      </w:r>
      <w:r>
        <w:rPr>
          <w:spacing w:val="1"/>
        </w:rPr>
        <w:t> </w:t>
      </w:r>
      <w:r>
        <w:rPr/>
        <w:t>without</w:t>
      </w:r>
      <w:r>
        <w:rPr>
          <w:spacing w:val="1"/>
        </w:rPr>
        <w:t> </w:t>
      </w:r>
      <w:r>
        <w:rPr/>
        <w:t>a</w:t>
      </w:r>
      <w:r>
        <w:rPr>
          <w:spacing w:val="-4"/>
        </w:rPr>
        <w:t> </w:t>
      </w:r>
      <w:r>
        <w:rPr/>
        <w:t>proper</w:t>
      </w:r>
      <w:r>
        <w:rPr>
          <w:spacing w:val="-5"/>
        </w:rPr>
        <w:t> </w:t>
      </w:r>
      <w:r>
        <w:rPr/>
        <w:t>standard</w:t>
      </w:r>
      <w:r>
        <w:rPr>
          <w:spacing w:val="-2"/>
        </w:rPr>
        <w:t> </w:t>
      </w:r>
      <w:r>
        <w:rPr/>
        <w:t>individual</w:t>
      </w:r>
      <w:r>
        <w:rPr>
          <w:spacing w:val="-3"/>
        </w:rPr>
        <w:t> </w:t>
      </w:r>
      <w:r>
        <w:rPr/>
        <w:t>peaks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each</w:t>
      </w:r>
      <w:r>
        <w:rPr>
          <w:spacing w:val="-2"/>
        </w:rPr>
        <w:t> </w:t>
      </w:r>
      <w:r>
        <w:rPr/>
        <w:t>isomer</w:t>
      </w:r>
      <w:r>
        <w:rPr>
          <w:spacing w:val="-5"/>
        </w:rPr>
        <w:t> </w:t>
      </w:r>
      <w:r>
        <w:rPr/>
        <w:t>can</w:t>
      </w:r>
      <w:r>
        <w:rPr>
          <w:spacing w:val="-3"/>
        </w:rPr>
        <w:t> </w:t>
      </w:r>
      <w:r>
        <w:rPr/>
        <w:t>not</w:t>
      </w:r>
      <w:r>
        <w:rPr>
          <w:spacing w:val="-3"/>
        </w:rPr>
        <w:t> </w:t>
      </w:r>
      <w:r>
        <w:rPr/>
        <w:t>be</w:t>
      </w:r>
      <w:r>
        <w:rPr>
          <w:spacing w:val="2"/>
        </w:rPr>
        <w:t> </w:t>
      </w:r>
      <w:r>
        <w:rPr/>
        <w:t>determined.</w:t>
      </w:r>
    </w:p>
    <w:p>
      <w:pPr>
        <w:pStyle w:val="BodyText"/>
        <w:spacing w:before="2"/>
        <w:ind w:left="227"/>
      </w:pPr>
      <w:r>
        <w:rPr/>
        <w:t>The second</w:t>
      </w:r>
      <w:r>
        <w:rPr>
          <w:spacing w:val="-3"/>
        </w:rPr>
        <w:t> </w:t>
      </w:r>
      <w:r>
        <w:rPr/>
        <w:t>chromatogram</w:t>
      </w:r>
      <w:r>
        <w:rPr>
          <w:spacing w:val="-3"/>
        </w:rPr>
        <w:t> </w:t>
      </w:r>
      <w:r>
        <w:rPr/>
        <w:t>shows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trimethylated</w:t>
      </w:r>
      <w:r>
        <w:rPr>
          <w:spacing w:val="-3"/>
        </w:rPr>
        <w:t> </w:t>
      </w:r>
      <w:r>
        <w:rPr/>
        <w:t>MTTC.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third</w:t>
      </w:r>
      <w:r>
        <w:rPr>
          <w:spacing w:val="-3"/>
        </w:rPr>
        <w:t> </w:t>
      </w:r>
      <w:r>
        <w:rPr/>
        <w:t>chromatogram</w:t>
      </w:r>
    </w:p>
    <w:p>
      <w:pPr>
        <w:pStyle w:val="BodyText"/>
        <w:tabs>
          <w:tab w:pos="8935" w:val="left" w:leader="none"/>
        </w:tabs>
        <w:ind w:left="227"/>
      </w:pPr>
      <w:r>
        <w:rPr/>
        <w:pict>
          <v:rect style="position:absolute;margin-left:72pt;margin-top:24.625824pt;width:.959999pt;height:.959976pt;mso-position-horizontal-relative:page;mso-position-vertical-relative:paragraph;z-index:15797760" id="docshape108" filled="true" fillcolor="#000000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15798272" from="76.800003pt,25.105825pt" to="533.76001pt,25.105825pt" stroked="true" strokeweight=".959976pt" strokecolor="#000000">
            <v:stroke dashstyle="dash"/>
            <w10:wrap type="none"/>
          </v:line>
        </w:pict>
      </w:r>
      <w:r>
        <w:rPr/>
        <w:pict>
          <v:rect style="position:absolute;margin-left:537.600037pt;margin-top:24.625837pt;width:1.919998pt;height:.959976pt;mso-position-horizontal-relative:page;mso-position-vertical-relative:paragraph;z-index:15798784" id="docshape109" filled="true" fillcolor="#000000" stroked="false">
            <v:fill type="solid"/>
            <w10:wrap type="none"/>
          </v:rect>
        </w:pict>
      </w:r>
      <w:r>
        <w:rPr/>
        <w:t>shows</w:t>
      </w:r>
      <w:r>
        <w:rPr>
          <w:spacing w:val="-3"/>
        </w:rPr>
        <w:t> </w:t>
      </w:r>
      <w:r>
        <w:rPr/>
        <w:t>TMPBQ</w:t>
      </w:r>
      <w:r>
        <w:rPr>
          <w:spacing w:val="-5"/>
        </w:rPr>
        <w:t> </w:t>
      </w:r>
      <w:r>
        <w:rPr/>
        <w:t>with</w:t>
      </w:r>
      <w:r>
        <w:rPr>
          <w:spacing w:val="-1"/>
        </w:rPr>
        <w:t> </w:t>
      </w:r>
      <w:r>
        <w:rPr/>
        <w:t>each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isomer</w:t>
      </w:r>
      <w:r>
        <w:rPr>
          <w:spacing w:val="-2"/>
        </w:rPr>
        <w:t> </w:t>
      </w:r>
      <w:r>
        <w:rPr/>
        <w:t>peaks</w:t>
      </w:r>
      <w:r>
        <w:rPr>
          <w:spacing w:val="-1"/>
        </w:rPr>
        <w:t> </w:t>
      </w:r>
      <w:r>
        <w:rPr/>
        <w:t>identified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1,</w:t>
      </w:r>
      <w:r>
        <w:rPr>
          <w:spacing w:val="-3"/>
        </w:rPr>
        <w:t> </w:t>
      </w:r>
      <w:r>
        <w:rPr/>
        <w:t>2,</w:t>
      </w:r>
      <w:r>
        <w:rPr>
          <w:spacing w:val="-2"/>
        </w:rPr>
        <w:t> </w:t>
      </w:r>
      <w:r>
        <w:rPr/>
        <w:t>and</w:t>
      </w:r>
      <w:r>
        <w:rPr>
          <w:spacing w:val="3"/>
        </w:rPr>
        <w:t> </w:t>
      </w:r>
      <w:r>
        <w:rPr/>
        <w:t>3.</w:t>
      </w:r>
      <w:r>
        <w:rPr>
          <w:rFonts w:ascii="Times New Roman"/>
        </w:rPr>
        <w:tab/>
      </w:r>
      <w:r>
        <w:rPr/>
        <w:t>43</w:t>
      </w:r>
    </w:p>
    <w:p>
      <w:pPr>
        <w:pStyle w:val="BodyText"/>
        <w:tabs>
          <w:tab w:pos="9181" w:val="right" w:leader="none"/>
        </w:tabs>
        <w:spacing w:before="218"/>
        <w:ind w:left="227" w:right="916"/>
      </w:pPr>
      <w:r>
        <w:rPr>
          <w:b/>
        </w:rPr>
        <w:t>Figure 21. </w:t>
      </w:r>
      <w:r>
        <w:rPr/>
        <w:t>Depth profiles of the MTTC isomers. The line at 118ft divides the Upper</w:t>
      </w:r>
      <w:r>
        <w:rPr>
          <w:spacing w:val="1"/>
        </w:rPr>
        <w:t> </w:t>
      </w:r>
      <w:r>
        <w:rPr/>
        <w:t>Woodford Shale and the Middle Woodford Shale, the line at 185ft divides the Middle</w:t>
      </w:r>
      <w:r>
        <w:rPr>
          <w:spacing w:val="1"/>
        </w:rPr>
        <w:t> </w:t>
      </w:r>
      <w:r>
        <w:rPr/>
        <w:t>Woodford</w:t>
      </w:r>
      <w:r>
        <w:rPr>
          <w:spacing w:val="-3"/>
        </w:rPr>
        <w:t> </w:t>
      </w:r>
      <w:r>
        <w:rPr/>
        <w:t>Shale</w:t>
      </w:r>
      <w:r>
        <w:rPr>
          <w:spacing w:val="3"/>
        </w:rPr>
        <w:t> </w:t>
      </w:r>
      <w:r>
        <w:rPr/>
        <w:t>and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Lower</w:t>
      </w:r>
      <w:r>
        <w:rPr>
          <w:spacing w:val="-2"/>
        </w:rPr>
        <w:t> </w:t>
      </w:r>
      <w:r>
        <w:rPr/>
        <w:t>Woodford</w:t>
      </w:r>
      <w:r>
        <w:rPr>
          <w:spacing w:val="3"/>
        </w:rPr>
        <w:t> </w:t>
      </w:r>
      <w:r>
        <w:rPr/>
        <w:t>Shale.</w:t>
      </w:r>
      <w:r>
        <w:rPr>
          <w:rFonts w:ascii="Times New Roman"/>
        </w:rPr>
        <w:tab/>
      </w:r>
      <w:r>
        <w:rPr/>
        <w:t>45</w:t>
      </w:r>
    </w:p>
    <w:p>
      <w:pPr>
        <w:pStyle w:val="BodyText"/>
        <w:spacing w:before="221"/>
        <w:ind w:left="227" w:right="1836"/>
      </w:pPr>
      <w:r>
        <w:rPr/>
        <w:pict>
          <v:rect style="position:absolute;margin-left:72pt;margin-top:10.11575pt;width:.959999pt;height:.960022pt;mso-position-horizontal-relative:page;mso-position-vertical-relative:paragraph;z-index:15799296" id="docshape110" filled="true" fillcolor="#000000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15799808" from="76.800003pt,10.595775pt" to="533.76001pt,10.595775pt" stroked="true" strokeweight=".960022pt" strokecolor="#000000">
            <v:stroke dashstyle="dash"/>
            <w10:wrap type="none"/>
          </v:line>
        </w:pict>
      </w:r>
      <w:r>
        <w:rPr/>
        <w:pict>
          <v:rect style="position:absolute;margin-left:537.600037pt;margin-top:10.115764pt;width:1.919998pt;height:.960022pt;mso-position-horizontal-relative:page;mso-position-vertical-relative:paragraph;z-index:15800320" id="docshape111" filled="true" fillcolor="#000000" stroked="false">
            <v:fill type="solid"/>
            <w10:wrap type="none"/>
          </v:rect>
        </w:pict>
      </w:r>
      <w:r>
        <w:rPr>
          <w:b/>
        </w:rPr>
        <w:t>Figure 22. </w:t>
      </w:r>
      <w:r>
        <w:rPr/>
        <w:t>Depth profiles of TMPBQ(XVII) isomer peaks. Ratio of the total</w:t>
      </w:r>
      <w:r>
        <w:rPr>
          <w:spacing w:val="1"/>
        </w:rPr>
        <w:t> </w:t>
      </w:r>
      <w:r>
        <w:rPr/>
        <w:t>TMPBQ(XVII)/α-MTTC(XVI)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the</w:t>
      </w:r>
      <w:r>
        <w:rPr>
          <w:spacing w:val="1"/>
        </w:rPr>
        <w:t> </w:t>
      </w:r>
      <w:r>
        <w:rPr/>
        <w:t>ratio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1"/>
        </w:rPr>
        <w:t> </w:t>
      </w:r>
      <w:r>
        <w:rPr/>
        <w:t>2nd</w:t>
      </w:r>
      <w:r>
        <w:rPr>
          <w:spacing w:val="1"/>
        </w:rPr>
        <w:t> </w:t>
      </w:r>
      <w:r>
        <w:rPr/>
        <w:t>and</w:t>
      </w:r>
      <w:r>
        <w:rPr>
          <w:spacing w:val="-3"/>
        </w:rPr>
        <w:t> </w:t>
      </w:r>
      <w:r>
        <w:rPr/>
        <w:t>3rd</w:t>
      </w:r>
      <w:r>
        <w:rPr>
          <w:spacing w:val="-3"/>
        </w:rPr>
        <w:t> </w:t>
      </w:r>
      <w:r>
        <w:rPr/>
        <w:t>isomers</w:t>
      </w:r>
      <w:r>
        <w:rPr>
          <w:spacing w:val="-4"/>
        </w:rPr>
        <w:t> </w:t>
      </w:r>
      <w:r>
        <w:rPr/>
        <w:t>divided</w:t>
      </w:r>
      <w:r>
        <w:rPr>
          <w:spacing w:val="-3"/>
        </w:rPr>
        <w:t> </w:t>
      </w:r>
      <w:r>
        <w:rPr/>
        <w:t>by</w:t>
      </w:r>
      <w:r>
        <w:rPr>
          <w:spacing w:val="-3"/>
        </w:rPr>
        <w:t> </w:t>
      </w:r>
      <w:r>
        <w:rPr/>
        <w:t>the</w:t>
      </w:r>
    </w:p>
    <w:p>
      <w:pPr>
        <w:pStyle w:val="BodyText"/>
        <w:tabs>
          <w:tab w:pos="8943" w:val="left" w:leader="none"/>
        </w:tabs>
        <w:spacing w:line="293" w:lineRule="exact"/>
        <w:ind w:left="227"/>
      </w:pPr>
      <w:r>
        <w:rPr/>
        <w:t>first</w:t>
      </w:r>
      <w:r>
        <w:rPr>
          <w:spacing w:val="-2"/>
        </w:rPr>
        <w:t> </w:t>
      </w:r>
      <w:r>
        <w:rPr/>
        <w:t>isomer.</w:t>
      </w:r>
      <w:r>
        <w:rPr>
          <w:rFonts w:ascii="Times New Roman"/>
        </w:rPr>
        <w:tab/>
      </w:r>
      <w:r>
        <w:rPr/>
        <w:t>47</w:t>
      </w:r>
    </w:p>
    <w:p>
      <w:pPr>
        <w:pStyle w:val="BodyText"/>
        <w:spacing w:before="220"/>
        <w:ind w:left="227" w:right="1563"/>
      </w:pPr>
      <w:r>
        <w:rPr/>
        <w:pict>
          <v:rect style="position:absolute;margin-left:72pt;margin-top:10.065796pt;width:.959999pt;height:.959977pt;mso-position-horizontal-relative:page;mso-position-vertical-relative:paragraph;z-index:15800832" id="docshape112" filled="true" fillcolor="#000000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15801344" from="76.800003pt,10.545799pt" to="533.76001pt,10.545799pt" stroked="true" strokeweight=".959977pt" strokecolor="#000000">
            <v:stroke dashstyle="dash"/>
            <w10:wrap type="none"/>
          </v:line>
        </w:pict>
      </w:r>
      <w:r>
        <w:rPr/>
        <w:pict>
          <v:rect style="position:absolute;margin-left:537.600037pt;margin-top:10.065811pt;width:1.919998pt;height:.959977pt;mso-position-horizontal-relative:page;mso-position-vertical-relative:paragraph;z-index:15801856" id="docshape113" filled="true" fillcolor="#000000" stroked="false">
            <v:fill type="solid"/>
            <w10:wrap type="none"/>
          </v:rect>
        </w:pict>
      </w:r>
      <w:r>
        <w:rPr>
          <w:b/>
        </w:rPr>
        <w:t>Figure</w:t>
      </w:r>
      <w:r>
        <w:rPr>
          <w:b/>
          <w:spacing w:val="-3"/>
        </w:rPr>
        <w:t> </w:t>
      </w:r>
      <w:r>
        <w:rPr>
          <w:b/>
        </w:rPr>
        <w:t>23.</w:t>
      </w:r>
      <w:r>
        <w:rPr>
          <w:b/>
          <w:spacing w:val="1"/>
        </w:rPr>
        <w:t> </w:t>
      </w:r>
      <w:r>
        <w:rPr/>
        <w:t>Depth</w:t>
      </w:r>
      <w:r>
        <w:rPr>
          <w:spacing w:val="-3"/>
        </w:rPr>
        <w:t> </w:t>
      </w:r>
      <w:r>
        <w:rPr/>
        <w:t>profiles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δ13C</w:t>
      </w:r>
      <w:r>
        <w:rPr>
          <w:spacing w:val="-2"/>
        </w:rPr>
        <w:t> </w:t>
      </w:r>
      <w:r>
        <w:rPr/>
        <w:t>organic</w:t>
      </w:r>
      <w:r>
        <w:rPr>
          <w:spacing w:val="-1"/>
        </w:rPr>
        <w:t> </w:t>
      </w:r>
      <w:r>
        <w:rPr/>
        <w:t>carbon.</w:t>
      </w:r>
      <w:r>
        <w:rPr>
          <w:spacing w:val="-3"/>
        </w:rPr>
        <w:t> </w:t>
      </w:r>
      <w:r>
        <w:rPr/>
        <w:t>Lower Kellwasser</w:t>
      </w:r>
      <w:r>
        <w:rPr>
          <w:spacing w:val="2"/>
        </w:rPr>
        <w:t> </w:t>
      </w:r>
      <w:r>
        <w:rPr/>
        <w:t>event</w:t>
      </w:r>
      <w:r>
        <w:rPr>
          <w:spacing w:val="-2"/>
        </w:rPr>
        <w:t> </w:t>
      </w:r>
      <w:r>
        <w:rPr/>
        <w:t>(LK),</w:t>
      </w:r>
      <w:r>
        <w:rPr>
          <w:spacing w:val="-4"/>
        </w:rPr>
        <w:t> </w:t>
      </w:r>
      <w:r>
        <w:rPr/>
        <w:t>Upper</w:t>
      </w:r>
      <w:r>
        <w:rPr>
          <w:spacing w:val="-51"/>
        </w:rPr>
        <w:t> </w:t>
      </w:r>
      <w:r>
        <w:rPr/>
        <w:t>Kellwasser event (UK), Frasnian/Famennian Boundary (F/F Boundary), and the</w:t>
      </w:r>
      <w:r>
        <w:rPr>
          <w:spacing w:val="1"/>
        </w:rPr>
        <w:t> </w:t>
      </w:r>
      <w:r>
        <w:rPr/>
        <w:t>Devonian/Carboniferous event (D/C) were all found using Molinares-Blanco (2019)</w:t>
      </w:r>
      <w:r>
        <w:rPr>
          <w:spacing w:val="1"/>
        </w:rPr>
        <w:t> </w:t>
      </w:r>
      <w:r>
        <w:rPr/>
        <w:t>findings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proposals.</w:t>
      </w:r>
      <w:r>
        <w:rPr>
          <w:spacing w:val="-3"/>
        </w:rPr>
        <w:t> </w:t>
      </w:r>
      <w:r>
        <w:rPr/>
        <w:t>Red</w:t>
      </w:r>
      <w:r>
        <w:rPr>
          <w:spacing w:val="3"/>
        </w:rPr>
        <w:t> </w:t>
      </w:r>
      <w:r>
        <w:rPr/>
        <w:t>squares</w:t>
      </w:r>
      <w:r>
        <w:rPr>
          <w:spacing w:val="-3"/>
        </w:rPr>
        <w:t> </w:t>
      </w:r>
      <w:r>
        <w:rPr/>
        <w:t>indicate</w:t>
      </w:r>
      <w:r>
        <w:rPr>
          <w:spacing w:val="-3"/>
        </w:rPr>
        <w:t> </w:t>
      </w:r>
      <w:r>
        <w:rPr/>
        <w:t>samples</w:t>
      </w:r>
      <w:r>
        <w:rPr>
          <w:spacing w:val="-2"/>
        </w:rPr>
        <w:t> </w:t>
      </w:r>
      <w:r>
        <w:rPr/>
        <w:t>from</w:t>
      </w:r>
      <w:r>
        <w:rPr>
          <w:spacing w:val="-2"/>
        </w:rPr>
        <w:t> </w:t>
      </w:r>
      <w:r>
        <w:rPr/>
        <w:t>this</w:t>
      </w:r>
      <w:r>
        <w:rPr>
          <w:spacing w:val="-4"/>
        </w:rPr>
        <w:t> </w:t>
      </w:r>
      <w:r>
        <w:rPr/>
        <w:t>study,</w:t>
      </w:r>
      <w:r>
        <w:rPr>
          <w:spacing w:val="-2"/>
        </w:rPr>
        <w:t> </w:t>
      </w:r>
      <w:r>
        <w:rPr/>
        <w:t>black</w:t>
      </w:r>
      <w:r>
        <w:rPr>
          <w:spacing w:val="-2"/>
        </w:rPr>
        <w:t> </w:t>
      </w:r>
      <w:r>
        <w:rPr/>
        <w:t>circles</w:t>
      </w:r>
    </w:p>
    <w:p>
      <w:pPr>
        <w:pStyle w:val="BodyText"/>
        <w:tabs>
          <w:tab w:pos="8938" w:val="left" w:leader="none"/>
        </w:tabs>
        <w:spacing w:line="292" w:lineRule="exact"/>
        <w:ind w:left="227"/>
      </w:pPr>
      <w:r>
        <w:rPr/>
        <w:t>are</w:t>
      </w:r>
      <w:r>
        <w:rPr>
          <w:spacing w:val="1"/>
        </w:rPr>
        <w:t> </w:t>
      </w:r>
      <w:r>
        <w:rPr/>
        <w:t>data points</w:t>
      </w:r>
      <w:r>
        <w:rPr>
          <w:spacing w:val="-3"/>
        </w:rPr>
        <w:t> </w:t>
      </w:r>
      <w:r>
        <w:rPr/>
        <w:t>from</w:t>
      </w:r>
      <w:r>
        <w:rPr>
          <w:spacing w:val="-4"/>
        </w:rPr>
        <w:t> </w:t>
      </w:r>
      <w:r>
        <w:rPr/>
        <w:t>Molinares-Blanco</w:t>
      </w:r>
      <w:r>
        <w:rPr>
          <w:spacing w:val="-3"/>
        </w:rPr>
        <w:t> </w:t>
      </w:r>
      <w:r>
        <w:rPr/>
        <w:t>(2019).</w:t>
      </w:r>
      <w:r>
        <w:rPr>
          <w:rFonts w:ascii="Times New Roman"/>
        </w:rPr>
        <w:tab/>
      </w:r>
      <w:r>
        <w:rPr/>
        <w:t>49</w:t>
      </w:r>
    </w:p>
    <w:p>
      <w:pPr>
        <w:pStyle w:val="BodyText"/>
        <w:spacing w:before="221"/>
        <w:ind w:left="227"/>
      </w:pPr>
      <w:r>
        <w:rPr/>
        <w:pict>
          <v:rect style="position:absolute;margin-left:72pt;margin-top:10.115796pt;width:.959999pt;height:.959976pt;mso-position-horizontal-relative:page;mso-position-vertical-relative:paragraph;z-index:15802368" id="docshape114" filled="true" fillcolor="#000000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15802880" from="76.800003pt,10.595802pt" to="533.76001pt,10.595802pt" stroked="true" strokeweight=".959976pt" strokecolor="#000000">
            <v:stroke dashstyle="dash"/>
            <w10:wrap type="none"/>
          </v:line>
        </w:pict>
      </w:r>
      <w:r>
        <w:rPr/>
        <w:pict>
          <v:rect style="position:absolute;margin-left:537.600037pt;margin-top:10.115814pt;width:1.919998pt;height:.959976pt;mso-position-horizontal-relative:page;mso-position-vertical-relative:paragraph;z-index:15803392" id="docshape115" filled="true" fillcolor="#000000" stroked="false">
            <v:fill type="solid"/>
            <w10:wrap type="none"/>
          </v:rect>
        </w:pict>
      </w:r>
      <w:r>
        <w:rPr>
          <w:b/>
        </w:rPr>
        <w:t>Figure</w:t>
      </w:r>
      <w:r>
        <w:rPr>
          <w:b/>
          <w:spacing w:val="-4"/>
        </w:rPr>
        <w:t> </w:t>
      </w:r>
      <w:r>
        <w:rPr>
          <w:b/>
        </w:rPr>
        <w:t>24.</w:t>
      </w:r>
      <w:r>
        <w:rPr>
          <w:b/>
          <w:spacing w:val="1"/>
        </w:rPr>
        <w:t> </w:t>
      </w:r>
      <w:r>
        <w:rPr/>
        <w:t>Depth</w:t>
      </w:r>
      <w:r>
        <w:rPr>
          <w:spacing w:val="-4"/>
        </w:rPr>
        <w:t> </w:t>
      </w:r>
      <w:r>
        <w:rPr/>
        <w:t>profiles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Isorenieratane(I)</w:t>
      </w:r>
      <w:r>
        <w:rPr>
          <w:spacing w:val="-3"/>
        </w:rPr>
        <w:t> </w:t>
      </w:r>
      <w:r>
        <w:rPr/>
        <w:t>and</w:t>
      </w:r>
      <w:r>
        <w:rPr>
          <w:spacing w:val="-1"/>
        </w:rPr>
        <w:t> </w:t>
      </w:r>
      <w:r>
        <w:rPr/>
        <w:t>Paleorenieratane</w:t>
      </w:r>
      <w:r>
        <w:rPr>
          <w:spacing w:val="2"/>
        </w:rPr>
        <w:t> </w:t>
      </w:r>
      <w:r>
        <w:rPr/>
        <w:t>(II)</w:t>
      </w:r>
      <w:r>
        <w:rPr>
          <w:spacing w:val="-3"/>
        </w:rPr>
        <w:t> </w:t>
      </w:r>
      <w:r>
        <w:rPr/>
        <w:t>measured</w:t>
      </w:r>
      <w:r>
        <w:rPr>
          <w:spacing w:val="-3"/>
        </w:rPr>
        <w:t> </w:t>
      </w:r>
      <w:r>
        <w:rPr/>
        <w:t>on</w:t>
      </w:r>
    </w:p>
    <w:p>
      <w:pPr>
        <w:pStyle w:val="BodyText"/>
        <w:tabs>
          <w:tab w:pos="8933" w:val="left" w:leader="none"/>
        </w:tabs>
        <w:ind w:left="227"/>
      </w:pPr>
      <w:r>
        <w:rPr/>
        <w:pict>
          <v:line style="position:absolute;mso-position-horizontal-relative:page;mso-position-vertical-relative:paragraph;z-index:15803904" from="76.800003pt,25.225796pt" to="533.76001pt,25.225796pt" stroked="true" strokeweight=".959977pt" strokecolor="#000000">
            <v:stroke dashstyle="dash"/>
            <w10:wrap type="none"/>
          </v:line>
        </w:pict>
      </w:r>
      <w:r>
        <w:rPr/>
        <w:pict>
          <v:rect style="position:absolute;margin-left:537.600037pt;margin-top:24.745808pt;width:1.919998pt;height:.959977pt;mso-position-horizontal-relative:page;mso-position-vertical-relative:paragraph;z-index:15804416" id="docshape116" filled="true" fillcolor="#000000" stroked="false">
            <v:fill type="solid"/>
            <w10:wrap type="none"/>
          </v:rect>
        </w:pict>
      </w:r>
      <w:r>
        <w:rPr/>
        <w:t>the</w:t>
      </w:r>
      <w:r>
        <w:rPr>
          <w:spacing w:val="-4"/>
        </w:rPr>
        <w:t> </w:t>
      </w:r>
      <w:r>
        <w:rPr/>
        <w:t>LCMS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GCMS.</w:t>
      </w:r>
      <w:r>
        <w:rPr>
          <w:spacing w:val="-2"/>
        </w:rPr>
        <w:t> </w:t>
      </w:r>
      <w:r>
        <w:rPr/>
        <w:t>GCMS</w:t>
      </w:r>
      <w:r>
        <w:rPr>
          <w:spacing w:val="-2"/>
        </w:rPr>
        <w:t> </w:t>
      </w:r>
      <w:r>
        <w:rPr/>
        <w:t>results</w:t>
      </w:r>
      <w:r>
        <w:rPr>
          <w:spacing w:val="-3"/>
        </w:rPr>
        <w:t> </w:t>
      </w:r>
      <w:r>
        <w:rPr/>
        <w:t>were</w:t>
      </w:r>
      <w:r>
        <w:rPr>
          <w:spacing w:val="-2"/>
        </w:rPr>
        <w:t> </w:t>
      </w:r>
      <w:r>
        <w:rPr/>
        <w:t>obtained</w:t>
      </w:r>
      <w:r>
        <w:rPr>
          <w:spacing w:val="2"/>
        </w:rPr>
        <w:t> </w:t>
      </w:r>
      <w:r>
        <w:rPr/>
        <w:t>from</w:t>
      </w:r>
      <w:r>
        <w:rPr>
          <w:spacing w:val="1"/>
        </w:rPr>
        <w:t> </w:t>
      </w:r>
      <w:r>
        <w:rPr/>
        <w:t>Connock</w:t>
      </w:r>
      <w:r>
        <w:rPr>
          <w:spacing w:val="-3"/>
        </w:rPr>
        <w:t> </w:t>
      </w:r>
      <w:r>
        <w:rPr/>
        <w:t>et</w:t>
      </w:r>
      <w:r>
        <w:rPr>
          <w:spacing w:val="1"/>
        </w:rPr>
        <w:t> </w:t>
      </w:r>
      <w:r>
        <w:rPr/>
        <w:t>al.</w:t>
      </w:r>
      <w:r>
        <w:rPr>
          <w:spacing w:val="-2"/>
        </w:rPr>
        <w:t> </w:t>
      </w:r>
      <w:r>
        <w:rPr/>
        <w:t>(2018).</w:t>
      </w:r>
      <w:r>
        <w:rPr>
          <w:rFonts w:ascii="Times New Roman"/>
        </w:rPr>
        <w:tab/>
      </w:r>
      <w:r>
        <w:rPr/>
        <w:t>52</w:t>
      </w:r>
    </w:p>
    <w:p>
      <w:pPr>
        <w:spacing w:after="0"/>
        <w:sectPr>
          <w:footerReference w:type="default" r:id="rId11"/>
          <w:pgSz w:w="12240" w:h="15840"/>
          <w:pgMar w:footer="2644" w:header="0" w:top="1400" w:bottom="2840" w:left="1320" w:right="820"/>
        </w:sectPr>
      </w:pPr>
    </w:p>
    <w:p>
      <w:pPr>
        <w:pStyle w:val="BodyText"/>
        <w:spacing w:before="39"/>
        <w:ind w:left="227" w:right="1586"/>
        <w:jc w:val="both"/>
      </w:pPr>
      <w:r>
        <w:rPr>
          <w:b/>
        </w:rPr>
        <w:t>Figure</w:t>
      </w:r>
      <w:r>
        <w:rPr>
          <w:b/>
          <w:spacing w:val="-4"/>
        </w:rPr>
        <w:t> </w:t>
      </w:r>
      <w:r>
        <w:rPr>
          <w:b/>
        </w:rPr>
        <w:t>25.</w:t>
      </w:r>
      <w:r>
        <w:rPr>
          <w:b/>
          <w:spacing w:val="1"/>
        </w:rPr>
        <w:t> </w:t>
      </w:r>
      <w:r>
        <w:rPr/>
        <w:t>the</w:t>
      </w:r>
      <w:r>
        <w:rPr>
          <w:spacing w:val="-4"/>
        </w:rPr>
        <w:t> </w:t>
      </w:r>
      <w:r>
        <w:rPr/>
        <w:t>depth</w:t>
      </w:r>
      <w:r>
        <w:rPr>
          <w:spacing w:val="-3"/>
        </w:rPr>
        <w:t> </w:t>
      </w:r>
      <w:r>
        <w:rPr/>
        <w:t>profiles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 Isorenieratane(I)/Paleorenieratane(II)</w:t>
      </w:r>
      <w:r>
        <w:rPr>
          <w:spacing w:val="-3"/>
        </w:rPr>
        <w:t> </w:t>
      </w:r>
      <w:r>
        <w:rPr/>
        <w:t>ratio</w:t>
      </w:r>
      <w:r>
        <w:rPr>
          <w:spacing w:val="-4"/>
        </w:rPr>
        <w:t> </w:t>
      </w:r>
      <w:r>
        <w:rPr/>
        <w:t>found</w:t>
      </w:r>
      <w:r>
        <w:rPr>
          <w:spacing w:val="-51"/>
        </w:rPr>
        <w:t> </w:t>
      </w:r>
      <w:r>
        <w:rPr/>
        <w:t>on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LCMS</w:t>
      </w:r>
      <w:r>
        <w:rPr>
          <w:spacing w:val="-2"/>
        </w:rPr>
        <w:t> </w:t>
      </w:r>
      <w:r>
        <w:rPr/>
        <w:t>and the</w:t>
      </w:r>
      <w:r>
        <w:rPr>
          <w:spacing w:val="-2"/>
        </w:rPr>
        <w:t> </w:t>
      </w:r>
      <w:r>
        <w:rPr/>
        <w:t>GCMS.</w:t>
      </w:r>
      <w:r>
        <w:rPr>
          <w:spacing w:val="-2"/>
        </w:rPr>
        <w:t> </w:t>
      </w:r>
      <w:r>
        <w:rPr/>
        <w:t>GCMS</w:t>
      </w:r>
      <w:r>
        <w:rPr>
          <w:spacing w:val="-2"/>
        </w:rPr>
        <w:t> </w:t>
      </w:r>
      <w:r>
        <w:rPr/>
        <w:t>results</w:t>
      </w:r>
      <w:r>
        <w:rPr>
          <w:spacing w:val="-2"/>
        </w:rPr>
        <w:t> </w:t>
      </w:r>
      <w:r>
        <w:rPr/>
        <w:t>were obtained</w:t>
      </w:r>
      <w:r>
        <w:rPr>
          <w:spacing w:val="-2"/>
        </w:rPr>
        <w:t> </w:t>
      </w:r>
      <w:r>
        <w:rPr/>
        <w:t>from</w:t>
      </w:r>
      <w:r>
        <w:rPr>
          <w:spacing w:val="1"/>
        </w:rPr>
        <w:t> </w:t>
      </w:r>
      <w:r>
        <w:rPr/>
        <w:t>Connock</w:t>
      </w:r>
      <w:r>
        <w:rPr>
          <w:spacing w:val="-4"/>
        </w:rPr>
        <w:t> </w:t>
      </w:r>
      <w:r>
        <w:rPr/>
        <w:t>et</w:t>
      </w:r>
      <w:r>
        <w:rPr>
          <w:spacing w:val="-1"/>
        </w:rPr>
        <w:t> </w:t>
      </w:r>
      <w:r>
        <w:rPr/>
        <w:t>al.</w:t>
      </w:r>
      <w:r>
        <w:rPr>
          <w:spacing w:val="-2"/>
        </w:rPr>
        <w:t> </w:t>
      </w:r>
      <w:r>
        <w:rPr/>
        <w:t>(2018).</w:t>
      </w:r>
      <w:r>
        <w:rPr>
          <w:spacing w:val="-52"/>
        </w:rPr>
        <w:t> </w:t>
      </w:r>
      <w:r>
        <w:rPr/>
        <w:t>The</w:t>
      </w:r>
      <w:r>
        <w:rPr>
          <w:spacing w:val="1"/>
        </w:rPr>
        <w:t> </w:t>
      </w:r>
      <w:r>
        <w:rPr/>
        <w:t>line</w:t>
      </w:r>
      <w:r>
        <w:rPr>
          <w:spacing w:val="-2"/>
        </w:rPr>
        <w:t> </w:t>
      </w:r>
      <w:r>
        <w:rPr/>
        <w:t>at</w:t>
      </w:r>
      <w:r>
        <w:rPr>
          <w:spacing w:val="-3"/>
        </w:rPr>
        <w:t> </w:t>
      </w:r>
      <w:r>
        <w:rPr/>
        <w:t>118ft</w:t>
      </w:r>
      <w:r>
        <w:rPr>
          <w:spacing w:val="-2"/>
        </w:rPr>
        <w:t> </w:t>
      </w:r>
      <w:r>
        <w:rPr/>
        <w:t>separates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Upper</w:t>
      </w:r>
      <w:r>
        <w:rPr>
          <w:spacing w:val="-3"/>
        </w:rPr>
        <w:t> </w:t>
      </w:r>
      <w:r>
        <w:rPr/>
        <w:t>Woodford</w:t>
      </w:r>
      <w:r>
        <w:rPr>
          <w:spacing w:val="-2"/>
        </w:rPr>
        <w:t> </w:t>
      </w:r>
      <w:r>
        <w:rPr/>
        <w:t>Shale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the Middle</w:t>
      </w:r>
      <w:r>
        <w:rPr>
          <w:spacing w:val="-2"/>
        </w:rPr>
        <w:t> </w:t>
      </w:r>
      <w:r>
        <w:rPr/>
        <w:t>Woodford</w:t>
      </w:r>
    </w:p>
    <w:p>
      <w:pPr>
        <w:pStyle w:val="BodyText"/>
        <w:tabs>
          <w:tab w:pos="8944" w:val="left" w:leader="none"/>
        </w:tabs>
        <w:spacing w:line="163" w:lineRule="auto" w:before="38"/>
        <w:ind w:left="227"/>
        <w:jc w:val="both"/>
      </w:pPr>
      <w:r>
        <w:rPr/>
        <w:t>Shale,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line</w:t>
      </w:r>
      <w:r>
        <w:rPr>
          <w:spacing w:val="-2"/>
        </w:rPr>
        <w:t> </w:t>
      </w:r>
      <w:r>
        <w:rPr/>
        <w:t>at</w:t>
      </w:r>
      <w:r>
        <w:rPr>
          <w:spacing w:val="-1"/>
        </w:rPr>
        <w:t> </w:t>
      </w:r>
      <w:r>
        <w:rPr/>
        <w:t>185ft</w:t>
      </w:r>
      <w:r>
        <w:rPr>
          <w:spacing w:val="2"/>
        </w:rPr>
        <w:t> </w:t>
      </w:r>
      <w:r>
        <w:rPr/>
        <w:t>separates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Middle</w:t>
      </w:r>
      <w:r>
        <w:rPr>
          <w:spacing w:val="-3"/>
        </w:rPr>
        <w:t> </w:t>
      </w:r>
      <w:r>
        <w:rPr/>
        <w:t>Woodford</w:t>
      </w:r>
      <w:r>
        <w:rPr>
          <w:spacing w:val="-2"/>
        </w:rPr>
        <w:t> </w:t>
      </w:r>
      <w:r>
        <w:rPr/>
        <w:t>Shale</w:t>
      </w:r>
      <w:r>
        <w:rPr>
          <w:spacing w:val="1"/>
        </w:rPr>
        <w:t> </w:t>
      </w:r>
      <w:r>
        <w:rPr/>
        <w:t>and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Lower</w:t>
      </w:r>
      <w:r>
        <w:rPr>
          <w:rFonts w:ascii="Times New Roman"/>
        </w:rPr>
        <w:tab/>
      </w:r>
      <w:r>
        <w:rPr>
          <w:position w:val="-10"/>
        </w:rPr>
        <w:t>53</w:t>
      </w:r>
    </w:p>
    <w:p>
      <w:pPr>
        <w:pStyle w:val="BodyText"/>
        <w:spacing w:line="239" w:lineRule="exact"/>
        <w:ind w:left="227"/>
        <w:jc w:val="both"/>
      </w:pPr>
      <w:r>
        <w:rPr/>
        <w:t>Woodford</w:t>
      </w:r>
      <w:r>
        <w:rPr>
          <w:spacing w:val="-4"/>
        </w:rPr>
        <w:t> </w:t>
      </w:r>
      <w:r>
        <w:rPr/>
        <w:t>Shale.</w:t>
      </w:r>
    </w:p>
    <w:p>
      <w:pPr>
        <w:pStyle w:val="BodyText"/>
        <w:spacing w:before="220"/>
        <w:ind w:left="227" w:right="1641"/>
      </w:pPr>
      <w:r>
        <w:rPr/>
        <w:pict>
          <v:rect style="position:absolute;margin-left:72pt;margin-top:10.065762pt;width:.959999pt;height:.96001pt;mso-position-horizontal-relative:page;mso-position-vertical-relative:paragraph;z-index:15806464" id="docshape118" filled="true" fillcolor="#000000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15806976" from="76.800003pt,10.545772pt" to="533.76001pt,10.545772pt" stroked="true" strokeweight=".960011pt" strokecolor="#000000">
            <v:stroke dashstyle="dash"/>
            <w10:wrap type="none"/>
          </v:line>
        </w:pict>
      </w:r>
      <w:r>
        <w:rPr/>
        <w:pict>
          <v:rect style="position:absolute;margin-left:537.600037pt;margin-top:10.065766pt;width:1.919998pt;height:.960011pt;mso-position-horizontal-relative:page;mso-position-vertical-relative:paragraph;z-index:15807488" id="docshape119" filled="true" fillcolor="#000000" stroked="false">
            <v:fill type="solid"/>
            <w10:wrap type="none"/>
          </v:rect>
        </w:pict>
      </w:r>
      <w:r>
        <w:rPr>
          <w:b/>
        </w:rPr>
        <w:t>Figure 26. </w:t>
      </w:r>
      <w:r>
        <w:rPr/>
        <w:t>Correlation plots between results obtained from the LCMS and GCMS</w:t>
      </w:r>
      <w:r>
        <w:rPr>
          <w:spacing w:val="1"/>
        </w:rPr>
        <w:t> </w:t>
      </w:r>
      <w:r>
        <w:rPr/>
        <w:t>methods for Isorenieratane(I), Paleorenieratane (II) and the</w:t>
      </w:r>
      <w:r>
        <w:rPr>
          <w:spacing w:val="1"/>
        </w:rPr>
        <w:t> </w:t>
      </w:r>
      <w:r>
        <w:rPr/>
        <w:t>Isorenieratane(I)/Paleorenieratane (II) ratio. A straight line of best fit was used and</w:t>
      </w:r>
      <w:r>
        <w:rPr>
          <w:spacing w:val="1"/>
        </w:rPr>
        <w:t> </w:t>
      </w:r>
      <w:r>
        <w:rPr/>
        <w:t>the</w:t>
      </w:r>
      <w:r>
        <w:rPr>
          <w:spacing w:val="-3"/>
        </w:rPr>
        <w:t> </w:t>
      </w:r>
      <w:r>
        <w:rPr/>
        <w:t>R2</w:t>
      </w:r>
      <w:r>
        <w:rPr>
          <w:spacing w:val="-2"/>
        </w:rPr>
        <w:t> </w:t>
      </w:r>
      <w:r>
        <w:rPr/>
        <w:t>value</w:t>
      </w:r>
      <w:r>
        <w:rPr>
          <w:spacing w:val="-3"/>
        </w:rPr>
        <w:t> </w:t>
      </w:r>
      <w:r>
        <w:rPr/>
        <w:t>was</w:t>
      </w:r>
      <w:r>
        <w:rPr>
          <w:spacing w:val="-2"/>
        </w:rPr>
        <w:t> </w:t>
      </w:r>
      <w:r>
        <w:rPr/>
        <w:t>displayed.</w:t>
      </w:r>
      <w:r>
        <w:rPr>
          <w:spacing w:val="-3"/>
        </w:rPr>
        <w:t> </w:t>
      </w:r>
      <w:r>
        <w:rPr/>
        <w:t>GCMS</w:t>
      </w:r>
      <w:r>
        <w:rPr>
          <w:spacing w:val="-1"/>
        </w:rPr>
        <w:t> </w:t>
      </w:r>
      <w:r>
        <w:rPr/>
        <w:t>results</w:t>
      </w:r>
      <w:r>
        <w:rPr>
          <w:spacing w:val="-2"/>
        </w:rPr>
        <w:t> </w:t>
      </w:r>
      <w:r>
        <w:rPr/>
        <w:t>were</w:t>
      </w:r>
      <w:r>
        <w:rPr>
          <w:spacing w:val="-2"/>
        </w:rPr>
        <w:t> </w:t>
      </w:r>
      <w:r>
        <w:rPr/>
        <w:t>obtained</w:t>
      </w:r>
      <w:r>
        <w:rPr>
          <w:spacing w:val="-2"/>
        </w:rPr>
        <w:t> </w:t>
      </w:r>
      <w:r>
        <w:rPr/>
        <w:t>from</w:t>
      </w:r>
      <w:r>
        <w:rPr>
          <w:spacing w:val="-2"/>
        </w:rPr>
        <w:t> </w:t>
      </w:r>
      <w:r>
        <w:rPr/>
        <w:t>Connock</w:t>
      </w:r>
      <w:r>
        <w:rPr>
          <w:spacing w:val="-2"/>
        </w:rPr>
        <w:t> </w:t>
      </w:r>
      <w:r>
        <w:rPr/>
        <w:t>et</w:t>
      </w:r>
      <w:r>
        <w:rPr>
          <w:spacing w:val="-2"/>
        </w:rPr>
        <w:t> </w:t>
      </w:r>
      <w:r>
        <w:rPr/>
        <w:t>al</w:t>
      </w:r>
      <w:r>
        <w:rPr>
          <w:spacing w:val="-2"/>
        </w:rPr>
        <w:t> </w:t>
      </w:r>
      <w:r>
        <w:rPr/>
        <w:t>(2018).</w:t>
      </w:r>
    </w:p>
    <w:p>
      <w:pPr>
        <w:pStyle w:val="BodyText"/>
        <w:tabs>
          <w:tab w:pos="8939" w:val="left" w:leader="none"/>
        </w:tabs>
        <w:spacing w:line="292" w:lineRule="exact"/>
        <w:ind w:left="227"/>
      </w:pPr>
      <w:r>
        <w:rPr/>
        <w:t>The</w:t>
      </w:r>
      <w:r>
        <w:rPr>
          <w:spacing w:val="-1"/>
        </w:rPr>
        <w:t> </w:t>
      </w:r>
      <w:r>
        <w:rPr/>
        <w:t>four</w:t>
      </w:r>
      <w:r>
        <w:rPr>
          <w:spacing w:val="-3"/>
        </w:rPr>
        <w:t> </w:t>
      </w:r>
      <w:r>
        <w:rPr/>
        <w:t>outliers</w:t>
      </w:r>
      <w:r>
        <w:rPr>
          <w:spacing w:val="-2"/>
        </w:rPr>
        <w:t> </w:t>
      </w:r>
      <w:r>
        <w:rPr/>
        <w:t>are</w:t>
      </w:r>
      <w:r>
        <w:rPr>
          <w:spacing w:val="-3"/>
        </w:rPr>
        <w:t> </w:t>
      </w:r>
      <w:r>
        <w:rPr/>
        <w:t>circled</w:t>
      </w:r>
      <w:r>
        <w:rPr>
          <w:spacing w:val="2"/>
        </w:rPr>
        <w:t> </w:t>
      </w:r>
      <w:r>
        <w:rPr/>
        <w:t>in</w:t>
      </w:r>
      <w:r>
        <w:rPr>
          <w:spacing w:val="-3"/>
        </w:rPr>
        <w:t> </w:t>
      </w:r>
      <w:r>
        <w:rPr/>
        <w:t>red.</w:t>
      </w:r>
      <w:r>
        <w:rPr>
          <w:rFonts w:ascii="Times New Roman"/>
        </w:rPr>
        <w:tab/>
      </w:r>
      <w:r>
        <w:rPr/>
        <w:t>55</w:t>
      </w:r>
    </w:p>
    <w:p>
      <w:pPr>
        <w:pStyle w:val="BodyText"/>
        <w:spacing w:before="221"/>
        <w:ind w:left="227" w:right="1563"/>
      </w:pPr>
      <w:r>
        <w:rPr/>
        <w:pict>
          <v:rect style="position:absolute;margin-left:72pt;margin-top:10.115766pt;width:.959999pt;height:.960023pt;mso-position-horizontal-relative:page;mso-position-vertical-relative:paragraph;z-index:15808000" id="docshape120" filled="true" fillcolor="#000000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15808512" from="76.800003pt,10.595783pt" to="533.76001pt,10.595783pt" stroked="true" strokeweight=".960023pt" strokecolor="#000000">
            <v:stroke dashstyle="dash"/>
            <w10:wrap type="none"/>
          </v:line>
        </w:pict>
      </w:r>
      <w:r>
        <w:rPr/>
        <w:pict>
          <v:rect style="position:absolute;margin-left:537.600037pt;margin-top:10.115772pt;width:1.919998pt;height:.960023pt;mso-position-horizontal-relative:page;mso-position-vertical-relative:paragraph;z-index:15809024" id="docshape121" filled="true" fillcolor="#000000" stroked="false">
            <v:fill type="solid"/>
            <w10:wrap type="none"/>
          </v:rect>
        </w:pict>
      </w:r>
      <w:r>
        <w:rPr>
          <w:b/>
        </w:rPr>
        <w:t>Figure</w:t>
      </w:r>
      <w:r>
        <w:rPr>
          <w:b/>
          <w:spacing w:val="-3"/>
        </w:rPr>
        <w:t> </w:t>
      </w:r>
      <w:r>
        <w:rPr>
          <w:b/>
        </w:rPr>
        <w:t>27.</w:t>
      </w:r>
      <w:r>
        <w:rPr>
          <w:b/>
          <w:spacing w:val="1"/>
        </w:rPr>
        <w:t> </w:t>
      </w:r>
      <w:r>
        <w:rPr/>
        <w:t>Depth</w:t>
      </w:r>
      <w:r>
        <w:rPr>
          <w:spacing w:val="-2"/>
        </w:rPr>
        <w:t> </w:t>
      </w:r>
      <w:r>
        <w:rPr/>
        <w:t>profile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VO/Ni</w:t>
      </w:r>
      <w:r>
        <w:rPr>
          <w:spacing w:val="2"/>
        </w:rPr>
        <w:t> </w:t>
      </w:r>
      <w:r>
        <w:rPr/>
        <w:t>ratio</w:t>
      </w:r>
      <w:r>
        <w:rPr>
          <w:spacing w:val="-3"/>
        </w:rPr>
        <w:t> </w:t>
      </w:r>
      <w:r>
        <w:rPr/>
        <w:t>where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total</w:t>
      </w:r>
      <w:r>
        <w:rPr>
          <w:spacing w:val="-3"/>
        </w:rPr>
        <w:t> </w:t>
      </w:r>
      <w:r>
        <w:rPr/>
        <w:t>VO</w:t>
      </w:r>
      <w:r>
        <w:rPr>
          <w:spacing w:val="-1"/>
        </w:rPr>
        <w:t> </w:t>
      </w:r>
      <w:r>
        <w:rPr/>
        <w:t>porphyrins</w:t>
      </w:r>
      <w:r>
        <w:rPr>
          <w:spacing w:val="-5"/>
        </w:rPr>
        <w:t> </w:t>
      </w:r>
      <w:r>
        <w:rPr/>
        <w:t>are</w:t>
      </w:r>
      <w:r>
        <w:rPr>
          <w:spacing w:val="-2"/>
        </w:rPr>
        <w:t> </w:t>
      </w:r>
      <w:r>
        <w:rPr/>
        <w:t>divided</w:t>
      </w:r>
      <w:r>
        <w:rPr>
          <w:spacing w:val="-51"/>
        </w:rPr>
        <w:t> </w:t>
      </w:r>
      <w:r>
        <w:rPr/>
        <w:t>by the total Ni porphyrins. Depth profile of the DPEP/ETIO ratio where total DPEP is</w:t>
      </w:r>
      <w:r>
        <w:rPr>
          <w:spacing w:val="1"/>
        </w:rPr>
        <w:t> </w:t>
      </w:r>
      <w:r>
        <w:rPr/>
        <w:t>divided by total ETIO. Depth profile of TMAX found by Connock et al. (2018). The</w:t>
      </w:r>
      <w:r>
        <w:rPr>
          <w:spacing w:val="1"/>
        </w:rPr>
        <w:t> </w:t>
      </w:r>
      <w:r>
        <w:rPr/>
        <w:t>trend</w:t>
      </w:r>
      <w:r>
        <w:rPr>
          <w:spacing w:val="-3"/>
        </w:rPr>
        <w:t> </w:t>
      </w:r>
      <w:r>
        <w:rPr/>
        <w:t>line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DPEP/ETIO</w:t>
      </w:r>
      <w:r>
        <w:rPr>
          <w:spacing w:val="-2"/>
        </w:rPr>
        <w:t> </w:t>
      </w:r>
      <w:r>
        <w:rPr/>
        <w:t>ratio</w:t>
      </w:r>
      <w:r>
        <w:rPr>
          <w:spacing w:val="-3"/>
        </w:rPr>
        <w:t> </w:t>
      </w:r>
      <w:r>
        <w:rPr/>
        <w:t>shows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general</w:t>
      </w:r>
      <w:r>
        <w:rPr>
          <w:spacing w:val="-2"/>
        </w:rPr>
        <w:t> </w:t>
      </w:r>
      <w:r>
        <w:rPr/>
        <w:t>decrease</w:t>
      </w:r>
      <w:r>
        <w:rPr>
          <w:spacing w:val="-3"/>
        </w:rPr>
        <w:t> </w:t>
      </w:r>
      <w:r>
        <w:rPr/>
        <w:t>indicating</w:t>
      </w:r>
      <w:r>
        <w:rPr>
          <w:spacing w:val="-2"/>
        </w:rPr>
        <w:t> </w:t>
      </w:r>
      <w:r>
        <w:rPr/>
        <w:t>an</w:t>
      </w:r>
      <w:r>
        <w:rPr>
          <w:spacing w:val="-3"/>
        </w:rPr>
        <w:t> </w:t>
      </w:r>
      <w:r>
        <w:rPr/>
        <w:t>increase</w:t>
      </w:r>
      <w:r>
        <w:rPr>
          <w:spacing w:val="-2"/>
        </w:rPr>
        <w:t> </w:t>
      </w:r>
      <w:r>
        <w:rPr/>
        <w:t>in</w:t>
      </w:r>
    </w:p>
    <w:p>
      <w:pPr>
        <w:pStyle w:val="BodyText"/>
        <w:tabs>
          <w:tab w:pos="8942" w:val="left" w:leader="none"/>
        </w:tabs>
        <w:spacing w:line="292" w:lineRule="exact"/>
        <w:ind w:left="227"/>
      </w:pPr>
      <w:r>
        <w:rPr/>
        <w:t>thermal</w:t>
      </w:r>
      <w:r>
        <w:rPr>
          <w:spacing w:val="-3"/>
        </w:rPr>
        <w:t> </w:t>
      </w:r>
      <w:r>
        <w:rPr/>
        <w:t>maturity.</w:t>
      </w:r>
      <w:r>
        <w:rPr>
          <w:rFonts w:ascii="Times New Roman"/>
        </w:rPr>
        <w:tab/>
      </w:r>
      <w:r>
        <w:rPr/>
        <w:t>61</w:t>
      </w:r>
    </w:p>
    <w:p>
      <w:pPr>
        <w:pStyle w:val="BodyText"/>
        <w:spacing w:before="220"/>
        <w:ind w:left="227"/>
      </w:pPr>
      <w:r>
        <w:rPr/>
        <w:pict>
          <v:rect style="position:absolute;margin-left:72pt;margin-top:10.065781pt;width:.959999pt;height:.959998pt;mso-position-horizontal-relative:page;mso-position-vertical-relative:paragraph;z-index:15809536" id="docshape122" filled="true" fillcolor="#000000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15810048" from="76.800003pt,10.54579pt" to="533.76001pt,10.54579pt" stroked="true" strokeweight=".959999pt" strokecolor="#000000">
            <v:stroke dashstyle="dash"/>
            <w10:wrap type="none"/>
          </v:line>
        </w:pict>
      </w:r>
      <w:r>
        <w:rPr/>
        <w:pict>
          <v:rect style="position:absolute;margin-left:537.600037pt;margin-top:10.06579pt;width:1.919998pt;height:.959999pt;mso-position-horizontal-relative:page;mso-position-vertical-relative:paragraph;z-index:15810560" id="docshape123" filled="true" fillcolor="#000000" stroked="false">
            <v:fill type="solid"/>
            <w10:wrap type="none"/>
          </v:rect>
        </w:pict>
      </w:r>
      <w:r>
        <w:rPr>
          <w:b/>
        </w:rPr>
        <w:t>Figure</w:t>
      </w:r>
      <w:r>
        <w:rPr>
          <w:b/>
          <w:spacing w:val="-3"/>
        </w:rPr>
        <w:t> </w:t>
      </w:r>
      <w:r>
        <w:rPr>
          <w:b/>
        </w:rPr>
        <w:t>28.</w:t>
      </w:r>
      <w:r>
        <w:rPr>
          <w:b/>
          <w:spacing w:val="2"/>
        </w:rPr>
        <w:t> </w:t>
      </w:r>
      <w:r>
        <w:rPr/>
        <w:t>Relative</w:t>
      </w:r>
      <w:r>
        <w:rPr>
          <w:spacing w:val="-2"/>
        </w:rPr>
        <w:t> </w:t>
      </w:r>
      <w:r>
        <w:rPr/>
        <w:t>abundance</w:t>
      </w:r>
      <w:r>
        <w:rPr>
          <w:spacing w:val="-3"/>
        </w:rPr>
        <w:t> </w:t>
      </w:r>
      <w:r>
        <w:rPr/>
        <w:t>of</w:t>
      </w:r>
      <w:r>
        <w:rPr>
          <w:spacing w:val="2"/>
        </w:rPr>
        <w:t> </w:t>
      </w:r>
      <w:r>
        <w:rPr/>
        <w:t>BiCAP,</w:t>
      </w:r>
      <w:r>
        <w:rPr>
          <w:spacing w:val="-2"/>
        </w:rPr>
        <w:t> </w:t>
      </w:r>
      <w:r>
        <w:rPr/>
        <w:t>DPEP,</w:t>
      </w:r>
      <w:r>
        <w:rPr>
          <w:spacing w:val="-3"/>
        </w:rPr>
        <w:t> </w:t>
      </w:r>
      <w:r>
        <w:rPr/>
        <w:t>and</w:t>
      </w:r>
      <w:r>
        <w:rPr>
          <w:spacing w:val="2"/>
        </w:rPr>
        <w:t> </w:t>
      </w:r>
      <w:r>
        <w:rPr/>
        <w:t>ETIO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all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VO</w:t>
      </w:r>
      <w:r>
        <w:rPr>
          <w:spacing w:val="-5"/>
        </w:rPr>
        <w:t> </w:t>
      </w:r>
      <w:r>
        <w:rPr/>
        <w:t>porphyrins</w:t>
      </w:r>
    </w:p>
    <w:p>
      <w:pPr>
        <w:pStyle w:val="BodyText"/>
        <w:tabs>
          <w:tab w:pos="8933" w:val="left" w:leader="none"/>
        </w:tabs>
        <w:ind w:left="227"/>
      </w:pPr>
      <w:r>
        <w:rPr/>
        <w:t>and all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Ni</w:t>
      </w:r>
      <w:r>
        <w:rPr>
          <w:spacing w:val="-2"/>
        </w:rPr>
        <w:t> </w:t>
      </w:r>
      <w:r>
        <w:rPr/>
        <w:t>Porphyrins.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dashed</w:t>
      </w:r>
      <w:r>
        <w:rPr>
          <w:spacing w:val="-1"/>
        </w:rPr>
        <w:t> </w:t>
      </w:r>
      <w:r>
        <w:rPr/>
        <w:t>box</w:t>
      </w:r>
      <w:r>
        <w:rPr>
          <w:spacing w:val="-1"/>
        </w:rPr>
        <w:t> </w:t>
      </w:r>
      <w:r>
        <w:rPr/>
        <w:t>surrounds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Middle</w:t>
      </w:r>
      <w:r>
        <w:rPr>
          <w:spacing w:val="-3"/>
        </w:rPr>
        <w:t> </w:t>
      </w:r>
      <w:r>
        <w:rPr/>
        <w:t>Woodford</w:t>
      </w:r>
      <w:r>
        <w:rPr>
          <w:spacing w:val="-3"/>
        </w:rPr>
        <w:t> </w:t>
      </w:r>
      <w:r>
        <w:rPr/>
        <w:t>Shale.</w:t>
      </w:r>
      <w:r>
        <w:rPr>
          <w:rFonts w:ascii="Times New Roman"/>
        </w:rPr>
        <w:tab/>
      </w:r>
      <w:r>
        <w:rPr/>
        <w:t>66</w:t>
      </w:r>
    </w:p>
    <w:p>
      <w:pPr>
        <w:pStyle w:val="BodyText"/>
        <w:spacing w:before="221"/>
        <w:ind w:left="227" w:right="1787"/>
      </w:pPr>
      <w:r>
        <w:rPr/>
        <w:pict>
          <v:rect style="position:absolute;margin-left:72pt;margin-top:10.115780pt;width:.959999pt;height:.959999pt;mso-position-horizontal-relative:page;mso-position-vertical-relative:paragraph;z-index:15811072" id="docshape124" filled="true" fillcolor="#000000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15811584" from="76.800003pt,10.595791pt" to="533.76001pt,10.595791pt" stroked="true" strokeweight=".959999pt" strokecolor="#000000">
            <v:stroke dashstyle="dash"/>
            <w10:wrap type="none"/>
          </v:line>
        </w:pict>
      </w:r>
      <w:r>
        <w:rPr/>
        <w:pict>
          <v:rect style="position:absolute;margin-left:537.600037pt;margin-top:10.115791pt;width:1.919998pt;height:.959999pt;mso-position-horizontal-relative:page;mso-position-vertical-relative:paragraph;z-index:15812096" id="docshape125" filled="true" fillcolor="#000000" stroked="false">
            <v:fill type="solid"/>
            <w10:wrap type="none"/>
          </v:rect>
        </w:pict>
      </w:r>
      <w:r>
        <w:rPr>
          <w:b/>
        </w:rPr>
        <w:t>Figure 29. </w:t>
      </w:r>
      <w:r>
        <w:rPr/>
        <w:t>Labels the rings in BiCAP, DPEP, and ETIO. The red letters delineate each</w:t>
      </w:r>
      <w:r>
        <w:rPr>
          <w:spacing w:val="-52"/>
        </w:rPr>
        <w:t> </w:t>
      </w:r>
      <w:r>
        <w:rPr/>
        <w:t>ring.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addition</w:t>
      </w:r>
      <w:r>
        <w:rPr>
          <w:spacing w:val="-2"/>
        </w:rPr>
        <w:t> </w:t>
      </w:r>
      <w:r>
        <w:rPr/>
        <w:t>to the</w:t>
      </w:r>
      <w:r>
        <w:rPr>
          <w:spacing w:val="-2"/>
        </w:rPr>
        <w:t> </w:t>
      </w:r>
      <w:r>
        <w:rPr/>
        <w:t>A,B,C,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D</w:t>
      </w:r>
      <w:r>
        <w:rPr>
          <w:spacing w:val="2"/>
        </w:rPr>
        <w:t> </w:t>
      </w:r>
      <w:r>
        <w:rPr/>
        <w:t>rings</w:t>
      </w:r>
      <w:r>
        <w:rPr>
          <w:spacing w:val="-2"/>
        </w:rPr>
        <w:t> </w:t>
      </w:r>
      <w:r>
        <w:rPr/>
        <w:t>BiCAP</w:t>
      </w:r>
      <w:r>
        <w:rPr>
          <w:spacing w:val="-3"/>
        </w:rPr>
        <w:t> </w:t>
      </w:r>
      <w:r>
        <w:rPr/>
        <w:t>has</w:t>
      </w:r>
      <w:r>
        <w:rPr>
          <w:spacing w:val="-2"/>
        </w:rPr>
        <w:t> </w:t>
      </w:r>
      <w:r>
        <w:rPr/>
        <w:t>both</w:t>
      </w:r>
      <w:r>
        <w:rPr>
          <w:spacing w:val="2"/>
        </w:rPr>
        <w:t> </w:t>
      </w:r>
      <w:r>
        <w:rPr/>
        <w:t>an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and</w:t>
      </w:r>
      <w:r>
        <w:rPr>
          <w:spacing w:val="2"/>
        </w:rPr>
        <w:t> </w:t>
      </w:r>
      <w:r>
        <w:rPr/>
        <w:t>F</w:t>
      </w:r>
      <w:r>
        <w:rPr>
          <w:spacing w:val="-4"/>
        </w:rPr>
        <w:t> </w:t>
      </w:r>
      <w:r>
        <w:rPr/>
        <w:t>ring,</w:t>
      </w:r>
      <w:r>
        <w:rPr>
          <w:spacing w:val="-4"/>
        </w:rPr>
        <w:t> </w:t>
      </w:r>
      <w:r>
        <w:rPr/>
        <w:t>DPEP</w:t>
      </w:r>
      <w:r>
        <w:rPr>
          <w:spacing w:val="-2"/>
        </w:rPr>
        <w:t> </w:t>
      </w:r>
      <w:r>
        <w:rPr/>
        <w:t>only</w:t>
      </w:r>
    </w:p>
    <w:p>
      <w:pPr>
        <w:pStyle w:val="BodyText"/>
        <w:tabs>
          <w:tab w:pos="8938" w:val="left" w:leader="none"/>
        </w:tabs>
        <w:spacing w:line="293" w:lineRule="exact"/>
        <w:ind w:left="227"/>
      </w:pPr>
      <w:r>
        <w:rPr/>
        <w:pict>
          <v:rect style="position:absolute;margin-left:72pt;margin-top:24.608902pt;width:.959999pt;height:.960022pt;mso-position-horizontal-relative:page;mso-position-vertical-relative:paragraph;z-index:15812608" id="docshape126" filled="true" fillcolor="#000000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15813120" from="76.800003pt,25.088926pt" to="533.76001pt,25.088926pt" stroked="true" strokeweight=".960022pt" strokecolor="#000000">
            <v:stroke dashstyle="dash"/>
            <w10:wrap type="none"/>
          </v:line>
        </w:pict>
      </w:r>
      <w:r>
        <w:rPr/>
        <w:pict>
          <v:rect style="position:absolute;margin-left:537.600037pt;margin-top:24.608915pt;width:1.919998pt;height:.960022pt;mso-position-horizontal-relative:page;mso-position-vertical-relative:paragraph;z-index:15813632" id="docshape127" filled="true" fillcolor="#000000" stroked="false">
            <v:fill type="solid"/>
            <w10:wrap type="none"/>
          </v:rect>
        </w:pict>
      </w:r>
      <w:r>
        <w:rPr/>
        <w:t>the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ring,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ETIO</w:t>
      </w:r>
      <w:r>
        <w:rPr>
          <w:spacing w:val="-2"/>
        </w:rPr>
        <w:t> </w:t>
      </w:r>
      <w:r>
        <w:rPr/>
        <w:t>has</w:t>
      </w:r>
      <w:r>
        <w:rPr>
          <w:spacing w:val="-3"/>
        </w:rPr>
        <w:t> </w:t>
      </w:r>
      <w:r>
        <w:rPr/>
        <w:t>neither of</w:t>
      </w:r>
      <w:r>
        <w:rPr>
          <w:spacing w:val="-3"/>
        </w:rPr>
        <w:t> </w:t>
      </w:r>
      <w:r>
        <w:rPr/>
        <w:t>the extra</w:t>
      </w:r>
      <w:r>
        <w:rPr>
          <w:spacing w:val="1"/>
        </w:rPr>
        <w:t> </w:t>
      </w:r>
      <w:r>
        <w:rPr/>
        <w:t>ring</w:t>
      </w:r>
      <w:r>
        <w:rPr>
          <w:spacing w:val="-1"/>
        </w:rPr>
        <w:t> </w:t>
      </w:r>
      <w:r>
        <w:rPr/>
        <w:t>structures.</w:t>
      </w:r>
      <w:r>
        <w:rPr>
          <w:rFonts w:ascii="Times New Roman"/>
        </w:rPr>
        <w:tab/>
      </w:r>
      <w:r>
        <w:rPr/>
        <w:t>67</w:t>
      </w:r>
    </w:p>
    <w:p>
      <w:pPr>
        <w:pStyle w:val="BodyText"/>
        <w:spacing w:before="221"/>
        <w:ind w:left="227" w:right="1785"/>
      </w:pPr>
      <w:r>
        <w:rPr>
          <w:b/>
        </w:rPr>
        <w:t>Figure</w:t>
      </w:r>
      <w:r>
        <w:rPr>
          <w:b/>
          <w:spacing w:val="-4"/>
        </w:rPr>
        <w:t> </w:t>
      </w:r>
      <w:r>
        <w:rPr>
          <w:b/>
        </w:rPr>
        <w:t>30. </w:t>
      </w:r>
      <w:r>
        <w:rPr/>
        <w:t>The</w:t>
      </w:r>
      <w:r>
        <w:rPr>
          <w:spacing w:val="-2"/>
        </w:rPr>
        <w:t> </w:t>
      </w:r>
      <w:r>
        <w:rPr/>
        <w:t>tocopherol</w:t>
      </w:r>
      <w:r>
        <w:rPr>
          <w:spacing w:val="-3"/>
        </w:rPr>
        <w:t> </w:t>
      </w:r>
      <w:r>
        <w:rPr/>
        <w:t>quinone-recycling</w:t>
      </w:r>
      <w:r>
        <w:rPr>
          <w:spacing w:val="-3"/>
        </w:rPr>
        <w:t> </w:t>
      </w:r>
      <w:r>
        <w:rPr/>
        <w:t>system,</w:t>
      </w:r>
      <w:r>
        <w:rPr>
          <w:spacing w:val="-2"/>
        </w:rPr>
        <w:t> </w:t>
      </w:r>
      <w:r>
        <w:rPr/>
        <w:t>α-TQ</w:t>
      </w:r>
      <w:r>
        <w:rPr>
          <w:spacing w:val="-3"/>
        </w:rPr>
        <w:t> </w:t>
      </w:r>
      <w:r>
        <w:rPr/>
        <w:t>=</w:t>
      </w:r>
      <w:r>
        <w:rPr>
          <w:spacing w:val="-4"/>
        </w:rPr>
        <w:t> </w:t>
      </w:r>
      <w:r>
        <w:rPr/>
        <w:t>α-tocopherol</w:t>
      </w:r>
      <w:r>
        <w:rPr>
          <w:spacing w:val="-4"/>
        </w:rPr>
        <w:t> </w:t>
      </w:r>
      <w:r>
        <w:rPr/>
        <w:t>quinone,</w:t>
      </w:r>
      <w:r>
        <w:rPr>
          <w:spacing w:val="-51"/>
        </w:rPr>
        <w:t> </w:t>
      </w:r>
      <w:r>
        <w:rPr/>
        <w:t>α-TQH2 = α-tocopherol quinol, TMPBQH2 = 2,3,5-trimethyl-6-phytyl-1,4-</w:t>
      </w:r>
      <w:r>
        <w:rPr>
          <w:spacing w:val="1"/>
        </w:rPr>
        <w:t> </w:t>
      </w:r>
      <w:r>
        <w:rPr/>
        <w:t>benzoquinol,</w:t>
      </w:r>
      <w:r>
        <w:rPr>
          <w:spacing w:val="-2"/>
        </w:rPr>
        <w:t> </w:t>
      </w:r>
      <w:r>
        <w:rPr/>
        <w:t>TC</w:t>
      </w:r>
      <w:r>
        <w:rPr>
          <w:spacing w:val="-2"/>
        </w:rPr>
        <w:t> </w:t>
      </w:r>
      <w:r>
        <w:rPr/>
        <w:t>=</w:t>
      </w:r>
      <w:r>
        <w:rPr>
          <w:spacing w:val="-2"/>
        </w:rPr>
        <w:t> </w:t>
      </w:r>
      <w:r>
        <w:rPr/>
        <w:t>tocopherol</w:t>
      </w:r>
      <w:r>
        <w:rPr>
          <w:spacing w:val="-3"/>
        </w:rPr>
        <w:t> </w:t>
      </w:r>
      <w:r>
        <w:rPr/>
        <w:t>cyclase,</w:t>
      </w:r>
      <w:r>
        <w:rPr>
          <w:spacing w:val="-2"/>
        </w:rPr>
        <w:t> </w:t>
      </w:r>
      <w:r>
        <w:rPr/>
        <w:t>DH</w:t>
      </w:r>
      <w:r>
        <w:rPr>
          <w:spacing w:val="1"/>
        </w:rPr>
        <w:t> </w:t>
      </w:r>
      <w:r>
        <w:rPr/>
        <w:t>=</w:t>
      </w:r>
      <w:r>
        <w:rPr>
          <w:spacing w:val="-4"/>
        </w:rPr>
        <w:t> </w:t>
      </w:r>
      <w:r>
        <w:rPr/>
        <w:t>unknown</w:t>
      </w:r>
      <w:r>
        <w:rPr>
          <w:spacing w:val="-2"/>
        </w:rPr>
        <w:t> </w:t>
      </w:r>
      <w:r>
        <w:rPr/>
        <w:t>dehydratase,</w:t>
      </w:r>
      <w:r>
        <w:rPr>
          <w:spacing w:val="-2"/>
        </w:rPr>
        <w:t> </w:t>
      </w:r>
      <w:r>
        <w:rPr/>
        <w:t>Asc/GSH</w:t>
      </w:r>
      <w:r>
        <w:rPr>
          <w:spacing w:val="-1"/>
        </w:rPr>
        <w:t> </w:t>
      </w:r>
      <w:r>
        <w:rPr/>
        <w:t>=</w:t>
      </w:r>
    </w:p>
    <w:p>
      <w:pPr>
        <w:pStyle w:val="BodyText"/>
        <w:tabs>
          <w:tab w:pos="8936" w:val="left" w:leader="none"/>
        </w:tabs>
        <w:spacing w:line="292" w:lineRule="exact"/>
        <w:ind w:left="227"/>
      </w:pPr>
      <w:r>
        <w:rPr/>
        <w:pict>
          <v:rect style="position:absolute;margin-left:72pt;margin-top:24.600464pt;width:.959999pt;height:.960022pt;mso-position-horizontal-relative:page;mso-position-vertical-relative:paragraph;z-index:15814144" id="docshape128" filled="true" fillcolor="#000000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15814656" from="76.800003pt,25.08049pt" to="533.76001pt,25.08049pt" stroked="true" strokeweight=".960023pt" strokecolor="#000000">
            <v:stroke dashstyle="dash"/>
            <w10:wrap type="none"/>
          </v:line>
        </w:pict>
      </w:r>
      <w:r>
        <w:rPr/>
        <w:pict>
          <v:rect style="position:absolute;margin-left:537.600037pt;margin-top:24.600477pt;width:1.919998pt;height:.960023pt;mso-position-horizontal-relative:page;mso-position-vertical-relative:paragraph;z-index:15815168" id="docshape129" filled="true" fillcolor="#000000" stroked="false">
            <v:fill type="solid"/>
            <w10:wrap type="none"/>
          </v:rect>
        </w:pict>
      </w:r>
      <w:r>
        <w:rPr/>
        <w:t>ascorbate-glutathione</w:t>
      </w:r>
      <w:r>
        <w:rPr>
          <w:spacing w:val="1"/>
        </w:rPr>
        <w:t> </w:t>
      </w:r>
      <w:r>
        <w:rPr/>
        <w:t>cycle.</w:t>
      </w:r>
      <w:r>
        <w:rPr>
          <w:spacing w:val="-3"/>
        </w:rPr>
        <w:t> </w:t>
      </w:r>
      <w:r>
        <w:rPr/>
        <w:t>(Lushchak</w:t>
      </w:r>
      <w:r>
        <w:rPr>
          <w:spacing w:val="-4"/>
        </w:rPr>
        <w:t> </w:t>
      </w:r>
      <w:r>
        <w:rPr/>
        <w:t>and</w:t>
      </w:r>
      <w:r>
        <w:rPr>
          <w:spacing w:val="1"/>
        </w:rPr>
        <w:t> </w:t>
      </w:r>
      <w:r>
        <w:rPr/>
        <w:t>Semchuk,</w:t>
      </w:r>
      <w:r>
        <w:rPr>
          <w:spacing w:val="-3"/>
        </w:rPr>
        <w:t> </w:t>
      </w:r>
      <w:r>
        <w:rPr/>
        <w:t>2012)</w:t>
      </w:r>
      <w:r>
        <w:rPr>
          <w:rFonts w:ascii="Times New Roman"/>
        </w:rPr>
        <w:tab/>
      </w:r>
      <w:r>
        <w:rPr/>
        <w:t>71</w:t>
      </w:r>
    </w:p>
    <w:p>
      <w:pPr>
        <w:pStyle w:val="BodyText"/>
        <w:spacing w:before="220"/>
        <w:ind w:left="227"/>
      </w:pPr>
      <w:r>
        <w:rPr>
          <w:b/>
        </w:rPr>
        <w:t>Figure</w:t>
      </w:r>
      <w:r>
        <w:rPr>
          <w:b/>
          <w:spacing w:val="-3"/>
        </w:rPr>
        <w:t> </w:t>
      </w:r>
      <w:r>
        <w:rPr>
          <w:b/>
        </w:rPr>
        <w:t>31.</w:t>
      </w:r>
      <w:r>
        <w:rPr>
          <w:b/>
          <w:spacing w:val="2"/>
        </w:rPr>
        <w:t> </w:t>
      </w:r>
      <w:r>
        <w:rPr/>
        <w:t>a correlation</w:t>
      </w:r>
      <w:r>
        <w:rPr>
          <w:spacing w:val="-3"/>
        </w:rPr>
        <w:t> </w:t>
      </w:r>
      <w:r>
        <w:rPr/>
        <w:t>plot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total</w:t>
      </w:r>
      <w:r>
        <w:rPr>
          <w:spacing w:val="-4"/>
        </w:rPr>
        <w:t> </w:t>
      </w:r>
      <w:r>
        <w:rPr/>
        <w:t>TMPBQ(XVII)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α-MTTC(XVI).</w:t>
      </w:r>
      <w:r>
        <w:rPr>
          <w:spacing w:val="-4"/>
        </w:rPr>
        <w:t> </w:t>
      </w:r>
      <w:r>
        <w:rPr/>
        <w:t>There</w:t>
      </w:r>
      <w:r>
        <w:rPr>
          <w:spacing w:val="1"/>
        </w:rPr>
        <w:t> </w:t>
      </w:r>
      <w:r>
        <w:rPr/>
        <w:t>is</w:t>
      </w:r>
      <w:r>
        <w:rPr>
          <w:spacing w:val="-2"/>
        </w:rPr>
        <w:t> </w:t>
      </w:r>
      <w:r>
        <w:rPr/>
        <w:t>a</w:t>
      </w:r>
    </w:p>
    <w:p>
      <w:pPr>
        <w:pStyle w:val="BodyText"/>
        <w:tabs>
          <w:tab w:pos="8940" w:val="left" w:leader="none"/>
        </w:tabs>
        <w:ind w:left="227"/>
      </w:pPr>
      <w:r>
        <w:rPr/>
        <w:pict>
          <v:rect style="position:absolute;margin-left:72pt;margin-top:24.625763pt;width:.959999pt;height:.960022pt;mso-position-horizontal-relative:page;mso-position-vertical-relative:paragraph;z-index:15815680" id="docshape130" filled="true" fillcolor="#000000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15816192" from="76.800003pt,25.105789pt" to="533.76001pt,25.105789pt" stroked="true" strokeweight=".960022pt" strokecolor="#000000">
            <v:stroke dashstyle="dash"/>
            <w10:wrap type="none"/>
          </v:line>
        </w:pict>
      </w:r>
      <w:r>
        <w:rPr/>
        <w:pict>
          <v:rect style="position:absolute;margin-left:537.600037pt;margin-top:24.625778pt;width:1.919998pt;height:.960022pt;mso-position-horizontal-relative:page;mso-position-vertical-relative:paragraph;z-index:15816704" id="docshape131" filled="true" fillcolor="#000000" stroked="false">
            <v:fill type="solid"/>
            <w10:wrap type="none"/>
          </v:rect>
        </w:pict>
      </w:r>
      <w:r>
        <w:rPr/>
        <w:t>straight</w:t>
      </w:r>
      <w:r>
        <w:rPr>
          <w:spacing w:val="-2"/>
        </w:rPr>
        <w:t> </w:t>
      </w:r>
      <w:r>
        <w:rPr/>
        <w:t>line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best</w:t>
      </w:r>
      <w:r>
        <w:rPr>
          <w:spacing w:val="-3"/>
        </w:rPr>
        <w:t> </w:t>
      </w:r>
      <w:r>
        <w:rPr/>
        <w:t>fit</w:t>
      </w:r>
      <w:r>
        <w:rPr>
          <w:spacing w:val="-2"/>
        </w:rPr>
        <w:t> </w:t>
      </w:r>
      <w:r>
        <w:rPr/>
        <w:t>with</w:t>
      </w:r>
      <w:r>
        <w:rPr>
          <w:spacing w:val="2"/>
        </w:rPr>
        <w:t> </w:t>
      </w:r>
      <w:r>
        <w:rPr/>
        <w:t>an</w:t>
      </w:r>
      <w:r>
        <w:rPr>
          <w:spacing w:val="-1"/>
        </w:rPr>
        <w:t> </w:t>
      </w:r>
      <w:r>
        <w:rPr/>
        <w:t>R2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0.7257.</w:t>
      </w:r>
      <w:r>
        <w:rPr>
          <w:rFonts w:ascii="Times New Roman"/>
        </w:rPr>
        <w:tab/>
      </w:r>
      <w:r>
        <w:rPr/>
        <w:t>72</w:t>
      </w:r>
    </w:p>
    <w:p>
      <w:pPr>
        <w:pStyle w:val="BodyText"/>
        <w:spacing w:line="242" w:lineRule="auto" w:before="218"/>
        <w:ind w:left="227" w:right="1641"/>
      </w:pPr>
      <w:r>
        <w:rPr>
          <w:b/>
        </w:rPr>
        <w:t>Figure 32. </w:t>
      </w:r>
      <w:r>
        <w:rPr/>
        <w:t>MTTCI ratio (α-MTTC/total MTTC) depth profile. The line at 118ft</w:t>
      </w:r>
      <w:r>
        <w:rPr>
          <w:spacing w:val="1"/>
        </w:rPr>
        <w:t> </w:t>
      </w:r>
      <w:r>
        <w:rPr/>
        <w:t>separates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Upper</w:t>
      </w:r>
      <w:r>
        <w:rPr>
          <w:spacing w:val="-1"/>
        </w:rPr>
        <w:t> </w:t>
      </w:r>
      <w:r>
        <w:rPr/>
        <w:t>Woodford</w:t>
      </w:r>
      <w:r>
        <w:rPr>
          <w:spacing w:val="-2"/>
        </w:rPr>
        <w:t> </w:t>
      </w:r>
      <w:r>
        <w:rPr/>
        <w:t>Shale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Middle</w:t>
      </w:r>
      <w:r>
        <w:rPr>
          <w:spacing w:val="-2"/>
        </w:rPr>
        <w:t> </w:t>
      </w:r>
      <w:r>
        <w:rPr/>
        <w:t>Woodford</w:t>
      </w:r>
      <w:r>
        <w:rPr>
          <w:spacing w:val="-2"/>
        </w:rPr>
        <w:t> </w:t>
      </w:r>
      <w:r>
        <w:rPr/>
        <w:t>Shale,</w:t>
      </w:r>
      <w:r>
        <w:rPr>
          <w:spacing w:val="-4"/>
        </w:rPr>
        <w:t> </w:t>
      </w:r>
      <w:r>
        <w:rPr/>
        <w:t>the</w:t>
      </w:r>
      <w:r>
        <w:rPr>
          <w:spacing w:val="-1"/>
        </w:rPr>
        <w:t> </w:t>
      </w:r>
      <w:r>
        <w:rPr/>
        <w:t>line</w:t>
      </w:r>
      <w:r>
        <w:rPr>
          <w:spacing w:val="-3"/>
        </w:rPr>
        <w:t> </w:t>
      </w:r>
      <w:r>
        <w:rPr/>
        <w:t>at</w:t>
      </w:r>
    </w:p>
    <w:p>
      <w:pPr>
        <w:pStyle w:val="BodyText"/>
        <w:tabs>
          <w:tab w:pos="8935" w:val="left" w:leader="none"/>
        </w:tabs>
        <w:spacing w:line="289" w:lineRule="exact"/>
        <w:ind w:left="227"/>
      </w:pPr>
      <w:r>
        <w:rPr/>
        <w:pict>
          <v:rect style="position:absolute;margin-left:72pt;margin-top:24.435974pt;width:.959999pt;height:.959977pt;mso-position-horizontal-relative:page;mso-position-vertical-relative:paragraph;z-index:15817216" id="docshape132" filled="true" fillcolor="#000000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15817728" from="76.800003pt,24.915979pt" to="533.76001pt,24.915979pt" stroked="true" strokeweight=".959977pt" strokecolor="#000000">
            <v:stroke dashstyle="dash"/>
            <w10:wrap type="none"/>
          </v:line>
        </w:pict>
      </w:r>
      <w:r>
        <w:rPr/>
        <w:pict>
          <v:rect style="position:absolute;margin-left:537.600037pt;margin-top:24.435991pt;width:1.919998pt;height:.959977pt;mso-position-horizontal-relative:page;mso-position-vertical-relative:paragraph;z-index:15818240" id="docshape133" filled="true" fillcolor="#000000" stroked="false">
            <v:fill type="solid"/>
            <w10:wrap type="none"/>
          </v:rect>
        </w:pict>
      </w:r>
      <w:r>
        <w:rPr/>
        <w:t>185ft</w:t>
      </w:r>
      <w:r>
        <w:rPr>
          <w:spacing w:val="-2"/>
        </w:rPr>
        <w:t> </w:t>
      </w:r>
      <w:r>
        <w:rPr/>
        <w:t>separates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Middle</w:t>
      </w:r>
      <w:r>
        <w:rPr>
          <w:spacing w:val="3"/>
        </w:rPr>
        <w:t> </w:t>
      </w:r>
      <w:r>
        <w:rPr/>
        <w:t>Woodford</w:t>
      </w:r>
      <w:r>
        <w:rPr>
          <w:spacing w:val="-3"/>
        </w:rPr>
        <w:t> </w:t>
      </w:r>
      <w:r>
        <w:rPr/>
        <w:t>Shale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Lower</w:t>
      </w:r>
      <w:r>
        <w:rPr>
          <w:spacing w:val="-2"/>
        </w:rPr>
        <w:t> </w:t>
      </w:r>
      <w:r>
        <w:rPr/>
        <w:t>Woodford</w:t>
      </w:r>
      <w:r>
        <w:rPr>
          <w:spacing w:val="-3"/>
        </w:rPr>
        <w:t> </w:t>
      </w:r>
      <w:r>
        <w:rPr/>
        <w:t>Shale.</w:t>
      </w:r>
      <w:r>
        <w:rPr>
          <w:rFonts w:ascii="Times New Roman"/>
        </w:rPr>
        <w:tab/>
      </w:r>
      <w:r>
        <w:rPr/>
        <w:t>73</w:t>
      </w:r>
    </w:p>
    <w:p>
      <w:pPr>
        <w:pStyle w:val="BodyText"/>
        <w:spacing w:before="219"/>
        <w:ind w:left="227" w:right="1576"/>
      </w:pPr>
      <w:r>
        <w:rPr>
          <w:b/>
        </w:rPr>
        <w:t>Figure 33.</w:t>
      </w:r>
      <w:r>
        <w:rPr>
          <w:b/>
          <w:spacing w:val="5"/>
        </w:rPr>
        <w:t> </w:t>
      </w:r>
      <w:r>
        <w:rPr/>
        <w:t>A) Upwelling</w:t>
      </w:r>
      <w:r>
        <w:rPr>
          <w:spacing w:val="2"/>
        </w:rPr>
        <w:t> </w:t>
      </w:r>
      <w:r>
        <w:rPr/>
        <w:t>model</w:t>
      </w:r>
      <w:r>
        <w:rPr>
          <w:spacing w:val="-1"/>
        </w:rPr>
        <w:t> </w:t>
      </w:r>
      <w:r>
        <w:rPr/>
        <w:t>proposed for triggering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/>
        <w:t>Late</w:t>
      </w:r>
      <w:r>
        <w:rPr>
          <w:spacing w:val="5"/>
        </w:rPr>
        <w:t> </w:t>
      </w:r>
      <w:r>
        <w:rPr/>
        <w:t>Devonian anoxic</w:t>
      </w:r>
      <w:r>
        <w:rPr>
          <w:spacing w:val="1"/>
        </w:rPr>
        <w:t> </w:t>
      </w:r>
      <w:r>
        <w:rPr/>
        <w:t>black</w:t>
      </w:r>
      <w:r>
        <w:rPr>
          <w:spacing w:val="-6"/>
        </w:rPr>
        <w:t> </w:t>
      </w:r>
      <w:r>
        <w:rPr/>
        <w:t>shales.</w:t>
      </w:r>
      <w:r>
        <w:rPr>
          <w:spacing w:val="-4"/>
        </w:rPr>
        <w:t> </w:t>
      </w:r>
      <w:r>
        <w:rPr/>
        <w:t>B)</w:t>
      </w:r>
      <w:r>
        <w:rPr>
          <w:spacing w:val="-3"/>
        </w:rPr>
        <w:t> </w:t>
      </w:r>
      <w:r>
        <w:rPr/>
        <w:t>Stagnant</w:t>
      </w:r>
      <w:r>
        <w:rPr>
          <w:spacing w:val="-3"/>
        </w:rPr>
        <w:t> </w:t>
      </w:r>
      <w:r>
        <w:rPr/>
        <w:t>circulation</w:t>
      </w:r>
      <w:r>
        <w:rPr>
          <w:spacing w:val="1"/>
        </w:rPr>
        <w:t> </w:t>
      </w:r>
      <w:r>
        <w:rPr/>
        <w:t>model</w:t>
      </w:r>
      <w:r>
        <w:rPr>
          <w:spacing w:val="-5"/>
        </w:rPr>
        <w:t> </w:t>
      </w:r>
      <w:r>
        <w:rPr/>
        <w:t>proposed</w:t>
      </w:r>
      <w:r>
        <w:rPr>
          <w:spacing w:val="1"/>
        </w:rPr>
        <w:t> </w:t>
      </w:r>
      <w:r>
        <w:rPr/>
        <w:t>for</w:t>
      </w:r>
      <w:r>
        <w:rPr>
          <w:spacing w:val="-4"/>
        </w:rPr>
        <w:t> </w:t>
      </w:r>
      <w:r>
        <w:rPr/>
        <w:t>triggering the</w:t>
      </w:r>
      <w:r>
        <w:rPr>
          <w:spacing w:val="-2"/>
        </w:rPr>
        <w:t> </w:t>
      </w:r>
      <w:r>
        <w:rPr/>
        <w:t>Late Devonian</w:t>
      </w:r>
    </w:p>
    <w:p>
      <w:pPr>
        <w:pStyle w:val="BodyText"/>
        <w:tabs>
          <w:tab w:pos="8944" w:val="left" w:leader="none"/>
        </w:tabs>
        <w:spacing w:before="2"/>
        <w:ind w:left="227"/>
      </w:pPr>
      <w:r>
        <w:rPr/>
        <w:pict>
          <v:rect style="position:absolute;margin-left:72pt;margin-top:24.725763pt;width:.959999pt;height:.960022pt;mso-position-horizontal-relative:page;mso-position-vertical-relative:paragraph;z-index:15818752" id="docshape134" filled="true" fillcolor="#000000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15819264" from="76.800003pt,25.205793pt" to="533.76001pt,25.205793pt" stroked="true" strokeweight=".960022pt" strokecolor="#000000">
            <v:stroke dashstyle="dash"/>
            <w10:wrap type="none"/>
          </v:line>
        </w:pict>
      </w:r>
      <w:r>
        <w:rPr/>
        <w:pict>
          <v:rect style="position:absolute;margin-left:537.600037pt;margin-top:24.725782pt;width:1.919998pt;height:.960022pt;mso-position-horizontal-relative:page;mso-position-vertical-relative:paragraph;z-index:15819776" id="docshape135" filled="true" fillcolor="#000000" stroked="false">
            <v:fill type="solid"/>
            <w10:wrap type="none"/>
          </v:rect>
        </w:pict>
      </w:r>
      <w:r>
        <w:rPr/>
        <w:t>anoxic</w:t>
      </w:r>
      <w:r>
        <w:rPr>
          <w:spacing w:val="-2"/>
        </w:rPr>
        <w:t> </w:t>
      </w:r>
      <w:r>
        <w:rPr/>
        <w:t>black</w:t>
      </w:r>
      <w:r>
        <w:rPr>
          <w:spacing w:val="-3"/>
        </w:rPr>
        <w:t> </w:t>
      </w:r>
      <w:r>
        <w:rPr/>
        <w:t>shales</w:t>
      </w:r>
      <w:r>
        <w:rPr>
          <w:spacing w:val="-2"/>
        </w:rPr>
        <w:t> </w:t>
      </w:r>
      <w:r>
        <w:rPr/>
        <w:t>(Molinares-Blanco,</w:t>
      </w:r>
      <w:r>
        <w:rPr>
          <w:spacing w:val="-4"/>
        </w:rPr>
        <w:t> </w:t>
      </w:r>
      <w:r>
        <w:rPr/>
        <w:t>2013)</w:t>
      </w:r>
      <w:r>
        <w:rPr>
          <w:rFonts w:ascii="Times New Roman"/>
        </w:rPr>
        <w:tab/>
      </w:r>
      <w:r>
        <w:rPr/>
        <w:t>78</w:t>
      </w:r>
    </w:p>
    <w:p>
      <w:pPr>
        <w:pStyle w:val="BodyText"/>
        <w:tabs>
          <w:tab w:pos="9246" w:val="right" w:leader="none"/>
        </w:tabs>
        <w:spacing w:before="218"/>
        <w:ind w:left="227" w:right="851"/>
      </w:pPr>
      <w:r>
        <w:rPr>
          <w:b/>
        </w:rPr>
        <w:t>Figure 34. </w:t>
      </w:r>
      <w:r>
        <w:rPr/>
        <w:t>Chromatograms of the aromatic carotenoids with the peaks of interest</w:t>
      </w:r>
      <w:r>
        <w:rPr>
          <w:spacing w:val="1"/>
        </w:rPr>
        <w:t> </w:t>
      </w:r>
      <w:r>
        <w:rPr/>
        <w:t>highlighted.</w:t>
      </w:r>
      <w:r>
        <w:rPr>
          <w:rFonts w:ascii="Times New Roman"/>
        </w:rPr>
        <w:tab/>
      </w:r>
      <w:r>
        <w:rPr/>
        <w:t>109</w:t>
      </w:r>
    </w:p>
    <w:p>
      <w:pPr>
        <w:pStyle w:val="BodyText"/>
        <w:spacing w:before="6"/>
        <w:rPr>
          <w:sz w:val="14"/>
        </w:rPr>
      </w:pPr>
      <w:r>
        <w:rPr/>
        <w:pict>
          <v:rect style="position:absolute;margin-left:71.279999pt;margin-top:10.044922pt;width:1.679999pt;height:.959977pt;mso-position-horizontal-relative:page;mso-position-vertical-relative:paragraph;z-index:-15652352;mso-wrap-distance-left:0;mso-wrap-distance-right:0" id="docshape136" filled="true" fillcolor="#000000" stroked="false">
            <v:fill type="solid"/>
            <w10:wrap type="topAndBottom"/>
          </v:rect>
        </w:pict>
      </w:r>
      <w:r>
        <w:rPr/>
        <w:pict>
          <v:shape style="position:absolute;margin-left:76.800003pt;margin-top:10.524931pt;width:457pt;height:.1pt;mso-position-horizontal-relative:page;mso-position-vertical-relative:paragraph;z-index:-15651840;mso-wrap-distance-left:0;mso-wrap-distance-right:0" id="docshape137" coordorigin="1536,210" coordsize="9140,0" path="m1536,210l10675,210e" filled="false" stroked="true" strokeweight=".959977pt" strokecolor="#000000">
            <v:path arrowok="t"/>
            <v:stroke dashstyle="dash"/>
            <w10:wrap type="topAndBottom"/>
          </v:shape>
        </w:pict>
      </w:r>
      <w:r>
        <w:rPr/>
        <w:pict>
          <v:rect style="position:absolute;margin-left:537.600037pt;margin-top:10.044942pt;width:1.919998pt;height:.959977pt;mso-position-horizontal-relative:page;mso-position-vertical-relative:paragraph;z-index:-15651328;mso-wrap-distance-left:0;mso-wrap-distance-right:0" id="docshape138" filled="true" fillcolor="#000000" stroked="false">
            <v:fill type="solid"/>
            <w10:wrap type="topAndBottom"/>
          </v:rect>
        </w:pict>
      </w:r>
    </w:p>
    <w:p>
      <w:pPr>
        <w:spacing w:after="0"/>
        <w:rPr>
          <w:sz w:val="14"/>
        </w:rPr>
        <w:sectPr>
          <w:footerReference w:type="default" r:id="rId12"/>
          <w:pgSz w:w="12240" w:h="15840"/>
          <w:pgMar w:footer="1014" w:header="0" w:top="1400" w:bottom="1200" w:left="1320" w:right="820"/>
        </w:sectPr>
      </w:pPr>
    </w:p>
    <w:p>
      <w:pPr>
        <w:pStyle w:val="BodyText"/>
        <w:spacing w:before="39"/>
        <w:ind w:left="227"/>
      </w:pPr>
      <w:r>
        <w:rPr>
          <w:b/>
        </w:rPr>
        <w:t>Figure</w:t>
      </w:r>
      <w:r>
        <w:rPr>
          <w:b/>
          <w:spacing w:val="-4"/>
        </w:rPr>
        <w:t> </w:t>
      </w:r>
      <w:r>
        <w:rPr>
          <w:b/>
        </w:rPr>
        <w:t>35.</w:t>
      </w:r>
      <w:r>
        <w:rPr>
          <w:b/>
          <w:spacing w:val="3"/>
        </w:rPr>
        <w:t> </w:t>
      </w:r>
      <w:r>
        <w:rPr/>
        <w:t>Chromatograms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VO-BiCAP</w:t>
      </w:r>
      <w:r>
        <w:rPr>
          <w:spacing w:val="-2"/>
        </w:rPr>
        <w:t> </w:t>
      </w:r>
      <w:r>
        <w:rPr/>
        <w:t>porphyrins.</w:t>
      </w:r>
      <w:r>
        <w:rPr>
          <w:spacing w:val="-2"/>
        </w:rPr>
        <w:t> </w:t>
      </w:r>
      <w:r>
        <w:rPr/>
        <w:t>Peaks</w:t>
      </w:r>
      <w:r>
        <w:rPr>
          <w:spacing w:val="-3"/>
        </w:rPr>
        <w:t> </w:t>
      </w:r>
      <w:r>
        <w:rPr/>
        <w:t>of</w:t>
      </w:r>
      <w:r>
        <w:rPr>
          <w:spacing w:val="1"/>
        </w:rPr>
        <w:t> </w:t>
      </w:r>
      <w:r>
        <w:rPr/>
        <w:t>interest</w:t>
      </w:r>
      <w:r>
        <w:rPr>
          <w:spacing w:val="-4"/>
        </w:rPr>
        <w:t> </w:t>
      </w:r>
      <w:r>
        <w:rPr/>
        <w:t>are</w:t>
      </w:r>
    </w:p>
    <w:p>
      <w:pPr>
        <w:pStyle w:val="BodyText"/>
        <w:tabs>
          <w:tab w:pos="9244" w:val="right" w:leader="none"/>
        </w:tabs>
        <w:ind w:left="227"/>
      </w:pPr>
      <w:r>
        <w:rPr/>
        <w:t>highlighted.</w:t>
      </w:r>
      <w:r>
        <w:rPr>
          <w:rFonts w:ascii="Times New Roman"/>
        </w:rPr>
        <w:tab/>
      </w:r>
      <w:r>
        <w:rPr/>
        <w:t>110</w:t>
      </w:r>
    </w:p>
    <w:p>
      <w:pPr>
        <w:pStyle w:val="BodyText"/>
        <w:spacing w:before="221"/>
        <w:ind w:left="227"/>
      </w:pPr>
      <w:r>
        <w:rPr/>
        <w:pict>
          <v:rect style="position:absolute;margin-left:72pt;margin-top:9.995755pt;width:.959999pt;height:.959999pt;mso-position-horizontal-relative:page;mso-position-vertical-relative:paragraph;z-index:15821824" id="docshape140" filled="true" fillcolor="#000000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15822336" from="76.800003pt,10.475758pt" to="533.76001pt,10.475758pt" stroked="true" strokeweight=".959999pt" strokecolor="#000000">
            <v:stroke dashstyle="dash"/>
            <w10:wrap type="none"/>
          </v:line>
        </w:pict>
      </w:r>
      <w:r>
        <w:rPr/>
        <w:pict>
          <v:rect style="position:absolute;margin-left:537.600037pt;margin-top:9.995758pt;width:1.919998pt;height:.959999pt;mso-position-horizontal-relative:page;mso-position-vertical-relative:paragraph;z-index:15822848" id="docshape141" filled="true" fillcolor="#000000" stroked="false">
            <v:fill type="solid"/>
            <w10:wrap type="none"/>
          </v:rect>
        </w:pict>
      </w:r>
      <w:r>
        <w:rPr>
          <w:b/>
        </w:rPr>
        <w:t>Figure</w:t>
      </w:r>
      <w:r>
        <w:rPr>
          <w:b/>
          <w:spacing w:val="-4"/>
        </w:rPr>
        <w:t> </w:t>
      </w:r>
      <w:r>
        <w:rPr>
          <w:b/>
        </w:rPr>
        <w:t>36.</w:t>
      </w:r>
      <w:r>
        <w:rPr>
          <w:b/>
          <w:spacing w:val="3"/>
        </w:rPr>
        <w:t> </w:t>
      </w:r>
      <w:r>
        <w:rPr/>
        <w:t>Chromatograms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VO-DPEP</w:t>
      </w:r>
      <w:r>
        <w:rPr>
          <w:spacing w:val="-2"/>
        </w:rPr>
        <w:t> </w:t>
      </w:r>
      <w:r>
        <w:rPr/>
        <w:t>porphyrins.</w:t>
      </w:r>
      <w:r>
        <w:rPr>
          <w:spacing w:val="-4"/>
        </w:rPr>
        <w:t> </w:t>
      </w:r>
      <w:r>
        <w:rPr/>
        <w:t>Peaks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interested</w:t>
      </w:r>
      <w:r>
        <w:rPr>
          <w:spacing w:val="-3"/>
        </w:rPr>
        <w:t> </w:t>
      </w:r>
      <w:r>
        <w:rPr/>
        <w:t>are</w:t>
      </w:r>
    </w:p>
    <w:p>
      <w:pPr>
        <w:pStyle w:val="BodyText"/>
        <w:tabs>
          <w:tab w:pos="9246" w:val="right" w:leader="none"/>
        </w:tabs>
        <w:ind w:left="227"/>
      </w:pPr>
      <w:r>
        <w:rPr/>
        <w:pict>
          <v:rect style="position:absolute;margin-left:72pt;margin-top:24.625797pt;width:.959999pt;height:.959999pt;mso-position-horizontal-relative:page;mso-position-vertical-relative:paragraph;z-index:15823360" id="docshape142" filled="true" fillcolor="#000000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15823872" from="76.800003pt,25.105801pt" to="533.76001pt,25.105801pt" stroked="true" strokeweight=".959999pt" strokecolor="#000000">
            <v:stroke dashstyle="dash"/>
            <w10:wrap type="none"/>
          </v:line>
        </w:pict>
      </w:r>
      <w:r>
        <w:rPr/>
        <w:pict>
          <v:rect style="position:absolute;margin-left:537.600037pt;margin-top:24.625801pt;width:1.919998pt;height:.959999pt;mso-position-horizontal-relative:page;mso-position-vertical-relative:paragraph;z-index:15824384" id="docshape143" filled="true" fillcolor="#000000" stroked="false">
            <v:fill type="solid"/>
            <w10:wrap type="none"/>
          </v:rect>
        </w:pict>
      </w:r>
      <w:r>
        <w:rPr/>
        <w:t>highlighted.</w:t>
      </w:r>
      <w:r>
        <w:rPr>
          <w:rFonts w:ascii="Times New Roman"/>
        </w:rPr>
        <w:tab/>
      </w:r>
      <w:r>
        <w:rPr/>
        <w:t>111</w:t>
      </w:r>
    </w:p>
    <w:p>
      <w:pPr>
        <w:pStyle w:val="BodyText"/>
        <w:spacing w:before="220"/>
        <w:ind w:left="227"/>
      </w:pPr>
      <w:r>
        <w:rPr>
          <w:b/>
        </w:rPr>
        <w:t>Figure</w:t>
      </w:r>
      <w:r>
        <w:rPr>
          <w:b/>
          <w:spacing w:val="-4"/>
        </w:rPr>
        <w:t> </w:t>
      </w:r>
      <w:r>
        <w:rPr>
          <w:b/>
        </w:rPr>
        <w:t>37.</w:t>
      </w:r>
      <w:r>
        <w:rPr>
          <w:b/>
          <w:spacing w:val="2"/>
        </w:rPr>
        <w:t> </w:t>
      </w:r>
      <w:r>
        <w:rPr/>
        <w:t>Chromatograms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VO-ETIO</w:t>
      </w:r>
      <w:r>
        <w:rPr>
          <w:spacing w:val="-5"/>
        </w:rPr>
        <w:t> </w:t>
      </w:r>
      <w:r>
        <w:rPr/>
        <w:t>porphyrins.</w:t>
      </w:r>
      <w:r>
        <w:rPr>
          <w:spacing w:val="-3"/>
        </w:rPr>
        <w:t> </w:t>
      </w:r>
      <w:r>
        <w:rPr/>
        <w:t>Peaks</w:t>
      </w:r>
      <w:r>
        <w:rPr>
          <w:spacing w:val="-3"/>
        </w:rPr>
        <w:t> </w:t>
      </w:r>
      <w:r>
        <w:rPr/>
        <w:t>of</w:t>
      </w:r>
      <w:r>
        <w:rPr>
          <w:spacing w:val="2"/>
        </w:rPr>
        <w:t> </w:t>
      </w:r>
      <w:r>
        <w:rPr/>
        <w:t>interested</w:t>
      </w:r>
      <w:r>
        <w:rPr>
          <w:spacing w:val="-4"/>
        </w:rPr>
        <w:t> </w:t>
      </w:r>
      <w:r>
        <w:rPr/>
        <w:t>are</w:t>
      </w:r>
    </w:p>
    <w:p>
      <w:pPr>
        <w:pStyle w:val="BodyText"/>
        <w:tabs>
          <w:tab w:pos="8882" w:val="left" w:leader="none"/>
        </w:tabs>
        <w:ind w:left="227"/>
      </w:pPr>
      <w:r>
        <w:rPr/>
        <w:pict>
          <v:rect style="position:absolute;margin-left:72pt;margin-top:24.625786pt;width:.959999pt;height:.959999pt;mso-position-horizontal-relative:page;mso-position-vertical-relative:paragraph;z-index:15824896" id="docshape144" filled="true" fillcolor="#000000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15825408" from="76.800003pt,25.105791pt" to="533.76001pt,25.105791pt" stroked="true" strokeweight=".959999pt" strokecolor="#000000">
            <v:stroke dashstyle="dash"/>
            <w10:wrap type="none"/>
          </v:line>
        </w:pict>
      </w:r>
      <w:r>
        <w:rPr/>
        <w:pict>
          <v:rect style="position:absolute;margin-left:537.600037pt;margin-top:24.625792pt;width:1.919998pt;height:.959999pt;mso-position-horizontal-relative:page;mso-position-vertical-relative:paragraph;z-index:15825920" id="docshape145" filled="true" fillcolor="#000000" stroked="false">
            <v:fill type="solid"/>
            <w10:wrap type="none"/>
          </v:rect>
        </w:pict>
      </w:r>
      <w:r>
        <w:rPr/>
        <w:t>highlighted.</w:t>
      </w:r>
      <w:r>
        <w:rPr>
          <w:rFonts w:ascii="Times New Roman"/>
        </w:rPr>
        <w:tab/>
      </w:r>
      <w:r>
        <w:rPr/>
        <w:t>112</w:t>
      </w:r>
    </w:p>
    <w:p>
      <w:pPr>
        <w:pStyle w:val="BodyText"/>
        <w:spacing w:before="218"/>
        <w:ind w:left="227"/>
      </w:pPr>
      <w:r>
        <w:rPr>
          <w:b/>
        </w:rPr>
        <w:t>Figure</w:t>
      </w:r>
      <w:r>
        <w:rPr>
          <w:b/>
          <w:spacing w:val="-4"/>
        </w:rPr>
        <w:t> </w:t>
      </w:r>
      <w:r>
        <w:rPr>
          <w:b/>
        </w:rPr>
        <w:t>38.</w:t>
      </w:r>
      <w:r>
        <w:rPr>
          <w:b/>
          <w:spacing w:val="3"/>
        </w:rPr>
        <w:t> </w:t>
      </w:r>
      <w:r>
        <w:rPr/>
        <w:t>Chromatograms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Ni-BiCAP</w:t>
      </w:r>
      <w:r>
        <w:rPr>
          <w:spacing w:val="-3"/>
        </w:rPr>
        <w:t> </w:t>
      </w:r>
      <w:r>
        <w:rPr/>
        <w:t>porphyrins.</w:t>
      </w:r>
      <w:r>
        <w:rPr>
          <w:spacing w:val="-2"/>
        </w:rPr>
        <w:t> </w:t>
      </w:r>
      <w:r>
        <w:rPr/>
        <w:t>Peaks</w:t>
      </w:r>
      <w:r>
        <w:rPr>
          <w:spacing w:val="-2"/>
        </w:rPr>
        <w:t> </w:t>
      </w:r>
      <w:r>
        <w:rPr/>
        <w:t>of</w:t>
      </w:r>
      <w:r>
        <w:rPr>
          <w:spacing w:val="1"/>
        </w:rPr>
        <w:t> </w:t>
      </w:r>
      <w:r>
        <w:rPr/>
        <w:t>interest</w:t>
      </w:r>
      <w:r>
        <w:rPr>
          <w:spacing w:val="-4"/>
        </w:rPr>
        <w:t> </w:t>
      </w:r>
      <w:r>
        <w:rPr/>
        <w:t>are</w:t>
      </w:r>
    </w:p>
    <w:p>
      <w:pPr>
        <w:pStyle w:val="BodyText"/>
        <w:tabs>
          <w:tab w:pos="8882" w:val="left" w:leader="none"/>
        </w:tabs>
        <w:ind w:left="227"/>
      </w:pPr>
      <w:r>
        <w:rPr/>
        <w:t>highlighted.</w:t>
      </w:r>
      <w:r>
        <w:rPr>
          <w:rFonts w:ascii="Times New Roman"/>
        </w:rPr>
        <w:tab/>
      </w:r>
      <w:r>
        <w:rPr/>
        <w:t>113</w:t>
      </w:r>
    </w:p>
    <w:p>
      <w:pPr>
        <w:pStyle w:val="BodyText"/>
        <w:spacing w:before="221"/>
        <w:ind w:left="227"/>
      </w:pPr>
      <w:r>
        <w:rPr/>
        <w:pict>
          <v:rect style="position:absolute;margin-left:72pt;margin-top:10.115788pt;width:.959999pt;height:.959999pt;mso-position-horizontal-relative:page;mso-position-vertical-relative:paragraph;z-index:15826432" id="docshape146" filled="true" fillcolor="#000000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15826944" from="76.800003pt,10.595795pt" to="533.76001pt,10.595795pt" stroked="true" strokeweight=".959999pt" strokecolor="#000000">
            <v:stroke dashstyle="dash"/>
            <w10:wrap type="none"/>
          </v:line>
        </w:pict>
      </w:r>
      <w:r>
        <w:rPr/>
        <w:pict>
          <v:rect style="position:absolute;margin-left:537.600037pt;margin-top:10.115795pt;width:1.919998pt;height:.959999pt;mso-position-horizontal-relative:page;mso-position-vertical-relative:paragraph;z-index:15827456" id="docshape147" filled="true" fillcolor="#000000" stroked="false">
            <v:fill type="solid"/>
            <w10:wrap type="none"/>
          </v:rect>
        </w:pict>
      </w:r>
      <w:r>
        <w:rPr>
          <w:b/>
        </w:rPr>
        <w:t>Figure</w:t>
      </w:r>
      <w:r>
        <w:rPr>
          <w:b/>
          <w:spacing w:val="-4"/>
        </w:rPr>
        <w:t> </w:t>
      </w:r>
      <w:r>
        <w:rPr>
          <w:b/>
        </w:rPr>
        <w:t>39.</w:t>
      </w:r>
      <w:r>
        <w:rPr>
          <w:b/>
          <w:spacing w:val="2"/>
        </w:rPr>
        <w:t> </w:t>
      </w:r>
      <w:r>
        <w:rPr/>
        <w:t>Chromatograms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Ni-DPEP</w:t>
      </w:r>
      <w:r>
        <w:rPr>
          <w:spacing w:val="-3"/>
        </w:rPr>
        <w:t> </w:t>
      </w:r>
      <w:r>
        <w:rPr/>
        <w:t>porphyrins.</w:t>
      </w:r>
      <w:r>
        <w:rPr>
          <w:spacing w:val="-3"/>
        </w:rPr>
        <w:t> </w:t>
      </w:r>
      <w:r>
        <w:rPr/>
        <w:t>Peaks</w:t>
      </w:r>
      <w:r>
        <w:rPr>
          <w:spacing w:val="-3"/>
        </w:rPr>
        <w:t> </w:t>
      </w:r>
      <w:r>
        <w:rPr/>
        <w:t>of</w:t>
      </w:r>
      <w:r>
        <w:rPr>
          <w:spacing w:val="1"/>
        </w:rPr>
        <w:t> </w:t>
      </w:r>
      <w:r>
        <w:rPr/>
        <w:t>interest</w:t>
      </w:r>
      <w:r>
        <w:rPr>
          <w:spacing w:val="-3"/>
        </w:rPr>
        <w:t> </w:t>
      </w:r>
      <w:r>
        <w:rPr/>
        <w:t>are</w:t>
      </w:r>
    </w:p>
    <w:p>
      <w:pPr>
        <w:pStyle w:val="BodyText"/>
        <w:tabs>
          <w:tab w:pos="8882" w:val="left" w:leader="none"/>
        </w:tabs>
        <w:ind w:left="227"/>
      </w:pPr>
      <w:r>
        <w:rPr/>
        <w:t>highlighted.</w:t>
      </w:r>
      <w:r>
        <w:rPr>
          <w:rFonts w:ascii="Times New Roman"/>
        </w:rPr>
        <w:tab/>
      </w:r>
      <w:r>
        <w:rPr/>
        <w:t>114</w:t>
      </w:r>
    </w:p>
    <w:p>
      <w:pPr>
        <w:pStyle w:val="BodyText"/>
        <w:spacing w:before="220"/>
        <w:ind w:left="227"/>
      </w:pPr>
      <w:r>
        <w:rPr/>
        <w:pict>
          <v:rect style="position:absolute;margin-left:72pt;margin-top:10.065765pt;width:.959999pt;height:.960023pt;mso-position-horizontal-relative:page;mso-position-vertical-relative:paragraph;z-index:15827968" id="docshape148" filled="true" fillcolor="#000000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15828480" from="76.800003pt,10.545785pt" to="533.76001pt,10.545785pt" stroked="true" strokeweight=".960023pt" strokecolor="#000000">
            <v:stroke dashstyle="dash"/>
            <w10:wrap type="none"/>
          </v:line>
        </w:pict>
      </w:r>
      <w:r>
        <w:rPr/>
        <w:pict>
          <v:rect style="position:absolute;margin-left:537.600037pt;margin-top:10.065773pt;width:1.919998pt;height:.960023pt;mso-position-horizontal-relative:page;mso-position-vertical-relative:paragraph;z-index:15828992" id="docshape149" filled="true" fillcolor="#000000" stroked="false">
            <v:fill type="solid"/>
            <w10:wrap type="none"/>
          </v:rect>
        </w:pict>
      </w:r>
      <w:r>
        <w:rPr>
          <w:b/>
        </w:rPr>
        <w:t>Figure</w:t>
      </w:r>
      <w:r>
        <w:rPr>
          <w:b/>
          <w:spacing w:val="-4"/>
        </w:rPr>
        <w:t> </w:t>
      </w:r>
      <w:r>
        <w:rPr>
          <w:b/>
        </w:rPr>
        <w:t>40.</w:t>
      </w:r>
      <w:r>
        <w:rPr>
          <w:b/>
          <w:spacing w:val="2"/>
        </w:rPr>
        <w:t> </w:t>
      </w:r>
      <w:r>
        <w:rPr/>
        <w:t>Chromatograms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Ni-ETIO</w:t>
      </w:r>
      <w:r>
        <w:rPr>
          <w:spacing w:val="-6"/>
        </w:rPr>
        <w:t> </w:t>
      </w:r>
      <w:r>
        <w:rPr/>
        <w:t>porphyrins.</w:t>
      </w:r>
      <w:r>
        <w:rPr>
          <w:spacing w:val="-3"/>
        </w:rPr>
        <w:t> </w:t>
      </w:r>
      <w:r>
        <w:rPr/>
        <w:t>Peaks</w:t>
      </w:r>
      <w:r>
        <w:rPr>
          <w:spacing w:val="-2"/>
        </w:rPr>
        <w:t> </w:t>
      </w:r>
      <w:r>
        <w:rPr/>
        <w:t>of</w:t>
      </w:r>
      <w:r>
        <w:rPr>
          <w:spacing w:val="1"/>
        </w:rPr>
        <w:t> </w:t>
      </w:r>
      <w:r>
        <w:rPr/>
        <w:t>interest</w:t>
      </w:r>
      <w:r>
        <w:rPr>
          <w:spacing w:val="-3"/>
        </w:rPr>
        <w:t> </w:t>
      </w:r>
      <w:r>
        <w:rPr/>
        <w:t>are</w:t>
      </w:r>
    </w:p>
    <w:p>
      <w:pPr>
        <w:pStyle w:val="BodyText"/>
        <w:tabs>
          <w:tab w:pos="8882" w:val="left" w:leader="none"/>
        </w:tabs>
        <w:ind w:left="227"/>
      </w:pPr>
      <w:r>
        <w:rPr/>
        <w:t>highlighted.</w:t>
      </w:r>
      <w:r>
        <w:rPr>
          <w:rFonts w:ascii="Times New Roman"/>
        </w:rPr>
        <w:tab/>
      </w:r>
      <w:r>
        <w:rPr/>
        <w:t>115</w:t>
      </w:r>
    </w:p>
    <w:p>
      <w:pPr>
        <w:pStyle w:val="BodyText"/>
        <w:spacing w:before="7"/>
        <w:rPr>
          <w:sz w:val="14"/>
        </w:rPr>
      </w:pPr>
      <w:r>
        <w:rPr/>
        <w:pict>
          <v:rect style="position:absolute;margin-left:71.279999pt;margin-top:10.094922pt;width:1.679999pt;height:.959999pt;mso-position-horizontal-relative:page;mso-position-vertical-relative:paragraph;z-index:-15636992;mso-wrap-distance-left:0;mso-wrap-distance-right:0" id="docshape150" filled="true" fillcolor="#000000" stroked="false">
            <v:fill type="solid"/>
            <w10:wrap type="topAndBottom"/>
          </v:rect>
        </w:pict>
      </w:r>
      <w:r>
        <w:rPr/>
        <w:pict>
          <v:shape style="position:absolute;margin-left:76.800003pt;margin-top:10.574931pt;width:457pt;height:.1pt;mso-position-horizontal-relative:page;mso-position-vertical-relative:paragraph;z-index:-15636480;mso-wrap-distance-left:0;mso-wrap-distance-right:0" id="docshape151" coordorigin="1536,211" coordsize="9140,0" path="m1536,211l10675,211e" filled="false" stroked="true" strokeweight=".959999pt" strokecolor="#000000">
            <v:path arrowok="t"/>
            <v:stroke dashstyle="dash"/>
            <w10:wrap type="topAndBottom"/>
          </v:shape>
        </w:pict>
      </w:r>
      <w:r>
        <w:rPr/>
        <w:pict>
          <v:rect style="position:absolute;margin-left:537.600037pt;margin-top:10.094932pt;width:1.919998pt;height:.959999pt;mso-position-horizontal-relative:page;mso-position-vertical-relative:paragraph;z-index:-15635968;mso-wrap-distance-left:0;mso-wrap-distance-right:0" id="docshape152" filled="true" fillcolor="#000000" stroked="false">
            <v:fill type="solid"/>
            <w10:wrap type="topAndBottom"/>
          </v:rect>
        </w:pict>
      </w:r>
    </w:p>
    <w:p>
      <w:pPr>
        <w:spacing w:after="0"/>
        <w:rPr>
          <w:sz w:val="14"/>
        </w:rPr>
        <w:sectPr>
          <w:footerReference w:type="default" r:id="rId13"/>
          <w:pgSz w:w="12240" w:h="15840"/>
          <w:pgMar w:footer="1014" w:header="0" w:top="1400" w:bottom="1200" w:left="1320" w:right="820"/>
          <w:pgNumType w:start="1"/>
        </w:sectPr>
      </w:pPr>
    </w:p>
    <w:p>
      <w:pPr>
        <w:pStyle w:val="Heading1"/>
        <w:ind w:left="4261" w:right="4760"/>
      </w:pPr>
      <w:r>
        <w:rPr/>
        <w:t>ABSTRACT</w:t>
      </w:r>
    </w:p>
    <w:p>
      <w:pPr>
        <w:pStyle w:val="BodyText"/>
        <w:spacing w:line="480" w:lineRule="auto" w:before="161"/>
        <w:ind w:left="120" w:right="660" w:firstLine="720"/>
      </w:pPr>
      <w:r>
        <w:rPr/>
        <w:t>This study examined the Wyche Farm-1 core and selected depths of interest for</w:t>
      </w:r>
      <w:r>
        <w:rPr>
          <w:spacing w:val="1"/>
        </w:rPr>
        <w:t> </w:t>
      </w:r>
      <w:r>
        <w:rPr/>
        <w:t>biomarker analysis. Previously employed methods for biomarker characterization were slow</w:t>
      </w:r>
      <w:r>
        <w:rPr>
          <w:spacing w:val="1"/>
        </w:rPr>
        <w:t> </w:t>
      </w:r>
      <w:r>
        <w:rPr/>
        <w:t>and labor-intensive using the gas chromatography mass spectrometer (GCMS), but this study</w:t>
      </w:r>
      <w:r>
        <w:rPr>
          <w:spacing w:val="1"/>
        </w:rPr>
        <w:t> </w:t>
      </w:r>
      <w:r>
        <w:rPr/>
        <w:t>utilizes a new method for the liquid chromatography mass spectrometer (LCMS) that requires</w:t>
      </w:r>
      <w:r>
        <w:rPr>
          <w:spacing w:val="1"/>
        </w:rPr>
        <w:t> </w:t>
      </w:r>
      <w:r>
        <w:rPr/>
        <w:t>minimal time and labor to produce comparable results. Applying this novel LCMS method, the</w:t>
      </w:r>
      <w:r>
        <w:rPr>
          <w:spacing w:val="1"/>
        </w:rPr>
        <w:t> </w:t>
      </w:r>
      <w:r>
        <w:rPr/>
        <w:t>previously undetected polar biomarkers, such as metalloporphyrins and newly identified</w:t>
      </w:r>
      <w:r>
        <w:rPr>
          <w:spacing w:val="1"/>
        </w:rPr>
        <w:t> </w:t>
      </w:r>
      <w:r>
        <w:rPr/>
        <w:t>tocopherol derivatives, are characterized in this study. Comparing results of aromatic</w:t>
      </w:r>
      <w:r>
        <w:rPr>
          <w:spacing w:val="1"/>
        </w:rPr>
        <w:t> </w:t>
      </w:r>
      <w:r>
        <w:rPr/>
        <w:t>carotenoids generated by both GCMS and LCMS yields, a general consistency in composition</w:t>
      </w:r>
      <w:r>
        <w:rPr>
          <w:spacing w:val="1"/>
        </w:rPr>
        <w:t> </w:t>
      </w:r>
      <w:r>
        <w:rPr/>
        <w:t>and depth profile, thus validating the new characterization method. However, due to the</w:t>
      </w:r>
      <w:r>
        <w:rPr>
          <w:spacing w:val="1"/>
        </w:rPr>
        <w:t> </w:t>
      </w:r>
      <w:r>
        <w:rPr/>
        <w:t>different procedures of sample preparation applied and standards used for quantification, the</w:t>
      </w:r>
      <w:r>
        <w:rPr>
          <w:spacing w:val="1"/>
        </w:rPr>
        <w:t> </w:t>
      </w:r>
      <w:r>
        <w:rPr/>
        <w:t>calculated</w:t>
      </w:r>
      <w:r>
        <w:rPr>
          <w:spacing w:val="-4"/>
        </w:rPr>
        <w:t> </w:t>
      </w:r>
      <w:r>
        <w:rPr/>
        <w:t>absolute</w:t>
      </w:r>
      <w:r>
        <w:rPr>
          <w:spacing w:val="-2"/>
        </w:rPr>
        <w:t> </w:t>
      </w:r>
      <w:r>
        <w:rPr/>
        <w:t>concentrations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aromatic</w:t>
      </w:r>
      <w:r>
        <w:rPr>
          <w:spacing w:val="-2"/>
        </w:rPr>
        <w:t> </w:t>
      </w:r>
      <w:r>
        <w:rPr/>
        <w:t>carotenoids</w:t>
      </w:r>
      <w:r>
        <w:rPr>
          <w:spacing w:val="-4"/>
        </w:rPr>
        <w:t> </w:t>
      </w:r>
      <w:r>
        <w:rPr/>
        <w:t>are</w:t>
      </w:r>
      <w:r>
        <w:rPr>
          <w:spacing w:val="-3"/>
        </w:rPr>
        <w:t> </w:t>
      </w:r>
      <w:r>
        <w:rPr/>
        <w:t>two</w:t>
      </w:r>
      <w:r>
        <w:rPr>
          <w:spacing w:val="1"/>
        </w:rPr>
        <w:t> </w:t>
      </w:r>
      <w:r>
        <w:rPr/>
        <w:t>orders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magnitude</w:t>
      </w:r>
      <w:r>
        <w:rPr>
          <w:spacing w:val="-1"/>
        </w:rPr>
        <w:t> </w:t>
      </w:r>
      <w:r>
        <w:rPr/>
        <w:t>higher</w:t>
      </w:r>
      <w:r>
        <w:rPr>
          <w:spacing w:val="-51"/>
        </w:rPr>
        <w:t> </w:t>
      </w:r>
      <w:r>
        <w:rPr/>
        <w:t>for the GCMS method. Metalloporphyrin analyses indicates an unexpected high nickel</w:t>
      </w:r>
      <w:r>
        <w:rPr>
          <w:spacing w:val="1"/>
        </w:rPr>
        <w:t> </w:t>
      </w:r>
      <w:r>
        <w:rPr/>
        <w:t>porphyrin abundance during the euxinic Middle Woodford Shale evidenced by the distribution</w:t>
      </w:r>
      <w:r>
        <w:rPr>
          <w:spacing w:val="1"/>
        </w:rPr>
        <w:t> </w:t>
      </w:r>
      <w:r>
        <w:rPr/>
        <w:t>of aromatic carotenoids. This unexpected spike in nickel porphyrin concentration reflects a</w:t>
      </w:r>
      <w:r>
        <w:rPr>
          <w:spacing w:val="1"/>
        </w:rPr>
        <w:t> </w:t>
      </w:r>
      <w:r>
        <w:rPr/>
        <w:t>possible metal chelation preference related to the different molecular structures of BiCAP,</w:t>
      </w:r>
      <w:r>
        <w:rPr>
          <w:spacing w:val="1"/>
        </w:rPr>
        <w:t> </w:t>
      </w:r>
      <w:r>
        <w:rPr/>
        <w:t>DPEP and ETIO porphyrins, calling into question their use as reliable redox proxies. The MTTCs</w:t>
      </w:r>
      <w:r>
        <w:rPr>
          <w:spacing w:val="1"/>
        </w:rPr>
        <w:t> </w:t>
      </w:r>
      <w:r>
        <w:rPr/>
        <w:t>have been proposed as a salinity proxy in previous studies. However, our data show they</w:t>
      </w:r>
      <w:r>
        <w:rPr>
          <w:spacing w:val="1"/>
        </w:rPr>
        <w:t> </w:t>
      </w:r>
      <w:r>
        <w:rPr/>
        <w:t>possibly correlate to redox. The distribution of tocopherol derivatives likely reflects the</w:t>
      </w:r>
      <w:r>
        <w:rPr>
          <w:spacing w:val="1"/>
        </w:rPr>
        <w:t> </w:t>
      </w:r>
      <w:r>
        <w:rPr/>
        <w:t>population dynamics of phytoplankton resulting from the evolution of water chemistry during</w:t>
      </w:r>
      <w:r>
        <w:rPr>
          <w:spacing w:val="1"/>
        </w:rPr>
        <w:t> </w:t>
      </w:r>
      <w:r>
        <w:rPr/>
        <w:t>this</w:t>
      </w:r>
      <w:r>
        <w:rPr>
          <w:spacing w:val="-2"/>
        </w:rPr>
        <w:t> </w:t>
      </w:r>
      <w:r>
        <w:rPr/>
        <w:t>time</w:t>
      </w:r>
      <w:r>
        <w:rPr>
          <w:spacing w:val="-2"/>
        </w:rPr>
        <w:t> </w:t>
      </w:r>
      <w:r>
        <w:rPr/>
        <w:t>interval.</w:t>
      </w:r>
    </w:p>
    <w:p>
      <w:pPr>
        <w:spacing w:after="0" w:line="480" w:lineRule="auto"/>
        <w:sectPr>
          <w:pgSz w:w="12240" w:h="15840"/>
          <w:pgMar w:header="0" w:footer="1014" w:top="1400" w:bottom="1200" w:left="1320" w:right="820"/>
        </w:sectPr>
      </w:pPr>
    </w:p>
    <w:p>
      <w:pPr>
        <w:pStyle w:val="Heading1"/>
        <w:ind w:left="4261" w:right="4760"/>
      </w:pPr>
      <w:r>
        <w:rPr/>
        <w:t>CHAPTER</w:t>
      </w:r>
      <w:r>
        <w:rPr>
          <w:spacing w:val="-2"/>
        </w:rPr>
        <w:t> </w:t>
      </w:r>
      <w:r>
        <w:rPr/>
        <w:t>I</w:t>
      </w:r>
    </w:p>
    <w:p>
      <w:pPr>
        <w:pStyle w:val="BodyText"/>
        <w:rPr>
          <w:b/>
          <w:sz w:val="20"/>
        </w:rPr>
      </w:pPr>
    </w:p>
    <w:p>
      <w:pPr>
        <w:pStyle w:val="Heading2"/>
        <w:numPr>
          <w:ilvl w:val="0"/>
          <w:numId w:val="3"/>
        </w:numPr>
        <w:tabs>
          <w:tab w:pos="363" w:val="left" w:leader="none"/>
        </w:tabs>
        <w:spacing w:line="240" w:lineRule="auto" w:before="209" w:after="0"/>
        <w:ind w:left="362" w:right="0" w:hanging="243"/>
        <w:jc w:val="left"/>
      </w:pPr>
      <w:r>
        <w:rPr/>
        <w:t>Introduction</w:t>
      </w:r>
    </w:p>
    <w:p>
      <w:pPr>
        <w:pStyle w:val="BodyText"/>
        <w:rPr>
          <w:b/>
        </w:rPr>
      </w:pPr>
    </w:p>
    <w:p>
      <w:pPr>
        <w:pStyle w:val="BodyText"/>
        <w:spacing w:line="480" w:lineRule="auto" w:before="161"/>
        <w:ind w:left="120" w:right="670" w:firstLine="706"/>
      </w:pPr>
      <w:r>
        <w:rPr/>
        <w:t>The</w:t>
      </w:r>
      <w:r>
        <w:rPr>
          <w:spacing w:val="-3"/>
        </w:rPr>
        <w:t> </w:t>
      </w:r>
      <w:r>
        <w:rPr/>
        <w:t>Woodford</w:t>
      </w:r>
      <w:r>
        <w:rPr>
          <w:spacing w:val="-2"/>
        </w:rPr>
        <w:t> </w:t>
      </w:r>
      <w:r>
        <w:rPr/>
        <w:t>Shale</w:t>
      </w:r>
      <w:r>
        <w:rPr>
          <w:spacing w:val="-2"/>
        </w:rPr>
        <w:t> </w:t>
      </w:r>
      <w:r>
        <w:rPr/>
        <w:t>is</w:t>
      </w:r>
      <w:r>
        <w:rPr>
          <w:spacing w:val="-5"/>
        </w:rPr>
        <w:t> </w:t>
      </w:r>
      <w:r>
        <w:rPr/>
        <w:t>the</w:t>
      </w:r>
      <w:r>
        <w:rPr>
          <w:spacing w:val="-3"/>
        </w:rPr>
        <w:t> </w:t>
      </w:r>
      <w:r>
        <w:rPr/>
        <w:t>richest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most</w:t>
      </w:r>
      <w:r>
        <w:rPr>
          <w:spacing w:val="2"/>
        </w:rPr>
        <w:t> </w:t>
      </w:r>
      <w:r>
        <w:rPr/>
        <w:t>important</w:t>
      </w:r>
      <w:r>
        <w:rPr>
          <w:spacing w:val="-3"/>
        </w:rPr>
        <w:t> </w:t>
      </w:r>
      <w:r>
        <w:rPr/>
        <w:t>source</w:t>
      </w:r>
      <w:r>
        <w:rPr>
          <w:spacing w:val="-6"/>
        </w:rPr>
        <w:t> </w:t>
      </w:r>
      <w:r>
        <w:rPr/>
        <w:t>rock</w:t>
      </w:r>
      <w:r>
        <w:rPr>
          <w:spacing w:val="-4"/>
        </w:rPr>
        <w:t> </w:t>
      </w:r>
      <w:r>
        <w:rPr/>
        <w:t>in</w:t>
      </w:r>
      <w:r>
        <w:rPr>
          <w:spacing w:val="2"/>
        </w:rPr>
        <w:t> </w:t>
      </w:r>
      <w:r>
        <w:rPr/>
        <w:t>Oklahoma,</w:t>
      </w:r>
      <w:r>
        <w:rPr>
          <w:spacing w:val="-2"/>
        </w:rPr>
        <w:t> </w:t>
      </w:r>
      <w:r>
        <w:rPr/>
        <w:t>holding</w:t>
      </w:r>
      <w:r>
        <w:rPr>
          <w:spacing w:val="-51"/>
        </w:rPr>
        <w:t> </w:t>
      </w:r>
      <w:r>
        <w:rPr/>
        <w:t>the</w:t>
      </w:r>
      <w:r>
        <w:rPr>
          <w:spacing w:val="-4"/>
        </w:rPr>
        <w:t> </w:t>
      </w:r>
      <w:r>
        <w:rPr/>
        <w:t>majority</w:t>
      </w:r>
      <w:r>
        <w:rPr>
          <w:spacing w:val="-2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-2"/>
        </w:rPr>
        <w:t> </w:t>
      </w:r>
      <w:r>
        <w:rPr/>
        <w:t>state’s</w:t>
      </w:r>
      <w:r>
        <w:rPr>
          <w:spacing w:val="1"/>
        </w:rPr>
        <w:t> </w:t>
      </w:r>
      <w:r>
        <w:rPr/>
        <w:t>hydrocarbon</w:t>
      </w:r>
      <w:r>
        <w:rPr>
          <w:spacing w:val="-2"/>
        </w:rPr>
        <w:t> </w:t>
      </w:r>
      <w:r>
        <w:rPr/>
        <w:t>reserves</w:t>
      </w:r>
      <w:r>
        <w:rPr>
          <w:spacing w:val="-2"/>
        </w:rPr>
        <w:t> </w:t>
      </w:r>
      <w:r>
        <w:rPr/>
        <w:t>(Philp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DeGarmo,</w:t>
      </w:r>
      <w:r>
        <w:rPr>
          <w:spacing w:val="-4"/>
        </w:rPr>
        <w:t> </w:t>
      </w:r>
      <w:r>
        <w:rPr/>
        <w:t>2020).</w:t>
      </w:r>
      <w:r>
        <w:rPr>
          <w:spacing w:val="-2"/>
        </w:rPr>
        <w:t> </w:t>
      </w:r>
      <w:r>
        <w:rPr/>
        <w:t>It</w:t>
      </w:r>
      <w:r>
        <w:rPr>
          <w:spacing w:val="2"/>
        </w:rPr>
        <w:t> </w:t>
      </w:r>
      <w:r>
        <w:rPr/>
        <w:t>is</w:t>
      </w:r>
      <w:r>
        <w:rPr>
          <w:spacing w:val="-3"/>
        </w:rPr>
        <w:t> </w:t>
      </w:r>
      <w:r>
        <w:rPr/>
        <w:t>also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massive</w:t>
      </w:r>
      <w:r>
        <w:rPr>
          <w:spacing w:val="-51"/>
        </w:rPr>
        <w:t> </w:t>
      </w:r>
      <w:r>
        <w:rPr/>
        <w:t>unconventional reservoir subject to increased interest along with other unconventional plays.</w:t>
      </w:r>
      <w:r>
        <w:rPr>
          <w:spacing w:val="1"/>
        </w:rPr>
        <w:t> </w:t>
      </w:r>
      <w:r>
        <w:rPr/>
        <w:t>The Woodford Shale is Late Devonian-Early Mississippian in age (Comer, 1991) and records an</w:t>
      </w:r>
      <w:r>
        <w:rPr>
          <w:spacing w:val="1"/>
        </w:rPr>
        <w:t> </w:t>
      </w:r>
      <w:r>
        <w:rPr/>
        <w:t>estimated 29 My of deposition (Johnson et al., 1985). During that length of time, significant</w:t>
      </w:r>
      <w:r>
        <w:rPr>
          <w:spacing w:val="1"/>
        </w:rPr>
        <w:t> </w:t>
      </w:r>
      <w:r>
        <w:rPr/>
        <w:t>variations in the depositional environment likely occurred. Sedimentation rate, redox</w:t>
      </w:r>
      <w:r>
        <w:rPr>
          <w:spacing w:val="1"/>
        </w:rPr>
        <w:t> </w:t>
      </w:r>
      <w:r>
        <w:rPr/>
        <w:t>conditions, light intensity, and water chemistry would have all varied, resulting in changes in</w:t>
      </w:r>
      <w:r>
        <w:rPr>
          <w:spacing w:val="1"/>
        </w:rPr>
        <w:t> </w:t>
      </w:r>
      <w:r>
        <w:rPr/>
        <w:t>the planktonic microbial communities. The resulting biological changes are recorded in the</w:t>
      </w:r>
      <w:r>
        <w:rPr>
          <w:spacing w:val="1"/>
        </w:rPr>
        <w:t> </w:t>
      </w:r>
      <w:r>
        <w:rPr/>
        <w:t>sediments</w:t>
      </w:r>
      <w:r>
        <w:rPr>
          <w:spacing w:val="-1"/>
        </w:rPr>
        <w:t> </w:t>
      </w:r>
      <w:r>
        <w:rPr/>
        <w:t>by</w:t>
      </w:r>
      <w:r>
        <w:rPr>
          <w:spacing w:val="-2"/>
        </w:rPr>
        <w:t> </w:t>
      </w:r>
      <w:r>
        <w:rPr/>
        <w:t>fluctuations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organic</w:t>
      </w:r>
      <w:r>
        <w:rPr>
          <w:spacing w:val="-1"/>
        </w:rPr>
        <w:t> </w:t>
      </w:r>
      <w:r>
        <w:rPr/>
        <w:t>geochemical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fossil</w:t>
      </w:r>
      <w:r>
        <w:rPr>
          <w:spacing w:val="-3"/>
        </w:rPr>
        <w:t> </w:t>
      </w:r>
      <w:r>
        <w:rPr/>
        <w:t>biomarker</w:t>
      </w:r>
      <w:r>
        <w:rPr>
          <w:spacing w:val="-2"/>
        </w:rPr>
        <w:t> </w:t>
      </w:r>
      <w:r>
        <w:rPr/>
        <w:t>compositions.</w:t>
      </w:r>
    </w:p>
    <w:p>
      <w:pPr>
        <w:pStyle w:val="BodyText"/>
        <w:spacing w:line="480" w:lineRule="auto"/>
        <w:ind w:left="120" w:right="660"/>
      </w:pPr>
      <w:r>
        <w:rPr/>
        <w:t>Therefore,</w:t>
      </w:r>
      <w:r>
        <w:rPr>
          <w:spacing w:val="-6"/>
        </w:rPr>
        <w:t> </w:t>
      </w:r>
      <w:r>
        <w:rPr/>
        <w:t>biomarker</w:t>
      </w:r>
      <w:r>
        <w:rPr>
          <w:spacing w:val="-1"/>
        </w:rPr>
        <w:t> </w:t>
      </w:r>
      <w:r>
        <w:rPr/>
        <w:t>analysis</w:t>
      </w:r>
      <w:r>
        <w:rPr>
          <w:spacing w:val="-4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4"/>
        </w:rPr>
        <w:t> </w:t>
      </w:r>
      <w:r>
        <w:rPr/>
        <w:t>shale</w:t>
      </w:r>
      <w:r>
        <w:rPr>
          <w:spacing w:val="-3"/>
        </w:rPr>
        <w:t> </w:t>
      </w:r>
      <w:r>
        <w:rPr/>
        <w:t>provides</w:t>
      </w:r>
      <w:r>
        <w:rPr>
          <w:spacing w:val="-4"/>
        </w:rPr>
        <w:t> </w:t>
      </w:r>
      <w:r>
        <w:rPr/>
        <w:t>an</w:t>
      </w:r>
      <w:r>
        <w:rPr>
          <w:spacing w:val="-2"/>
        </w:rPr>
        <w:t> </w:t>
      </w:r>
      <w:r>
        <w:rPr/>
        <w:t>interpretation of</w:t>
      </w:r>
      <w:r>
        <w:rPr>
          <w:spacing w:val="-5"/>
        </w:rPr>
        <w:t> </w:t>
      </w:r>
      <w:r>
        <w:rPr/>
        <w:t>the paleoenvironment</w:t>
      </w:r>
      <w:r>
        <w:rPr>
          <w:spacing w:val="-51"/>
        </w:rPr>
        <w:t> </w:t>
      </w:r>
      <w:r>
        <w:rPr/>
        <w:t>that resulted in the sedimentation of the Woodford Shale. The Woodford Shale is</w:t>
      </w:r>
      <w:r>
        <w:rPr>
          <w:spacing w:val="1"/>
        </w:rPr>
        <w:t> </w:t>
      </w:r>
      <w:r>
        <w:rPr/>
        <w:t>conventionally</w:t>
      </w:r>
      <w:r>
        <w:rPr>
          <w:spacing w:val="-5"/>
        </w:rPr>
        <w:t> </w:t>
      </w:r>
      <w:r>
        <w:rPr/>
        <w:t>separated</w:t>
      </w:r>
      <w:r>
        <w:rPr>
          <w:spacing w:val="-1"/>
        </w:rPr>
        <w:t> </w:t>
      </w:r>
      <w:r>
        <w:rPr/>
        <w:t>into</w:t>
      </w:r>
      <w:r>
        <w:rPr>
          <w:spacing w:val="-2"/>
        </w:rPr>
        <w:t> </w:t>
      </w:r>
      <w:r>
        <w:rPr/>
        <w:t>three</w:t>
      </w:r>
      <w:r>
        <w:rPr>
          <w:spacing w:val="2"/>
        </w:rPr>
        <w:t> </w:t>
      </w:r>
      <w:r>
        <w:rPr/>
        <w:t>sections,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Lower,</w:t>
      </w:r>
      <w:r>
        <w:rPr>
          <w:spacing w:val="-2"/>
        </w:rPr>
        <w:t> </w:t>
      </w:r>
      <w:r>
        <w:rPr/>
        <w:t>Middle,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Upper.</w:t>
      </w:r>
    </w:p>
    <w:p>
      <w:pPr>
        <w:pStyle w:val="BodyText"/>
        <w:spacing w:line="480" w:lineRule="auto" w:before="159"/>
        <w:ind w:left="120" w:right="660" w:firstLine="706"/>
      </w:pPr>
      <w:r>
        <w:rPr/>
        <w:t>Romero and Philp (2012) conducted geochemical analyses on the Wyche-1 core</w:t>
      </w:r>
      <w:r>
        <w:rPr>
          <w:spacing w:val="1"/>
        </w:rPr>
        <w:t> </w:t>
      </w:r>
      <w:r>
        <w:rPr/>
        <w:t>providing essential data about the environment of deposition through various hydrocarbon</w:t>
      </w:r>
      <w:r>
        <w:rPr>
          <w:spacing w:val="-52"/>
        </w:rPr>
        <w:t> </w:t>
      </w:r>
      <w:r>
        <w:rPr/>
        <w:t>biomarkers.</w:t>
      </w:r>
      <w:r>
        <w:rPr>
          <w:spacing w:val="-2"/>
        </w:rPr>
        <w:t> </w:t>
      </w:r>
      <w:r>
        <w:rPr/>
        <w:t>They</w:t>
      </w:r>
      <w:r>
        <w:rPr>
          <w:spacing w:val="-3"/>
        </w:rPr>
        <w:t> </w:t>
      </w:r>
      <w:r>
        <w:rPr/>
        <w:t>found</w:t>
      </w:r>
      <w:r>
        <w:rPr>
          <w:spacing w:val="-4"/>
        </w:rPr>
        <w:t> </w:t>
      </w:r>
      <w:r>
        <w:rPr/>
        <w:t>that</w:t>
      </w:r>
      <w:r>
        <w:rPr>
          <w:spacing w:val="2"/>
        </w:rPr>
        <w:t> </w:t>
      </w:r>
      <w:r>
        <w:rPr/>
        <w:t>the</w:t>
      </w:r>
      <w:r>
        <w:rPr>
          <w:spacing w:val="-3"/>
        </w:rPr>
        <w:t> </w:t>
      </w:r>
      <w:r>
        <w:rPr/>
        <w:t>total</w:t>
      </w:r>
      <w:r>
        <w:rPr>
          <w:spacing w:val="-3"/>
        </w:rPr>
        <w:t> </w:t>
      </w:r>
      <w:r>
        <w:rPr/>
        <w:t>organic</w:t>
      </w:r>
      <w:r>
        <w:rPr>
          <w:spacing w:val="-2"/>
        </w:rPr>
        <w:t> </w:t>
      </w:r>
      <w:r>
        <w:rPr/>
        <w:t>carbon</w:t>
      </w:r>
      <w:r>
        <w:rPr>
          <w:spacing w:val="-3"/>
        </w:rPr>
        <w:t> </w:t>
      </w:r>
      <w:r>
        <w:rPr/>
        <w:t>(TOC)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Woodford</w:t>
      </w:r>
      <w:r>
        <w:rPr>
          <w:spacing w:val="-3"/>
        </w:rPr>
        <w:t> </w:t>
      </w:r>
      <w:r>
        <w:rPr/>
        <w:t>Shale</w:t>
      </w:r>
      <w:r>
        <w:rPr>
          <w:spacing w:val="-2"/>
        </w:rPr>
        <w:t> </w:t>
      </w:r>
      <w:r>
        <w:rPr/>
        <w:t>ranged</w:t>
      </w:r>
      <w:r>
        <w:rPr>
          <w:spacing w:val="2"/>
        </w:rPr>
        <w:t> </w:t>
      </w:r>
      <w:r>
        <w:rPr/>
        <w:t>from</w:t>
      </w:r>
    </w:p>
    <w:p>
      <w:pPr>
        <w:pStyle w:val="BodyText"/>
        <w:spacing w:line="480" w:lineRule="auto"/>
        <w:ind w:left="120" w:right="660"/>
      </w:pPr>
      <w:r>
        <w:rPr/>
        <w:t>5.01</w:t>
      </w:r>
      <w:r>
        <w:rPr>
          <w:spacing w:val="-3"/>
        </w:rPr>
        <w:t> </w:t>
      </w:r>
      <w:r>
        <w:rPr/>
        <w:t>to 14.81%,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was</w:t>
      </w:r>
      <w:r>
        <w:rPr>
          <w:spacing w:val="-4"/>
        </w:rPr>
        <w:t> </w:t>
      </w:r>
      <w:r>
        <w:rPr/>
        <w:t>marginally</w:t>
      </w:r>
      <w:r>
        <w:rPr>
          <w:spacing w:val="-2"/>
        </w:rPr>
        <w:t> </w:t>
      </w:r>
      <w:r>
        <w:rPr/>
        <w:t>mature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dominated</w:t>
      </w:r>
      <w:r>
        <w:rPr>
          <w:spacing w:val="-3"/>
        </w:rPr>
        <w:t> </w:t>
      </w:r>
      <w:r>
        <w:rPr/>
        <w:t>by</w:t>
      </w:r>
      <w:r>
        <w:rPr>
          <w:spacing w:val="-1"/>
        </w:rPr>
        <w:t> </w:t>
      </w:r>
      <w:r>
        <w:rPr/>
        <w:t>type</w:t>
      </w:r>
      <w:r>
        <w:rPr>
          <w:spacing w:val="1"/>
        </w:rPr>
        <w:t> </w:t>
      </w:r>
      <w:r>
        <w:rPr/>
        <w:t>II</w:t>
      </w:r>
      <w:r>
        <w:rPr>
          <w:spacing w:val="-2"/>
        </w:rPr>
        <w:t> </w:t>
      </w:r>
      <w:r>
        <w:rPr/>
        <w:t>kerogen.</w:t>
      </w:r>
      <w:r>
        <w:rPr>
          <w:spacing w:val="-3"/>
        </w:rPr>
        <w:t> </w:t>
      </w:r>
      <w:r>
        <w:rPr/>
        <w:t>Using</w:t>
      </w:r>
      <w:r>
        <w:rPr>
          <w:spacing w:val="-3"/>
        </w:rPr>
        <w:t> </w:t>
      </w:r>
      <w:r>
        <w:rPr/>
        <w:t>pristane,</w:t>
      </w:r>
      <w:r>
        <w:rPr>
          <w:spacing w:val="-51"/>
        </w:rPr>
        <w:t> </w:t>
      </w:r>
      <w:r>
        <w:rPr/>
        <w:t>phytane, steranes, and hopanes they documented a mix of marine and terrigenous organic</w:t>
      </w:r>
      <w:r>
        <w:rPr>
          <w:spacing w:val="1"/>
        </w:rPr>
        <w:t> </w:t>
      </w:r>
      <w:r>
        <w:rPr/>
        <w:t>matter characterized by high-salinity conditions and a stratified water column. Turner et al.</w:t>
      </w:r>
      <w:r>
        <w:rPr>
          <w:spacing w:val="1"/>
        </w:rPr>
        <w:t> </w:t>
      </w:r>
      <w:r>
        <w:rPr/>
        <w:t>(2015)</w:t>
      </w:r>
      <w:r>
        <w:rPr>
          <w:spacing w:val="-3"/>
        </w:rPr>
        <w:t> </w:t>
      </w:r>
      <w:r>
        <w:rPr/>
        <w:t>provided</w:t>
      </w:r>
      <w:r>
        <w:rPr>
          <w:spacing w:val="-2"/>
        </w:rPr>
        <w:t> </w:t>
      </w:r>
      <w:r>
        <w:rPr/>
        <w:t>analysis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trace</w:t>
      </w:r>
      <w:r>
        <w:rPr>
          <w:spacing w:val="-3"/>
        </w:rPr>
        <w:t> </w:t>
      </w:r>
      <w:r>
        <w:rPr/>
        <w:t>metals</w:t>
      </w:r>
      <w:r>
        <w:rPr>
          <w:spacing w:val="-1"/>
        </w:rPr>
        <w:t> </w:t>
      </w:r>
      <w:r>
        <w:rPr/>
        <w:t>in</w:t>
      </w:r>
      <w:r>
        <w:rPr>
          <w:spacing w:val="2"/>
        </w:rPr>
        <w:t> </w:t>
      </w:r>
      <w:r>
        <w:rPr/>
        <w:t>the</w:t>
      </w:r>
      <w:r>
        <w:rPr>
          <w:spacing w:val="-2"/>
        </w:rPr>
        <w:t> </w:t>
      </w:r>
      <w:r>
        <w:rPr/>
        <w:t>same</w:t>
      </w:r>
      <w:r>
        <w:rPr>
          <w:spacing w:val="-2"/>
        </w:rPr>
        <w:t> </w:t>
      </w:r>
      <w:r>
        <w:rPr/>
        <w:t>core using</w:t>
      </w:r>
      <w:r>
        <w:rPr>
          <w:spacing w:val="1"/>
        </w:rPr>
        <w:t> </w:t>
      </w:r>
      <w:r>
        <w:rPr/>
        <w:t>X-ray</w:t>
      </w:r>
      <w:r>
        <w:rPr>
          <w:spacing w:val="-5"/>
        </w:rPr>
        <w:t> </w:t>
      </w:r>
      <w:r>
        <w:rPr/>
        <w:t>fluorescence</w:t>
      </w:r>
      <w:r>
        <w:rPr>
          <w:spacing w:val="-2"/>
        </w:rPr>
        <w:t> </w:t>
      </w:r>
      <w:r>
        <w:rPr/>
        <w:t>(XRF)</w:t>
      </w:r>
    </w:p>
    <w:p>
      <w:pPr>
        <w:spacing w:after="0" w:line="480" w:lineRule="auto"/>
        <w:sectPr>
          <w:footerReference w:type="default" r:id="rId14"/>
          <w:pgSz w:w="12240" w:h="15840"/>
          <w:pgMar w:footer="1014" w:header="0" w:top="1400" w:bottom="1200" w:left="1320" w:right="820"/>
          <w:pgNumType w:start="1"/>
        </w:sectPr>
      </w:pPr>
    </w:p>
    <w:p>
      <w:pPr>
        <w:pStyle w:val="BodyText"/>
        <w:spacing w:line="480" w:lineRule="auto" w:before="39"/>
        <w:ind w:left="120" w:right="721"/>
      </w:pPr>
      <w:r>
        <w:rPr/>
        <w:t>and a detailed chemostratigraphic sequence for the Woodford Sale.</w:t>
      </w:r>
      <w:r>
        <w:rPr>
          <w:spacing w:val="1"/>
        </w:rPr>
        <w:t> </w:t>
      </w:r>
      <w:r>
        <w:rPr/>
        <w:t>Connock’s (2015) work</w:t>
      </w:r>
      <w:r>
        <w:rPr>
          <w:spacing w:val="1"/>
        </w:rPr>
        <w:t> </w:t>
      </w:r>
      <w:r>
        <w:rPr/>
        <w:t>provided a geochemical analysis of the Woodford Shale to more accurately define depth and</w:t>
      </w:r>
      <w:r>
        <w:rPr>
          <w:spacing w:val="1"/>
        </w:rPr>
        <w:t> </w:t>
      </w:r>
      <w:r>
        <w:rPr>
          <w:position w:val="2"/>
        </w:rPr>
        <w:t>extent of photic zone euxinia during deposition.</w:t>
      </w:r>
      <w:r>
        <w:rPr>
          <w:spacing w:val="1"/>
          <w:position w:val="2"/>
        </w:rPr>
        <w:t> </w:t>
      </w:r>
      <w:r>
        <w:rPr>
          <w:position w:val="2"/>
        </w:rPr>
        <w:t>Using C</w:t>
      </w:r>
      <w:r>
        <w:rPr>
          <w:sz w:val="16"/>
        </w:rPr>
        <w:t>40 </w:t>
      </w:r>
      <w:r>
        <w:rPr>
          <w:position w:val="2"/>
        </w:rPr>
        <w:t>aromatic carotenoids he</w:t>
      </w:r>
      <w:r>
        <w:rPr>
          <w:spacing w:val="1"/>
          <w:position w:val="2"/>
        </w:rPr>
        <w:t> </w:t>
      </w:r>
      <w:r>
        <w:rPr/>
        <w:t>documented episodic photic zone euxinia in the Lower Woodford Shale and sustained photic</w:t>
      </w:r>
      <w:r>
        <w:rPr>
          <w:spacing w:val="1"/>
        </w:rPr>
        <w:t> </w:t>
      </w:r>
      <w:r>
        <w:rPr/>
        <w:t>zone euxinia in the Middle Woodford Shale. In order to expand our knowledge of the temporal</w:t>
      </w:r>
      <w:r>
        <w:rPr>
          <w:spacing w:val="-52"/>
        </w:rPr>
        <w:t> </w:t>
      </w:r>
      <w:r>
        <w:rPr/>
        <w:t>variation of Woodford Shale deposition environment, this project further refined the sampling</w:t>
      </w:r>
      <w:r>
        <w:rPr>
          <w:spacing w:val="1"/>
        </w:rPr>
        <w:t> </w:t>
      </w:r>
      <w:r>
        <w:rPr/>
        <w:t>resolution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focused</w:t>
      </w:r>
      <w:r>
        <w:rPr>
          <w:spacing w:val="1"/>
        </w:rPr>
        <w:t> </w:t>
      </w:r>
      <w:r>
        <w:rPr/>
        <w:t>on</w:t>
      </w:r>
      <w:r>
        <w:rPr>
          <w:spacing w:val="-2"/>
        </w:rPr>
        <w:t> </w:t>
      </w:r>
      <w:r>
        <w:rPr/>
        <w:t>specific</w:t>
      </w:r>
      <w:r>
        <w:rPr>
          <w:spacing w:val="-4"/>
        </w:rPr>
        <w:t> </w:t>
      </w:r>
      <w:r>
        <w:rPr/>
        <w:t>biomarkers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planktonic</w:t>
      </w:r>
      <w:r>
        <w:rPr>
          <w:spacing w:val="-3"/>
        </w:rPr>
        <w:t> </w:t>
      </w:r>
      <w:r>
        <w:rPr/>
        <w:t>microbial</w:t>
      </w:r>
      <w:r>
        <w:rPr>
          <w:spacing w:val="-3"/>
        </w:rPr>
        <w:t> </w:t>
      </w:r>
      <w:r>
        <w:rPr/>
        <w:t>communities</w:t>
      </w:r>
      <w:r>
        <w:rPr>
          <w:spacing w:val="-1"/>
        </w:rPr>
        <w:t> </w:t>
      </w:r>
      <w:r>
        <w:rPr/>
        <w:t>by</w:t>
      </w:r>
      <w:r>
        <w:rPr>
          <w:spacing w:val="-3"/>
        </w:rPr>
        <w:t> </w:t>
      </w:r>
      <w:r>
        <w:rPr/>
        <w:t>applying</w:t>
      </w:r>
      <w:r>
        <w:rPr>
          <w:spacing w:val="-51"/>
        </w:rPr>
        <w:t> </w:t>
      </w:r>
      <w:r>
        <w:rPr/>
        <w:t>a</w:t>
      </w:r>
      <w:r>
        <w:rPr>
          <w:spacing w:val="3"/>
        </w:rPr>
        <w:t> </w:t>
      </w:r>
      <w:r>
        <w:rPr/>
        <w:t>completely</w:t>
      </w:r>
      <w:r>
        <w:rPr>
          <w:spacing w:val="1"/>
        </w:rPr>
        <w:t> </w:t>
      </w:r>
      <w:r>
        <w:rPr/>
        <w:t>new</w:t>
      </w:r>
      <w:r>
        <w:rPr>
          <w:spacing w:val="3"/>
        </w:rPr>
        <w:t> </w:t>
      </w:r>
      <w:r>
        <w:rPr/>
        <w:t>liquid</w:t>
      </w:r>
      <w:r>
        <w:rPr>
          <w:spacing w:val="3"/>
        </w:rPr>
        <w:t> </w:t>
      </w:r>
      <w:r>
        <w:rPr/>
        <w:t>chromatography–mass</w:t>
      </w:r>
      <w:r>
        <w:rPr>
          <w:spacing w:val="4"/>
        </w:rPr>
        <w:t> </w:t>
      </w:r>
      <w:r>
        <w:rPr/>
        <w:t>spectrometry</w:t>
      </w:r>
      <w:r>
        <w:rPr>
          <w:spacing w:val="3"/>
        </w:rPr>
        <w:t> </w:t>
      </w:r>
      <w:r>
        <w:rPr/>
        <w:t>(LCMS)</w:t>
      </w:r>
      <w:r>
        <w:rPr>
          <w:spacing w:val="3"/>
        </w:rPr>
        <w:t> </w:t>
      </w:r>
      <w:r>
        <w:rPr/>
        <w:t>based</w:t>
      </w:r>
      <w:r>
        <w:rPr>
          <w:spacing w:val="8"/>
        </w:rPr>
        <w:t> </w:t>
      </w:r>
      <w:r>
        <w:rPr/>
        <w:t>analytical</w:t>
      </w:r>
      <w:r>
        <w:rPr>
          <w:spacing w:val="1"/>
        </w:rPr>
        <w:t> </w:t>
      </w:r>
      <w:r>
        <w:rPr/>
        <w:t>protocol.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26"/>
        </w:rPr>
      </w:pPr>
    </w:p>
    <w:p>
      <w:pPr>
        <w:pStyle w:val="ListParagraph"/>
        <w:numPr>
          <w:ilvl w:val="1"/>
          <w:numId w:val="3"/>
        </w:numPr>
        <w:tabs>
          <w:tab w:pos="478" w:val="left" w:leader="none"/>
        </w:tabs>
        <w:spacing w:line="240" w:lineRule="auto" w:before="0" w:after="0"/>
        <w:ind w:left="477" w:right="0" w:hanging="358"/>
        <w:jc w:val="left"/>
        <w:rPr>
          <w:i/>
          <w:sz w:val="24"/>
        </w:rPr>
      </w:pPr>
      <w:r>
        <w:rPr>
          <w:i/>
          <w:sz w:val="24"/>
        </w:rPr>
        <w:t>Geological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Context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Woodford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Shale</w:t>
      </w:r>
    </w:p>
    <w:p>
      <w:pPr>
        <w:pStyle w:val="BodyText"/>
        <w:rPr>
          <w:i/>
        </w:rPr>
      </w:pPr>
    </w:p>
    <w:p>
      <w:pPr>
        <w:pStyle w:val="BodyText"/>
        <w:spacing w:line="480" w:lineRule="auto" w:before="161"/>
        <w:ind w:left="120" w:right="665" w:firstLine="706"/>
      </w:pPr>
      <w:r>
        <w:rPr/>
        <w:t>The Woodford Shale is one of many black shales found worldwide that were deposited</w:t>
      </w:r>
      <w:r>
        <w:rPr>
          <w:spacing w:val="1"/>
        </w:rPr>
        <w:t> </w:t>
      </w:r>
      <w:r>
        <w:rPr/>
        <w:t>during the late Devonian and early Mississippian. These shales provide insight into many Earth</w:t>
      </w:r>
      <w:r>
        <w:rPr>
          <w:spacing w:val="1"/>
        </w:rPr>
        <w:t> </w:t>
      </w:r>
      <w:r>
        <w:rPr/>
        <w:t>processes</w:t>
      </w:r>
      <w:r>
        <w:rPr>
          <w:spacing w:val="-4"/>
        </w:rPr>
        <w:t> </w:t>
      </w:r>
      <w:r>
        <w:rPr/>
        <w:t>such</w:t>
      </w:r>
      <w:r>
        <w:rPr>
          <w:spacing w:val="1"/>
        </w:rPr>
        <w:t> </w:t>
      </w:r>
      <w:r>
        <w:rPr/>
        <w:t>as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paleoclimate,</w:t>
      </w:r>
      <w:r>
        <w:rPr>
          <w:spacing w:val="-5"/>
        </w:rPr>
        <w:t> </w:t>
      </w:r>
      <w:r>
        <w:rPr/>
        <w:t>paleogeography,</w:t>
      </w:r>
      <w:r>
        <w:rPr>
          <w:spacing w:val="-5"/>
        </w:rPr>
        <w:t> </w:t>
      </w:r>
      <w:r>
        <w:rPr/>
        <w:t>eustasy,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tectonism</w:t>
      </w:r>
      <w:r>
        <w:rPr>
          <w:spacing w:val="-3"/>
        </w:rPr>
        <w:t> </w:t>
      </w:r>
      <w:r>
        <w:rPr/>
        <w:t>(Ettensohn,</w:t>
      </w:r>
      <w:r>
        <w:rPr>
          <w:spacing w:val="-3"/>
        </w:rPr>
        <w:t> </w:t>
      </w:r>
      <w:r>
        <w:rPr/>
        <w:t>1992).</w:t>
      </w:r>
      <w:r>
        <w:rPr>
          <w:spacing w:val="-51"/>
        </w:rPr>
        <w:t> </w:t>
      </w:r>
      <w:r>
        <w:rPr/>
        <w:t>These black shales accumulated during widespread anoxic events within epeiric seas while the</w:t>
      </w:r>
      <w:r>
        <w:rPr>
          <w:spacing w:val="1"/>
        </w:rPr>
        <w:t> </w:t>
      </w:r>
      <w:r>
        <w:rPr/>
        <w:t>planet was in a greenhouse climate (Jones, 2017). The late Devonian saw one of the five major</w:t>
      </w:r>
      <w:r>
        <w:rPr>
          <w:spacing w:val="1"/>
        </w:rPr>
        <w:t> </w:t>
      </w:r>
      <w:r>
        <w:rPr/>
        <w:t>mass extinction events,</w:t>
      </w:r>
      <w:r>
        <w:rPr>
          <w:spacing w:val="1"/>
        </w:rPr>
        <w:t> </w:t>
      </w:r>
      <w:r>
        <w:rPr/>
        <w:t>credited to two</w:t>
      </w:r>
      <w:r>
        <w:rPr>
          <w:spacing w:val="3"/>
        </w:rPr>
        <w:t> </w:t>
      </w:r>
      <w:r>
        <w:rPr/>
        <w:t>significant events</w:t>
      </w:r>
      <w:r>
        <w:rPr>
          <w:spacing w:val="1"/>
        </w:rPr>
        <w:t> </w:t>
      </w:r>
      <w:r>
        <w:rPr/>
        <w:t>called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Kellwasser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Hangenburg events (Jones, 2017; Molinares-Blanco, 2019). The Kellwasser can be split into two</w:t>
      </w:r>
      <w:r>
        <w:rPr>
          <w:spacing w:val="-52"/>
        </w:rPr>
        <w:t> </w:t>
      </w:r>
      <w:r>
        <w:rPr/>
        <w:t>events, the Upper Kellwasser and the Lower Kellwasser. These events are contained within the</w:t>
      </w:r>
      <w:r>
        <w:rPr>
          <w:spacing w:val="1"/>
        </w:rPr>
        <w:t> </w:t>
      </w:r>
      <w:r>
        <w:rPr/>
        <w:t>Woodford Shale and likely contributed to the deposition and high preservation potential of the</w:t>
      </w:r>
      <w:r>
        <w:rPr>
          <w:spacing w:val="1"/>
        </w:rPr>
        <w:t> </w:t>
      </w:r>
      <w:r>
        <w:rPr/>
        <w:t>Woodford</w:t>
      </w:r>
      <w:r>
        <w:rPr>
          <w:spacing w:val="-3"/>
        </w:rPr>
        <w:t> </w:t>
      </w:r>
      <w:r>
        <w:rPr/>
        <w:t>Shale.</w:t>
      </w:r>
    </w:p>
    <w:p>
      <w:pPr>
        <w:spacing w:after="0" w:line="480" w:lineRule="auto"/>
        <w:sectPr>
          <w:pgSz w:w="12240" w:h="15840"/>
          <w:pgMar w:header="0" w:footer="1014" w:top="1400" w:bottom="1200" w:left="1320" w:right="820"/>
        </w:sectPr>
      </w:pPr>
    </w:p>
    <w:p>
      <w:pPr>
        <w:pStyle w:val="BodyText"/>
        <w:spacing w:line="480" w:lineRule="auto" w:before="39"/>
        <w:ind w:left="120" w:right="660" w:firstLine="706"/>
      </w:pPr>
      <w:r>
        <w:rPr/>
        <w:t>Tectonic activity played a prominent role in the deposition of the black shales, as it</w:t>
      </w:r>
      <w:r>
        <w:rPr>
          <w:spacing w:val="1"/>
        </w:rPr>
        <w:t> </w:t>
      </w:r>
      <w:r>
        <w:rPr/>
        <w:t>would</w:t>
      </w:r>
      <w:r>
        <w:rPr>
          <w:spacing w:val="-2"/>
        </w:rPr>
        <w:t> </w:t>
      </w:r>
      <w:r>
        <w:rPr/>
        <w:t>have</w:t>
      </w:r>
      <w:r>
        <w:rPr>
          <w:spacing w:val="-5"/>
        </w:rPr>
        <w:t> </w:t>
      </w:r>
      <w:r>
        <w:rPr/>
        <w:t>formed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restricted</w:t>
      </w:r>
      <w:r>
        <w:rPr>
          <w:spacing w:val="-2"/>
        </w:rPr>
        <w:t> </w:t>
      </w:r>
      <w:r>
        <w:rPr/>
        <w:t>basins</w:t>
      </w:r>
      <w:r>
        <w:rPr>
          <w:spacing w:val="-2"/>
        </w:rPr>
        <w:t> </w:t>
      </w:r>
      <w:r>
        <w:rPr/>
        <w:t>required</w:t>
      </w:r>
      <w:r>
        <w:rPr>
          <w:spacing w:val="-2"/>
        </w:rPr>
        <w:t> </w:t>
      </w:r>
      <w:r>
        <w:rPr/>
        <w:t>for</w:t>
      </w:r>
      <w:r>
        <w:rPr>
          <w:spacing w:val="-4"/>
        </w:rPr>
        <w:t> </w:t>
      </w:r>
      <w:r>
        <w:rPr/>
        <w:t>the high</w:t>
      </w:r>
      <w:r>
        <w:rPr>
          <w:spacing w:val="-2"/>
        </w:rPr>
        <w:t> </w:t>
      </w:r>
      <w:r>
        <w:rPr/>
        <w:t>preservation</w:t>
      </w:r>
      <w:r>
        <w:rPr>
          <w:spacing w:val="-2"/>
        </w:rPr>
        <w:t> </w:t>
      </w:r>
      <w:r>
        <w:rPr/>
        <w:t>potential</w:t>
      </w:r>
      <w:r>
        <w:rPr>
          <w:spacing w:val="-4"/>
        </w:rPr>
        <w:t> </w:t>
      </w:r>
      <w:r>
        <w:rPr/>
        <w:t>of</w:t>
      </w:r>
      <w:r>
        <w:rPr>
          <w:spacing w:val="3"/>
        </w:rPr>
        <w:t> </w:t>
      </w:r>
      <w:r>
        <w:rPr/>
        <w:t>organic</w:t>
      </w:r>
      <w:r>
        <w:rPr>
          <w:spacing w:val="-52"/>
        </w:rPr>
        <w:t> </w:t>
      </w:r>
      <w:r>
        <w:rPr/>
        <w:t>matter and provided accommodation space for deposition (Johnson and Suneson, 1997). The</w:t>
      </w:r>
      <w:r>
        <w:rPr>
          <w:spacing w:val="1"/>
        </w:rPr>
        <w:t> </w:t>
      </w:r>
      <w:r>
        <w:rPr/>
        <w:t>Arkoma Basin is a foreland basin that strikes east-west from the Gulf coastal plain in central</w:t>
      </w:r>
      <w:r>
        <w:rPr>
          <w:spacing w:val="1"/>
        </w:rPr>
        <w:t> </w:t>
      </w:r>
      <w:r>
        <w:rPr/>
        <w:t>Arkansas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the Arbuckle</w:t>
      </w:r>
      <w:r>
        <w:rPr>
          <w:spacing w:val="-3"/>
        </w:rPr>
        <w:t> </w:t>
      </w:r>
      <w:r>
        <w:rPr/>
        <w:t>Mountains</w:t>
      </w:r>
      <w:r>
        <w:rPr>
          <w:spacing w:val="-3"/>
        </w:rPr>
        <w:t> </w:t>
      </w:r>
      <w:r>
        <w:rPr/>
        <w:t>in</w:t>
      </w:r>
      <w:r>
        <w:rPr>
          <w:spacing w:val="1"/>
        </w:rPr>
        <w:t> </w:t>
      </w:r>
      <w:r>
        <w:rPr/>
        <w:t>southcentral</w:t>
      </w:r>
      <w:r>
        <w:rPr>
          <w:spacing w:val="-3"/>
        </w:rPr>
        <w:t> </w:t>
      </w:r>
      <w:r>
        <w:rPr/>
        <w:t>Oklahoma</w:t>
      </w:r>
      <w:r>
        <w:rPr>
          <w:spacing w:val="-3"/>
        </w:rPr>
        <w:t> </w:t>
      </w:r>
      <w:r>
        <w:rPr/>
        <w:t>(Sutherland, 1988),</w:t>
      </w:r>
      <w:r>
        <w:rPr>
          <w:spacing w:val="-3"/>
        </w:rPr>
        <w:t> </w:t>
      </w:r>
      <w:r>
        <w:rPr/>
        <w:t>(Figure</w:t>
      </w:r>
      <w:r>
        <w:rPr>
          <w:spacing w:val="-2"/>
        </w:rPr>
        <w:t> </w:t>
      </w:r>
      <w:r>
        <w:rPr/>
        <w:t>1).</w:t>
      </w:r>
    </w:p>
    <w:p>
      <w:pPr>
        <w:pStyle w:val="BodyText"/>
        <w:spacing w:before="11"/>
        <w:rPr>
          <w:sz w:val="10"/>
        </w:rPr>
      </w:pPr>
      <w:r>
        <w:rPr/>
        <w:drawing>
          <wp:anchor distT="0" distB="0" distL="0" distR="0" allowOverlap="1" layoutInCell="1" locked="0" behindDoc="0" simplePos="0" relativeHeight="197">
            <wp:simplePos x="0" y="0"/>
            <wp:positionH relativeFrom="page">
              <wp:posOffset>1383791</wp:posOffset>
            </wp:positionH>
            <wp:positionV relativeFrom="paragraph">
              <wp:posOffset>100147</wp:posOffset>
            </wp:positionV>
            <wp:extent cx="5004815" cy="3450336"/>
            <wp:effectExtent l="0" t="0" r="0" b="0"/>
            <wp:wrapTopAndBottom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4815" cy="3450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57"/>
        <w:ind w:left="120" w:right="660" w:firstLine="0"/>
        <w:jc w:val="left"/>
        <w:rPr>
          <w:sz w:val="22"/>
        </w:rPr>
      </w:pPr>
      <w:r>
        <w:rPr>
          <w:sz w:val="22"/>
        </w:rPr>
        <w:t>Figure</w:t>
      </w:r>
      <w:r>
        <w:rPr>
          <w:spacing w:val="-2"/>
          <w:sz w:val="22"/>
        </w:rPr>
        <w:t> </w:t>
      </w:r>
      <w:r>
        <w:rPr>
          <w:sz w:val="22"/>
        </w:rPr>
        <w:t>1.</w:t>
      </w:r>
      <w:r>
        <w:rPr>
          <w:spacing w:val="-4"/>
          <w:sz w:val="22"/>
        </w:rPr>
        <w:t> </w:t>
      </w:r>
      <w:r>
        <w:rPr>
          <w:sz w:val="22"/>
        </w:rPr>
        <w:t>Arkoma</w:t>
      </w:r>
      <w:r>
        <w:rPr>
          <w:spacing w:val="-1"/>
          <w:sz w:val="22"/>
        </w:rPr>
        <w:t> </w:t>
      </w:r>
      <w:r>
        <w:rPr>
          <w:sz w:val="22"/>
        </w:rPr>
        <w:t>basin</w:t>
      </w:r>
      <w:r>
        <w:rPr>
          <w:spacing w:val="-5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Oklahoma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Arkansas</w:t>
      </w:r>
      <w:r>
        <w:rPr>
          <w:spacing w:val="-1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surrounding</w:t>
      </w:r>
      <w:r>
        <w:rPr>
          <w:spacing w:val="-1"/>
          <w:sz w:val="22"/>
        </w:rPr>
        <w:t> </w:t>
      </w:r>
      <w:r>
        <w:rPr>
          <w:sz w:val="22"/>
        </w:rPr>
        <w:t>geologic</w:t>
      </w:r>
      <w:r>
        <w:rPr>
          <w:spacing w:val="-2"/>
          <w:sz w:val="22"/>
        </w:rPr>
        <w:t> </w:t>
      </w:r>
      <w:r>
        <w:rPr>
          <w:sz w:val="22"/>
        </w:rPr>
        <w:t>provinces.</w:t>
      </w:r>
      <w:r>
        <w:rPr>
          <w:spacing w:val="-2"/>
          <w:sz w:val="22"/>
        </w:rPr>
        <w:t> </w:t>
      </w:r>
      <w:r>
        <w:rPr>
          <w:sz w:val="22"/>
        </w:rPr>
        <w:t>(Sutherland,</w:t>
      </w:r>
      <w:r>
        <w:rPr>
          <w:spacing w:val="-46"/>
          <w:sz w:val="22"/>
        </w:rPr>
        <w:t> </w:t>
      </w:r>
      <w:r>
        <w:rPr>
          <w:sz w:val="22"/>
        </w:rPr>
        <w:t>1988)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line="482" w:lineRule="auto" w:before="141"/>
        <w:ind w:left="120" w:right="660"/>
      </w:pPr>
      <w:r>
        <w:rPr/>
        <w:t>It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structurally</w:t>
      </w:r>
      <w:r>
        <w:rPr>
          <w:spacing w:val="-5"/>
        </w:rPr>
        <w:t> </w:t>
      </w:r>
      <w:r>
        <w:rPr/>
        <w:t>warped</w:t>
      </w:r>
      <w:r>
        <w:rPr>
          <w:spacing w:val="-2"/>
        </w:rPr>
        <w:t> </w:t>
      </w:r>
      <w:r>
        <w:rPr/>
        <w:t>with</w:t>
      </w:r>
      <w:r>
        <w:rPr>
          <w:spacing w:val="-1"/>
        </w:rPr>
        <w:t> </w:t>
      </w:r>
      <w:r>
        <w:rPr/>
        <w:t>many</w:t>
      </w:r>
      <w:r>
        <w:rPr>
          <w:spacing w:val="-2"/>
        </w:rPr>
        <w:t> </w:t>
      </w:r>
      <w:r>
        <w:rPr/>
        <w:t>high-angle</w:t>
      </w:r>
      <w:r>
        <w:rPr>
          <w:spacing w:val="-3"/>
        </w:rPr>
        <w:t> </w:t>
      </w:r>
      <w:r>
        <w:rPr/>
        <w:t>normal</w:t>
      </w:r>
      <w:r>
        <w:rPr>
          <w:spacing w:val="-2"/>
        </w:rPr>
        <w:t> </w:t>
      </w:r>
      <w:r>
        <w:rPr/>
        <w:t>faults</w:t>
      </w:r>
      <w:r>
        <w:rPr>
          <w:spacing w:val="-2"/>
        </w:rPr>
        <w:t> </w:t>
      </w:r>
      <w:r>
        <w:rPr/>
        <w:t>formed</w:t>
      </w:r>
      <w:r>
        <w:rPr>
          <w:spacing w:val="-2"/>
        </w:rPr>
        <w:t> </w:t>
      </w:r>
      <w:r>
        <w:rPr/>
        <w:t>at</w:t>
      </w:r>
      <w:r>
        <w:rPr>
          <w:spacing w:val="-2"/>
        </w:rPr>
        <w:t> </w:t>
      </w:r>
      <w:r>
        <w:rPr/>
        <w:t>deposition</w:t>
      </w:r>
      <w:r>
        <w:rPr>
          <w:spacing w:val="-2"/>
        </w:rPr>
        <w:t> </w:t>
      </w:r>
      <w:r>
        <w:rPr/>
        <w:t>during</w:t>
      </w:r>
      <w:r>
        <w:rPr>
          <w:spacing w:val="-3"/>
        </w:rPr>
        <w:t> </w:t>
      </w:r>
      <w:r>
        <w:rPr/>
        <w:t>the</w:t>
      </w:r>
      <w:r>
        <w:rPr>
          <w:spacing w:val="-51"/>
        </w:rPr>
        <w:t> </w:t>
      </w:r>
      <w:r>
        <w:rPr/>
        <w:t>Ouachita</w:t>
      </w:r>
      <w:r>
        <w:rPr>
          <w:spacing w:val="-4"/>
        </w:rPr>
        <w:t> </w:t>
      </w:r>
      <w:r>
        <w:rPr/>
        <w:t>orogeny</w:t>
      </w:r>
      <w:r>
        <w:rPr>
          <w:spacing w:val="1"/>
        </w:rPr>
        <w:t> </w:t>
      </w:r>
      <w:r>
        <w:rPr/>
        <w:t>(Johnson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Suneson,</w:t>
      </w:r>
      <w:r>
        <w:rPr>
          <w:spacing w:val="-3"/>
        </w:rPr>
        <w:t> </w:t>
      </w:r>
      <w:r>
        <w:rPr/>
        <w:t>1997),</w:t>
      </w:r>
      <w:r>
        <w:rPr>
          <w:spacing w:val="-1"/>
        </w:rPr>
        <w:t> </w:t>
      </w:r>
      <w:r>
        <w:rPr/>
        <w:t>(Figure</w:t>
      </w:r>
      <w:r>
        <w:rPr>
          <w:spacing w:val="-2"/>
        </w:rPr>
        <w:t> </w:t>
      </w:r>
      <w:r>
        <w:rPr/>
        <w:t>2).</w:t>
      </w:r>
    </w:p>
    <w:p>
      <w:pPr>
        <w:spacing w:after="0" w:line="482" w:lineRule="auto"/>
        <w:sectPr>
          <w:pgSz w:w="12240" w:h="15840"/>
          <w:pgMar w:header="0" w:footer="1014" w:top="1400" w:bottom="1200" w:left="1320" w:right="820"/>
        </w:sectPr>
      </w:pPr>
    </w:p>
    <w:p>
      <w:pPr>
        <w:pStyle w:val="BodyText"/>
        <w:ind w:left="1372"/>
        <w:rPr>
          <w:sz w:val="20"/>
        </w:rPr>
      </w:pPr>
      <w:r>
        <w:rPr>
          <w:sz w:val="20"/>
        </w:rPr>
        <w:drawing>
          <wp:inline distT="0" distB="0" distL="0" distR="0">
            <wp:extent cx="4355610" cy="4328160"/>
            <wp:effectExtent l="0" t="0" r="0" b="0"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5610" cy="432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1"/>
        <w:rPr>
          <w:sz w:val="7"/>
        </w:rPr>
      </w:pPr>
    </w:p>
    <w:p>
      <w:pPr>
        <w:spacing w:before="56"/>
        <w:ind w:left="120" w:right="660" w:firstLine="0"/>
        <w:jc w:val="left"/>
        <w:rPr>
          <w:sz w:val="22"/>
        </w:rPr>
      </w:pPr>
      <w:r>
        <w:rPr>
          <w:sz w:val="22"/>
        </w:rPr>
        <w:t>Figure</w:t>
      </w:r>
      <w:r>
        <w:rPr>
          <w:spacing w:val="-1"/>
          <w:sz w:val="22"/>
        </w:rPr>
        <w:t> </w:t>
      </w:r>
      <w:r>
        <w:rPr>
          <w:sz w:val="22"/>
        </w:rPr>
        <w:t>2.</w:t>
      </w:r>
      <w:r>
        <w:rPr>
          <w:spacing w:val="-2"/>
          <w:sz w:val="22"/>
        </w:rPr>
        <w:t> </w:t>
      </w:r>
      <w:r>
        <w:rPr>
          <w:sz w:val="22"/>
        </w:rPr>
        <w:t>Geologic</w:t>
      </w:r>
      <w:r>
        <w:rPr>
          <w:spacing w:val="-2"/>
          <w:sz w:val="22"/>
        </w:rPr>
        <w:t> </w:t>
      </w:r>
      <w:r>
        <w:rPr>
          <w:sz w:val="22"/>
        </w:rPr>
        <w:t>map</w:t>
      </w:r>
      <w:r>
        <w:rPr>
          <w:spacing w:val="-2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geologic cross</w:t>
      </w:r>
      <w:r>
        <w:rPr>
          <w:spacing w:val="-4"/>
          <w:sz w:val="22"/>
        </w:rPr>
        <w:t> </w:t>
      </w:r>
      <w:r>
        <w:rPr>
          <w:sz w:val="22"/>
        </w:rPr>
        <w:t>sections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Oklahoma.</w:t>
      </w:r>
      <w:r>
        <w:rPr>
          <w:spacing w:val="-1"/>
          <w:sz w:val="22"/>
        </w:rPr>
        <w:t> </w:t>
      </w:r>
      <w:r>
        <w:rPr>
          <w:sz w:val="22"/>
        </w:rPr>
        <w:t>Cross</w:t>
      </w:r>
      <w:r>
        <w:rPr>
          <w:spacing w:val="-3"/>
          <w:sz w:val="22"/>
        </w:rPr>
        <w:t> </w:t>
      </w:r>
      <w:r>
        <w:rPr>
          <w:sz w:val="22"/>
        </w:rPr>
        <w:t>sections follow lines</w:t>
      </w:r>
      <w:r>
        <w:rPr>
          <w:spacing w:val="-3"/>
          <w:sz w:val="22"/>
        </w:rPr>
        <w:t> </w:t>
      </w:r>
      <w:r>
        <w:rPr>
          <w:sz w:val="22"/>
        </w:rPr>
        <w:t>A-A',</w:t>
      </w:r>
      <w:r>
        <w:rPr>
          <w:spacing w:val="-2"/>
          <w:sz w:val="22"/>
        </w:rPr>
        <w:t> </w:t>
      </w:r>
      <w:r>
        <w:rPr>
          <w:sz w:val="22"/>
        </w:rPr>
        <w:t>B-B',</w:t>
      </w:r>
      <w:r>
        <w:rPr>
          <w:spacing w:val="-47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C-C'</w:t>
      </w:r>
      <w:r>
        <w:rPr>
          <w:spacing w:val="-2"/>
          <w:sz w:val="22"/>
        </w:rPr>
        <w:t> </w:t>
      </w:r>
      <w:r>
        <w:rPr>
          <w:sz w:val="22"/>
        </w:rPr>
        <w:t>on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map</w:t>
      </w:r>
      <w:r>
        <w:rPr>
          <w:spacing w:val="-2"/>
          <w:sz w:val="22"/>
        </w:rPr>
        <w:t> </w:t>
      </w:r>
      <w:r>
        <w:rPr>
          <w:sz w:val="22"/>
        </w:rPr>
        <w:t>(Johnson</w:t>
      </w:r>
      <w:r>
        <w:rPr>
          <w:spacing w:val="-2"/>
          <w:sz w:val="22"/>
        </w:rPr>
        <w:t> </w:t>
      </w:r>
      <w:r>
        <w:rPr>
          <w:sz w:val="22"/>
        </w:rPr>
        <w:t>and Suneson, 1997)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line="480" w:lineRule="auto" w:before="141"/>
        <w:ind w:left="120" w:right="694"/>
      </w:pPr>
      <w:r>
        <w:rPr/>
        <w:t>It has an area of about 87,500 km</w:t>
      </w:r>
      <w:r>
        <w:rPr>
          <w:vertAlign w:val="superscript"/>
        </w:rPr>
        <w:t>2</w:t>
      </w:r>
      <w:r>
        <w:rPr>
          <w:vertAlign w:val="baseline"/>
        </w:rPr>
        <w:t>, with the maximum length being about 507 km and the</w:t>
      </w:r>
      <w:r>
        <w:rPr>
          <w:spacing w:val="1"/>
          <w:vertAlign w:val="baseline"/>
        </w:rPr>
        <w:t> </w:t>
      </w:r>
      <w:r>
        <w:rPr>
          <w:vertAlign w:val="baseline"/>
        </w:rPr>
        <w:t>maximum width being about 282 km (Perry et al., 1995). It is bounded on the north by the</w:t>
      </w:r>
      <w:r>
        <w:rPr>
          <w:spacing w:val="1"/>
          <w:vertAlign w:val="baseline"/>
        </w:rPr>
        <w:t> </w:t>
      </w:r>
      <w:r>
        <w:rPr>
          <w:vertAlign w:val="baseline"/>
        </w:rPr>
        <w:t>Ozark uplift and the Northeast Oklahoma platform (Figure 3). In the south, it is bounded by the</w:t>
      </w:r>
      <w:r>
        <w:rPr>
          <w:spacing w:val="-52"/>
          <w:vertAlign w:val="baseline"/>
        </w:rPr>
        <w:t> </w:t>
      </w:r>
      <w:r>
        <w:rPr>
          <w:vertAlign w:val="baseline"/>
        </w:rPr>
        <w:t>Choctaw fault in Oklahoma and the Ross Creek fault in Arkansas (Sutherland, 1988). It is</w:t>
      </w:r>
      <w:r>
        <w:rPr>
          <w:spacing w:val="1"/>
          <w:vertAlign w:val="baseline"/>
        </w:rPr>
        <w:t> </w:t>
      </w:r>
      <w:r>
        <w:rPr>
          <w:vertAlign w:val="baseline"/>
        </w:rPr>
        <w:t>separated from the Ozark uplift by the south-dipping Mulberry Fault in the northeast. Finally, it</w:t>
      </w:r>
      <w:r>
        <w:rPr>
          <w:spacing w:val="-52"/>
          <w:vertAlign w:val="baseline"/>
        </w:rPr>
        <w:t> </w:t>
      </w:r>
      <w:r>
        <w:rPr>
          <w:vertAlign w:val="baseline"/>
        </w:rPr>
        <w:t>is</w:t>
      </w:r>
      <w:r>
        <w:rPr>
          <w:spacing w:val="-2"/>
          <w:vertAlign w:val="baseline"/>
        </w:rPr>
        <w:t> </w:t>
      </w:r>
      <w:r>
        <w:rPr>
          <w:vertAlign w:val="baseline"/>
        </w:rPr>
        <w:t>bounded</w:t>
      </w:r>
      <w:r>
        <w:rPr>
          <w:spacing w:val="-2"/>
          <w:vertAlign w:val="baseline"/>
        </w:rPr>
        <w:t> </w:t>
      </w:r>
      <w:r>
        <w:rPr>
          <w:vertAlign w:val="baseline"/>
        </w:rPr>
        <w:t>by</w:t>
      </w:r>
      <w:r>
        <w:rPr>
          <w:spacing w:val="-4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Seminole</w:t>
      </w:r>
      <w:r>
        <w:rPr>
          <w:spacing w:val="3"/>
          <w:vertAlign w:val="baseline"/>
        </w:rPr>
        <w:t> </w:t>
      </w:r>
      <w:r>
        <w:rPr>
          <w:vertAlign w:val="baseline"/>
        </w:rPr>
        <w:t>Arch</w:t>
      </w:r>
      <w:r>
        <w:rPr>
          <w:spacing w:val="-2"/>
          <w:vertAlign w:val="baseline"/>
        </w:rPr>
        <w:t> </w:t>
      </w:r>
      <w:r>
        <w:rPr>
          <w:vertAlign w:val="baseline"/>
        </w:rPr>
        <w:t>on the</w:t>
      </w:r>
      <w:r>
        <w:rPr>
          <w:spacing w:val="-1"/>
          <w:vertAlign w:val="baseline"/>
        </w:rPr>
        <w:t> </w:t>
      </w:r>
      <w:r>
        <w:rPr>
          <w:vertAlign w:val="baseline"/>
        </w:rPr>
        <w:t>West</w:t>
      </w:r>
      <w:r>
        <w:rPr>
          <w:spacing w:val="-2"/>
          <w:vertAlign w:val="baseline"/>
        </w:rPr>
        <w:t> </w:t>
      </w:r>
      <w:r>
        <w:rPr>
          <w:vertAlign w:val="baseline"/>
        </w:rPr>
        <w:t>(Suneson,</w:t>
      </w:r>
      <w:r>
        <w:rPr>
          <w:spacing w:val="-4"/>
          <w:vertAlign w:val="baseline"/>
        </w:rPr>
        <w:t> </w:t>
      </w:r>
      <w:r>
        <w:rPr>
          <w:vertAlign w:val="baseline"/>
        </w:rPr>
        <w:t>2012).</w:t>
      </w:r>
      <w:r>
        <w:rPr>
          <w:spacing w:val="-2"/>
          <w:vertAlign w:val="baseline"/>
        </w:rPr>
        <w:t> </w:t>
      </w:r>
      <w:r>
        <w:rPr>
          <w:vertAlign w:val="baseline"/>
        </w:rPr>
        <w:t>It</w:t>
      </w:r>
      <w:r>
        <w:rPr>
          <w:spacing w:val="-2"/>
          <w:vertAlign w:val="baseline"/>
        </w:rPr>
        <w:t> </w:t>
      </w:r>
      <w:r>
        <w:rPr>
          <w:vertAlign w:val="baseline"/>
        </w:rPr>
        <w:t>ranges</w:t>
      </w:r>
      <w:r>
        <w:rPr>
          <w:spacing w:val="-3"/>
          <w:vertAlign w:val="baseline"/>
        </w:rPr>
        <w:t> </w:t>
      </w:r>
      <w:r>
        <w:rPr>
          <w:vertAlign w:val="baseline"/>
        </w:rPr>
        <w:t>from</w:t>
      </w:r>
      <w:r>
        <w:rPr>
          <w:spacing w:val="-1"/>
          <w:vertAlign w:val="baseline"/>
        </w:rPr>
        <w:t> </w:t>
      </w:r>
      <w:r>
        <w:rPr>
          <w:vertAlign w:val="baseline"/>
        </w:rPr>
        <w:t>914</w:t>
      </w:r>
      <w:r>
        <w:rPr>
          <w:spacing w:val="-2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6096</w:t>
      </w:r>
      <w:r>
        <w:rPr>
          <w:spacing w:val="-3"/>
          <w:vertAlign w:val="baseline"/>
        </w:rPr>
        <w:t> </w:t>
      </w:r>
      <w:r>
        <w:rPr>
          <w:vertAlign w:val="baseline"/>
        </w:rPr>
        <w:t>m</w:t>
      </w:r>
      <w:r>
        <w:rPr>
          <w:spacing w:val="-1"/>
          <w:vertAlign w:val="baseline"/>
        </w:rPr>
        <w:t> </w:t>
      </w:r>
      <w:r>
        <w:rPr>
          <w:vertAlign w:val="baseline"/>
        </w:rPr>
        <w:t>in</w:t>
      </w:r>
      <w:r>
        <w:rPr>
          <w:spacing w:val="-51"/>
          <w:vertAlign w:val="baseline"/>
        </w:rPr>
        <w:t> </w:t>
      </w:r>
      <w:r>
        <w:rPr>
          <w:vertAlign w:val="baseline"/>
        </w:rPr>
        <w:t>depth,</w:t>
      </w:r>
      <w:r>
        <w:rPr>
          <w:spacing w:val="-2"/>
          <w:vertAlign w:val="baseline"/>
        </w:rPr>
        <w:t> </w:t>
      </w:r>
      <w:r>
        <w:rPr>
          <w:vertAlign w:val="baseline"/>
        </w:rPr>
        <w:t>where</w:t>
      </w:r>
      <w:r>
        <w:rPr>
          <w:spacing w:val="-2"/>
          <w:vertAlign w:val="baseline"/>
        </w:rPr>
        <w:t> </w:t>
      </w:r>
      <w:r>
        <w:rPr>
          <w:vertAlign w:val="baseline"/>
        </w:rPr>
        <w:t>the</w:t>
      </w:r>
      <w:r>
        <w:rPr>
          <w:spacing w:val="-1"/>
          <w:vertAlign w:val="baseline"/>
        </w:rPr>
        <w:t> </w:t>
      </w:r>
      <w:r>
        <w:rPr>
          <w:vertAlign w:val="baseline"/>
        </w:rPr>
        <w:t>deepest</w:t>
      </w:r>
      <w:r>
        <w:rPr>
          <w:spacing w:val="3"/>
          <w:vertAlign w:val="baseline"/>
        </w:rPr>
        <w:t> </w:t>
      </w:r>
      <w:r>
        <w:rPr>
          <w:vertAlign w:val="baseline"/>
        </w:rPr>
        <w:t>regions</w:t>
      </w:r>
      <w:r>
        <w:rPr>
          <w:spacing w:val="-2"/>
          <w:vertAlign w:val="baseline"/>
        </w:rPr>
        <w:t> </w:t>
      </w:r>
      <w:r>
        <w:rPr>
          <w:vertAlign w:val="baseline"/>
        </w:rPr>
        <w:t>are</w:t>
      </w:r>
      <w:r>
        <w:rPr>
          <w:spacing w:val="-1"/>
          <w:vertAlign w:val="baseline"/>
        </w:rPr>
        <w:t> </w:t>
      </w:r>
      <w:r>
        <w:rPr>
          <w:vertAlign w:val="baseline"/>
        </w:rPr>
        <w:t>in</w:t>
      </w:r>
      <w:r>
        <w:rPr>
          <w:spacing w:val="-1"/>
          <w:vertAlign w:val="baseline"/>
        </w:rPr>
        <w:t> </w:t>
      </w:r>
      <w:r>
        <w:rPr>
          <w:vertAlign w:val="baseline"/>
        </w:rPr>
        <w:t>Oklahoma</w:t>
      </w:r>
      <w:r>
        <w:rPr>
          <w:spacing w:val="-1"/>
          <w:vertAlign w:val="baseline"/>
        </w:rPr>
        <w:t> </w:t>
      </w:r>
      <w:r>
        <w:rPr>
          <w:vertAlign w:val="baseline"/>
        </w:rPr>
        <w:t>(Perry</w:t>
      </w:r>
      <w:r>
        <w:rPr>
          <w:spacing w:val="-3"/>
          <w:vertAlign w:val="baseline"/>
        </w:rPr>
        <w:t> </w:t>
      </w:r>
      <w:r>
        <w:rPr>
          <w:vertAlign w:val="baseline"/>
        </w:rPr>
        <w:t>et</w:t>
      </w:r>
      <w:r>
        <w:rPr>
          <w:spacing w:val="-1"/>
          <w:vertAlign w:val="baseline"/>
        </w:rPr>
        <w:t> </w:t>
      </w:r>
      <w:r>
        <w:rPr>
          <w:vertAlign w:val="baseline"/>
        </w:rPr>
        <w:t>al.,</w:t>
      </w:r>
      <w:r>
        <w:rPr>
          <w:spacing w:val="-3"/>
          <w:vertAlign w:val="baseline"/>
        </w:rPr>
        <w:t> </w:t>
      </w:r>
      <w:r>
        <w:rPr>
          <w:vertAlign w:val="baseline"/>
        </w:rPr>
        <w:t>1995).</w:t>
      </w:r>
    </w:p>
    <w:p>
      <w:pPr>
        <w:spacing w:after="0" w:line="480" w:lineRule="auto"/>
        <w:sectPr>
          <w:pgSz w:w="12240" w:h="15840"/>
          <w:pgMar w:header="0" w:footer="1014" w:top="1440" w:bottom="1200" w:left="1320" w:right="820"/>
        </w:sectPr>
      </w:pPr>
    </w:p>
    <w:p>
      <w:pPr>
        <w:pStyle w:val="BodyText"/>
        <w:spacing w:line="480" w:lineRule="auto" w:before="39"/>
        <w:ind w:left="120" w:right="629" w:firstLine="720"/>
      </w:pPr>
      <w:r>
        <w:rPr/>
        <w:t>The Woodford Shale was deposited unconformably on top of the Hunton Group, which</w:t>
      </w:r>
      <w:r>
        <w:rPr>
          <w:spacing w:val="1"/>
        </w:rPr>
        <w:t> </w:t>
      </w:r>
      <w:r>
        <w:rPr/>
        <w:t>are shelf carbonates, and it is overlain by the Sycamore Limestone (Turner et al., 2016). It was</w:t>
      </w:r>
      <w:r>
        <w:rPr>
          <w:spacing w:val="1"/>
        </w:rPr>
        <w:t> </w:t>
      </w:r>
      <w:r>
        <w:rPr/>
        <w:t>formed by</w:t>
      </w:r>
      <w:r>
        <w:rPr>
          <w:spacing w:val="1"/>
        </w:rPr>
        <w:t> </w:t>
      </w:r>
      <w:r>
        <w:rPr/>
        <w:t>fine-grained</w:t>
      </w:r>
      <w:r>
        <w:rPr>
          <w:spacing w:val="6"/>
        </w:rPr>
        <w:t> </w:t>
      </w:r>
      <w:r>
        <w:rPr/>
        <w:t>siliciclastic</w:t>
      </w:r>
      <w:r>
        <w:rPr>
          <w:spacing w:val="1"/>
        </w:rPr>
        <w:t> </w:t>
      </w:r>
      <w:r>
        <w:rPr/>
        <w:t>hemipelagic</w:t>
      </w:r>
      <w:r>
        <w:rPr>
          <w:spacing w:val="1"/>
        </w:rPr>
        <w:t> </w:t>
      </w:r>
      <w:r>
        <w:rPr/>
        <w:t>rain</w:t>
      </w:r>
      <w:r>
        <w:rPr>
          <w:spacing w:val="1"/>
        </w:rPr>
        <w:t> </w:t>
      </w:r>
      <w:r>
        <w:rPr/>
        <w:t>and/or</w:t>
      </w:r>
      <w:r>
        <w:rPr>
          <w:spacing w:val="2"/>
        </w:rPr>
        <w:t> </w:t>
      </w:r>
      <w:r>
        <w:rPr/>
        <w:t>hyperpycnites</w:t>
      </w:r>
      <w:r>
        <w:rPr>
          <w:spacing w:val="1"/>
        </w:rPr>
        <w:t> </w:t>
      </w:r>
      <w:r>
        <w:rPr/>
        <w:t>and</w:t>
      </w:r>
      <w:r>
        <w:rPr>
          <w:spacing w:val="2"/>
        </w:rPr>
        <w:t> </w:t>
      </w:r>
      <w:r>
        <w:rPr/>
        <w:t>turbidites</w:t>
      </w:r>
      <w:r>
        <w:rPr>
          <w:spacing w:val="5"/>
        </w:rPr>
        <w:t> </w:t>
      </w:r>
      <w:r>
        <w:rPr/>
        <w:t>(Slatt</w:t>
      </w:r>
      <w:r>
        <w:rPr>
          <w:spacing w:val="1"/>
        </w:rPr>
        <w:t> </w:t>
      </w:r>
      <w:r>
        <w:rPr/>
        <w:t>et al., 2012a). The Woodford Shale ranges from 18 to 67 m thick (Turner et al., 2016). It crops</w:t>
      </w:r>
      <w:r>
        <w:rPr>
          <w:spacing w:val="1"/>
        </w:rPr>
        <w:t> </w:t>
      </w:r>
      <w:r>
        <w:rPr/>
        <w:t>out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Lawrence</w:t>
      </w:r>
      <w:r>
        <w:rPr>
          <w:spacing w:val="-3"/>
        </w:rPr>
        <w:t> </w:t>
      </w:r>
      <w:r>
        <w:rPr/>
        <w:t>Uplift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a</w:t>
      </w:r>
      <w:r>
        <w:rPr>
          <w:spacing w:val="-4"/>
        </w:rPr>
        <w:t> </w:t>
      </w:r>
      <w:r>
        <w:rPr/>
        <w:t>thickness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less</w:t>
      </w:r>
      <w:r>
        <w:rPr>
          <w:spacing w:val="-4"/>
        </w:rPr>
        <w:t> </w:t>
      </w:r>
      <w:r>
        <w:rPr/>
        <w:t>than</w:t>
      </w:r>
      <w:r>
        <w:rPr>
          <w:spacing w:val="-2"/>
        </w:rPr>
        <w:t> </w:t>
      </w:r>
      <w:r>
        <w:rPr/>
        <w:t>15</w:t>
      </w:r>
      <w:r>
        <w:rPr>
          <w:spacing w:val="1"/>
        </w:rPr>
        <w:t> </w:t>
      </w:r>
      <w:r>
        <w:rPr/>
        <w:t>meters</w:t>
      </w:r>
      <w:r>
        <w:rPr>
          <w:spacing w:val="-2"/>
        </w:rPr>
        <w:t> </w:t>
      </w:r>
      <w:r>
        <w:rPr/>
        <w:t>(Molinares-Blanco,</w:t>
      </w:r>
      <w:r>
        <w:rPr>
          <w:spacing w:val="-2"/>
        </w:rPr>
        <w:t> </w:t>
      </w:r>
      <w:r>
        <w:rPr/>
        <w:t>2013).</w:t>
      </w:r>
      <w:r>
        <w:rPr>
          <w:spacing w:val="-5"/>
        </w:rPr>
        <w:t> </w:t>
      </w:r>
      <w:r>
        <w:rPr/>
        <w:t>The</w:t>
      </w:r>
      <w:r>
        <w:rPr>
          <w:spacing w:val="-51"/>
        </w:rPr>
        <w:t> </w:t>
      </w:r>
      <w:r>
        <w:rPr/>
        <w:t>Lawrence Uplift occurred in the Pennsylvanian and is bounded by the Ahloso Fault in the north</w:t>
      </w:r>
      <w:r>
        <w:rPr>
          <w:spacing w:val="1"/>
        </w:rPr>
        <w:t> </w:t>
      </w:r>
      <w:r>
        <w:rPr/>
        <w:t>and the Stonewall Fault in the south (Portas and Slatt, 2010). The Woodford Shale in this study</w:t>
      </w:r>
      <w:r>
        <w:rPr>
          <w:spacing w:val="1"/>
        </w:rPr>
        <w:t> </w:t>
      </w:r>
      <w:r>
        <w:rPr/>
        <w:t>is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Laurence</w:t>
      </w:r>
      <w:r>
        <w:rPr>
          <w:spacing w:val="-2"/>
        </w:rPr>
        <w:t> </w:t>
      </w:r>
      <w:r>
        <w:rPr/>
        <w:t>Uplift</w:t>
      </w:r>
      <w:r>
        <w:rPr>
          <w:spacing w:val="-2"/>
        </w:rPr>
        <w:t> </w:t>
      </w:r>
      <w:r>
        <w:rPr/>
        <w:t>and</w:t>
      </w:r>
      <w:r>
        <w:rPr>
          <w:spacing w:val="2"/>
        </w:rPr>
        <w:t> </w:t>
      </w:r>
      <w:r>
        <w:rPr/>
        <w:t>is</w:t>
      </w:r>
      <w:r>
        <w:rPr>
          <w:spacing w:val="-3"/>
        </w:rPr>
        <w:t> </w:t>
      </w:r>
      <w:r>
        <w:rPr/>
        <w:t>about</w:t>
      </w:r>
      <w:r>
        <w:rPr>
          <w:spacing w:val="-3"/>
        </w:rPr>
        <w:t> </w:t>
      </w:r>
      <w:r>
        <w:rPr/>
        <w:t>37</w:t>
      </w:r>
      <w:r>
        <w:rPr>
          <w:spacing w:val="2"/>
        </w:rPr>
        <w:t> </w:t>
      </w:r>
      <w:r>
        <w:rPr/>
        <w:t>meters</w:t>
      </w:r>
      <w:r>
        <w:rPr>
          <w:spacing w:val="-4"/>
        </w:rPr>
        <w:t> </w:t>
      </w:r>
      <w:r>
        <w:rPr/>
        <w:t>thick;</w:t>
      </w:r>
      <w:r>
        <w:rPr>
          <w:spacing w:val="-2"/>
        </w:rPr>
        <w:t> </w:t>
      </w:r>
      <w:r>
        <w:rPr/>
        <w:t>it</w:t>
      </w:r>
      <w:r>
        <w:rPr>
          <w:spacing w:val="3"/>
        </w:rPr>
        <w:t> </w:t>
      </w:r>
      <w:r>
        <w:rPr/>
        <w:t>is</w:t>
      </w:r>
      <w:r>
        <w:rPr>
          <w:spacing w:val="-4"/>
        </w:rPr>
        <w:t> </w:t>
      </w:r>
      <w:r>
        <w:rPr/>
        <w:t>a</w:t>
      </w:r>
      <w:r>
        <w:rPr>
          <w:spacing w:val="2"/>
        </w:rPr>
        <w:t> </w:t>
      </w:r>
      <w:r>
        <w:rPr/>
        <w:t>core</w:t>
      </w:r>
      <w:r>
        <w:rPr>
          <w:spacing w:val="-3"/>
        </w:rPr>
        <w:t> </w:t>
      </w:r>
      <w:r>
        <w:rPr/>
        <w:t>taken</w:t>
      </w:r>
      <w:r>
        <w:rPr>
          <w:spacing w:val="-3"/>
        </w:rPr>
        <w:t> </w:t>
      </w:r>
      <w:r>
        <w:rPr/>
        <w:t>from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Wyche</w:t>
      </w:r>
      <w:r>
        <w:rPr>
          <w:spacing w:val="-2"/>
        </w:rPr>
        <w:t> </w:t>
      </w:r>
      <w:r>
        <w:rPr/>
        <w:t>shale</w:t>
      </w:r>
      <w:r>
        <w:rPr>
          <w:spacing w:val="-2"/>
        </w:rPr>
        <w:t> </w:t>
      </w:r>
      <w:r>
        <w:rPr/>
        <w:t>pit</w:t>
      </w:r>
      <w:r>
        <w:rPr>
          <w:spacing w:val="-51"/>
        </w:rPr>
        <w:t> </w:t>
      </w:r>
      <w:r>
        <w:rPr/>
        <w:t>and the Wyche-1 well. The Woodford Shale is divided into three members, the Lower, Middle,</w:t>
      </w:r>
      <w:r>
        <w:rPr>
          <w:spacing w:val="1"/>
        </w:rPr>
        <w:t> </w:t>
      </w:r>
      <w:r>
        <w:rPr/>
        <w:t>and Upper. These divisions have been determined through various methods, each of which</w:t>
      </w:r>
      <w:r>
        <w:rPr>
          <w:spacing w:val="1"/>
        </w:rPr>
        <w:t> </w:t>
      </w:r>
      <w:r>
        <w:rPr/>
        <w:t>generally agree on where the divisions should be placed. Urban (1960) divided it by</w:t>
      </w:r>
      <w:r>
        <w:rPr>
          <w:spacing w:val="1"/>
        </w:rPr>
        <w:t> </w:t>
      </w:r>
      <w:r>
        <w:rPr/>
        <w:t>palynological</w:t>
      </w:r>
      <w:r>
        <w:rPr>
          <w:spacing w:val="-4"/>
        </w:rPr>
        <w:t> </w:t>
      </w:r>
      <w:r>
        <w:rPr/>
        <w:t>data,</w:t>
      </w:r>
      <w:r>
        <w:rPr>
          <w:spacing w:val="-3"/>
        </w:rPr>
        <w:t> </w:t>
      </w:r>
      <w:r>
        <w:rPr/>
        <w:t>whereas</w:t>
      </w:r>
      <w:r>
        <w:rPr>
          <w:spacing w:val="1"/>
        </w:rPr>
        <w:t> </w:t>
      </w:r>
      <w:r>
        <w:rPr/>
        <w:t>Over</w:t>
      </w:r>
      <w:r>
        <w:rPr>
          <w:spacing w:val="-2"/>
        </w:rPr>
        <w:t> </w:t>
      </w:r>
      <w:r>
        <w:rPr/>
        <w:t>(1990)</w:t>
      </w:r>
      <w:r>
        <w:rPr>
          <w:spacing w:val="-2"/>
        </w:rPr>
        <w:t> </w:t>
      </w:r>
      <w:r>
        <w:rPr/>
        <w:t>placed</w:t>
      </w:r>
      <w:r>
        <w:rPr>
          <w:spacing w:val="-3"/>
        </w:rPr>
        <w:t> </w:t>
      </w:r>
      <w:r>
        <w:rPr/>
        <w:t>the divisions</w:t>
      </w:r>
      <w:r>
        <w:rPr>
          <w:spacing w:val="-3"/>
        </w:rPr>
        <w:t> </w:t>
      </w:r>
      <w:r>
        <w:rPr/>
        <w:t>based</w:t>
      </w:r>
      <w:r>
        <w:rPr>
          <w:spacing w:val="-2"/>
        </w:rPr>
        <w:t> </w:t>
      </w:r>
      <w:r>
        <w:rPr/>
        <w:t>on</w:t>
      </w:r>
      <w:r>
        <w:rPr>
          <w:spacing w:val="-1"/>
        </w:rPr>
        <w:t> </w:t>
      </w:r>
      <w:r>
        <w:rPr/>
        <w:t>conodont</w:t>
      </w:r>
      <w:r>
        <w:rPr>
          <w:spacing w:val="-3"/>
        </w:rPr>
        <w:t> </w:t>
      </w:r>
      <w:r>
        <w:rPr/>
        <w:t>stratigraphy.</w:t>
      </w:r>
    </w:p>
    <w:p>
      <w:pPr>
        <w:pStyle w:val="BodyText"/>
        <w:spacing w:line="480" w:lineRule="auto" w:before="1"/>
        <w:ind w:left="120" w:right="636"/>
      </w:pPr>
      <w:r>
        <w:rPr/>
        <w:t>Gamma-ray spectroscopy has also been used to locate the divisions along with lithologic</w:t>
      </w:r>
      <w:r>
        <w:rPr>
          <w:spacing w:val="1"/>
        </w:rPr>
        <w:t> </w:t>
      </w:r>
      <w:r>
        <w:rPr/>
        <w:t>attributes (Abousleiman et al., 2007; Romero and Philp, 2012; Molinares-Blanco, 2013, 2019;</w:t>
      </w:r>
      <w:r>
        <w:rPr>
          <w:spacing w:val="1"/>
        </w:rPr>
        <w:t> </w:t>
      </w:r>
      <w:r>
        <w:rPr/>
        <w:t>Turner et al., 2015). The Lower Woodford Shale is characterized as black-gray, fissile,</w:t>
      </w:r>
      <w:r>
        <w:rPr>
          <w:spacing w:val="1"/>
        </w:rPr>
        <w:t> </w:t>
      </w:r>
      <w:r>
        <w:rPr/>
        <w:t>siliceous/carbonaceous shale (Molinares-Blanco, 2013, 2019; Turner et al., 2015). The Middle</w:t>
      </w:r>
      <w:r>
        <w:rPr>
          <w:spacing w:val="1"/>
        </w:rPr>
        <w:t> </w:t>
      </w:r>
      <w:r>
        <w:rPr/>
        <w:t>Woodford Shale is pyritic, black shale, which has the highest gamma-ray values resulting from</w:t>
      </w:r>
      <w:r>
        <w:rPr>
          <w:spacing w:val="1"/>
        </w:rPr>
        <w:t> </w:t>
      </w:r>
      <w:r>
        <w:rPr/>
        <w:t>the high organic matter (Slatt et al., 2012a; Molinares-Blanco, 2013, 2019). The Upper</w:t>
      </w:r>
      <w:r>
        <w:rPr>
          <w:spacing w:val="1"/>
        </w:rPr>
        <w:t> </w:t>
      </w:r>
      <w:r>
        <w:rPr/>
        <w:t>Woodford Shale is a quartzose, phosphatic gray-black shale which can be easily distinguished</w:t>
      </w:r>
      <w:r>
        <w:rPr>
          <w:spacing w:val="1"/>
        </w:rPr>
        <w:t> </w:t>
      </w:r>
      <w:r>
        <w:rPr/>
        <w:t>from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Lower Woodford</w:t>
      </w:r>
      <w:r>
        <w:rPr>
          <w:spacing w:val="1"/>
        </w:rPr>
        <w:t> </w:t>
      </w:r>
      <w:r>
        <w:rPr/>
        <w:t>Shale</w:t>
      </w:r>
      <w:r>
        <w:rPr>
          <w:spacing w:val="-4"/>
        </w:rPr>
        <w:t> </w:t>
      </w:r>
      <w:r>
        <w:rPr/>
        <w:t>by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phosphate</w:t>
      </w:r>
      <w:r>
        <w:rPr>
          <w:spacing w:val="-3"/>
        </w:rPr>
        <w:t> </w:t>
      </w:r>
      <w:r>
        <w:rPr/>
        <w:t>nodules</w:t>
      </w:r>
      <w:r>
        <w:rPr>
          <w:spacing w:val="-3"/>
        </w:rPr>
        <w:t> </w:t>
      </w:r>
      <w:r>
        <w:rPr/>
        <w:t>and</w:t>
      </w:r>
      <w:r>
        <w:rPr>
          <w:spacing w:val="1"/>
        </w:rPr>
        <w:t> </w:t>
      </w:r>
      <w:r>
        <w:rPr/>
        <w:t>silicified</w:t>
      </w:r>
      <w:r>
        <w:rPr>
          <w:spacing w:val="-3"/>
        </w:rPr>
        <w:t> </w:t>
      </w:r>
      <w:r>
        <w:rPr/>
        <w:t>logs</w:t>
      </w:r>
      <w:r>
        <w:rPr>
          <w:spacing w:val="-3"/>
        </w:rPr>
        <w:t> </w:t>
      </w:r>
      <w:r>
        <w:rPr/>
        <w:t>it</w:t>
      </w:r>
      <w:r>
        <w:rPr>
          <w:spacing w:val="-3"/>
        </w:rPr>
        <w:t> </w:t>
      </w:r>
      <w:r>
        <w:rPr/>
        <w:t>contains</w:t>
      </w:r>
      <w:r>
        <w:rPr>
          <w:spacing w:val="-3"/>
        </w:rPr>
        <w:t> </w:t>
      </w:r>
      <w:r>
        <w:rPr/>
        <w:t>(Slatt et</w:t>
      </w:r>
      <w:r>
        <w:rPr>
          <w:spacing w:val="-51"/>
        </w:rPr>
        <w:t> </w:t>
      </w:r>
      <w:r>
        <w:rPr/>
        <w:t>al.,</w:t>
      </w:r>
      <w:r>
        <w:rPr>
          <w:spacing w:val="-2"/>
        </w:rPr>
        <w:t> </w:t>
      </w:r>
      <w:r>
        <w:rPr/>
        <w:t>2012a;</w:t>
      </w:r>
      <w:r>
        <w:rPr>
          <w:spacing w:val="-2"/>
        </w:rPr>
        <w:t> </w:t>
      </w:r>
      <w:r>
        <w:rPr/>
        <w:t>Molinares-Blanco,</w:t>
      </w:r>
      <w:r>
        <w:rPr>
          <w:spacing w:val="-1"/>
        </w:rPr>
        <w:t> </w:t>
      </w:r>
      <w:r>
        <w:rPr/>
        <w:t>2013,</w:t>
      </w:r>
      <w:r>
        <w:rPr>
          <w:spacing w:val="-2"/>
        </w:rPr>
        <w:t> </w:t>
      </w:r>
      <w:r>
        <w:rPr/>
        <w:t>2019;</w:t>
      </w:r>
      <w:r>
        <w:rPr>
          <w:spacing w:val="-2"/>
        </w:rPr>
        <w:t> </w:t>
      </w:r>
      <w:r>
        <w:rPr/>
        <w:t>Turner</w:t>
      </w:r>
      <w:r>
        <w:rPr>
          <w:spacing w:val="-4"/>
        </w:rPr>
        <w:t> </w:t>
      </w:r>
      <w:r>
        <w:rPr/>
        <w:t>et</w:t>
      </w:r>
      <w:r>
        <w:rPr>
          <w:spacing w:val="2"/>
        </w:rPr>
        <w:t> </w:t>
      </w:r>
      <w:r>
        <w:rPr/>
        <w:t>al.,</w:t>
      </w:r>
      <w:r>
        <w:rPr>
          <w:spacing w:val="-4"/>
        </w:rPr>
        <w:t> </w:t>
      </w:r>
      <w:r>
        <w:rPr/>
        <w:t>2015).</w:t>
      </w:r>
      <w:r>
        <w:rPr>
          <w:spacing w:val="-1"/>
        </w:rPr>
        <w:t> </w:t>
      </w:r>
      <w:r>
        <w:rPr/>
        <w:t>In</w:t>
      </w:r>
      <w:r>
        <w:rPr>
          <w:spacing w:val="-3"/>
        </w:rPr>
        <w:t> </w:t>
      </w:r>
      <w:r>
        <w:rPr/>
        <w:t>this</w:t>
      </w:r>
      <w:r>
        <w:rPr>
          <w:spacing w:val="-1"/>
        </w:rPr>
        <w:t> </w:t>
      </w:r>
      <w:r>
        <w:rPr/>
        <w:t>study,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Wyche-1</w:t>
      </w:r>
      <w:r>
        <w:rPr>
          <w:spacing w:val="-3"/>
        </w:rPr>
        <w:t> </w:t>
      </w:r>
      <w:r>
        <w:rPr/>
        <w:t>well</w:t>
      </w:r>
    </w:p>
    <w:p>
      <w:pPr>
        <w:spacing w:after="0" w:line="480" w:lineRule="auto"/>
        <w:sectPr>
          <w:pgSz w:w="12240" w:h="15840"/>
          <w:pgMar w:header="0" w:footer="1014" w:top="1400" w:bottom="1200" w:left="1320" w:right="820"/>
        </w:sectPr>
      </w:pPr>
    </w:p>
    <w:p>
      <w:pPr>
        <w:pStyle w:val="BodyText"/>
        <w:spacing w:line="480" w:lineRule="auto" w:before="39"/>
        <w:ind w:left="120" w:right="1088"/>
      </w:pPr>
      <w:r>
        <w:rPr/>
        <w:t>core</w:t>
      </w:r>
      <w:r>
        <w:rPr>
          <w:spacing w:val="-3"/>
        </w:rPr>
        <w:t> </w:t>
      </w:r>
      <w:r>
        <w:rPr/>
        <w:t>has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Upper-Middle</w:t>
      </w:r>
      <w:r>
        <w:rPr>
          <w:spacing w:val="2"/>
        </w:rPr>
        <w:t> </w:t>
      </w:r>
      <w:r>
        <w:rPr/>
        <w:t>Woodford</w:t>
      </w:r>
      <w:r>
        <w:rPr>
          <w:spacing w:val="-3"/>
        </w:rPr>
        <w:t> </w:t>
      </w:r>
      <w:r>
        <w:rPr/>
        <w:t>Shale</w:t>
      </w:r>
      <w:r>
        <w:rPr>
          <w:spacing w:val="-3"/>
        </w:rPr>
        <w:t> </w:t>
      </w:r>
      <w:r>
        <w:rPr/>
        <w:t>boundary</w:t>
      </w:r>
      <w:r>
        <w:rPr>
          <w:spacing w:val="-4"/>
        </w:rPr>
        <w:t> </w:t>
      </w:r>
      <w:r>
        <w:rPr/>
        <w:t>at</w:t>
      </w:r>
      <w:r>
        <w:rPr>
          <w:spacing w:val="1"/>
        </w:rPr>
        <w:t> </w:t>
      </w:r>
      <w:r>
        <w:rPr/>
        <w:t>about</w:t>
      </w:r>
      <w:r>
        <w:rPr>
          <w:spacing w:val="1"/>
        </w:rPr>
        <w:t> </w:t>
      </w:r>
      <w:r>
        <w:rPr/>
        <w:t>36</w:t>
      </w:r>
      <w:r>
        <w:rPr>
          <w:spacing w:val="-2"/>
        </w:rPr>
        <w:t> </w:t>
      </w:r>
      <w:r>
        <w:rPr/>
        <w:t>m</w:t>
      </w:r>
      <w:r>
        <w:rPr>
          <w:spacing w:val="-1"/>
        </w:rPr>
        <w:t> </w:t>
      </w:r>
      <w:r>
        <w:rPr/>
        <w:t>and</w:t>
      </w:r>
      <w:r>
        <w:rPr>
          <w:spacing w:val="-3"/>
        </w:rPr>
        <w:t> </w:t>
      </w:r>
      <w:r>
        <w:rPr/>
        <w:t>the Middle-Lower</w:t>
      </w:r>
      <w:r>
        <w:rPr>
          <w:spacing w:val="-52"/>
        </w:rPr>
        <w:t> </w:t>
      </w:r>
      <w:r>
        <w:rPr/>
        <w:t>Woodford</w:t>
      </w:r>
      <w:r>
        <w:rPr>
          <w:spacing w:val="-3"/>
        </w:rPr>
        <w:t> </w:t>
      </w:r>
      <w:r>
        <w:rPr/>
        <w:t>Shale</w:t>
      </w:r>
      <w:r>
        <w:rPr>
          <w:spacing w:val="3"/>
        </w:rPr>
        <w:t> </w:t>
      </w:r>
      <w:r>
        <w:rPr/>
        <w:t>boundary</w:t>
      </w:r>
      <w:r>
        <w:rPr>
          <w:spacing w:val="-2"/>
        </w:rPr>
        <w:t> </w:t>
      </w:r>
      <w:r>
        <w:rPr/>
        <w:t>at</w:t>
      </w:r>
      <w:r>
        <w:rPr>
          <w:spacing w:val="-1"/>
        </w:rPr>
        <w:t> </w:t>
      </w:r>
      <w:r>
        <w:rPr/>
        <w:t>56</w:t>
      </w:r>
      <w:r>
        <w:rPr>
          <w:spacing w:val="2"/>
        </w:rPr>
        <w:t> </w:t>
      </w:r>
      <w:r>
        <w:rPr/>
        <w:t>m</w:t>
      </w:r>
      <w:r>
        <w:rPr>
          <w:spacing w:val="-3"/>
        </w:rPr>
        <w:t> </w:t>
      </w:r>
      <w:r>
        <w:rPr/>
        <w:t>(Romero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Philp,</w:t>
      </w:r>
      <w:r>
        <w:rPr>
          <w:spacing w:val="-3"/>
        </w:rPr>
        <w:t> </w:t>
      </w:r>
      <w:r>
        <w:rPr/>
        <w:t>2012;</w:t>
      </w:r>
      <w:r>
        <w:rPr>
          <w:spacing w:val="-2"/>
        </w:rPr>
        <w:t> </w:t>
      </w:r>
      <w:r>
        <w:rPr/>
        <w:t>Connock</w:t>
      </w:r>
      <w:r>
        <w:rPr>
          <w:spacing w:val="-2"/>
        </w:rPr>
        <w:t> </w:t>
      </w:r>
      <w:r>
        <w:rPr/>
        <w:t>et</w:t>
      </w:r>
      <w:r>
        <w:rPr>
          <w:spacing w:val="-3"/>
        </w:rPr>
        <w:t> </w:t>
      </w:r>
      <w:r>
        <w:rPr/>
        <w:t>al.,</w:t>
      </w:r>
      <w:r>
        <w:rPr>
          <w:spacing w:val="-2"/>
        </w:rPr>
        <w:t> </w:t>
      </w:r>
      <w:r>
        <w:rPr/>
        <w:t>2018).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</w:pPr>
      <w:r>
        <w:rPr/>
        <w:drawing>
          <wp:anchor distT="0" distB="0" distL="0" distR="0" allowOverlap="1" layoutInCell="1" locked="0" behindDoc="0" simplePos="0" relativeHeight="198">
            <wp:simplePos x="0" y="0"/>
            <wp:positionH relativeFrom="page">
              <wp:posOffset>1008888</wp:posOffset>
            </wp:positionH>
            <wp:positionV relativeFrom="paragraph">
              <wp:posOffset>205678</wp:posOffset>
            </wp:positionV>
            <wp:extent cx="5827776" cy="2926079"/>
            <wp:effectExtent l="0" t="0" r="0" b="0"/>
            <wp:wrapTopAndBottom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7776" cy="29260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1"/>
        <w:rPr>
          <w:sz w:val="21"/>
        </w:rPr>
      </w:pPr>
    </w:p>
    <w:p>
      <w:pPr>
        <w:spacing w:before="0"/>
        <w:ind w:left="120" w:right="0" w:firstLine="0"/>
        <w:jc w:val="left"/>
        <w:rPr>
          <w:sz w:val="22"/>
        </w:rPr>
      </w:pPr>
      <w:r>
        <w:rPr>
          <w:sz w:val="22"/>
        </w:rPr>
        <w:t>Figure</w:t>
      </w:r>
      <w:r>
        <w:rPr>
          <w:spacing w:val="-2"/>
          <w:sz w:val="22"/>
        </w:rPr>
        <w:t> </w:t>
      </w:r>
      <w:r>
        <w:rPr>
          <w:sz w:val="22"/>
        </w:rPr>
        <w:t>3.</w:t>
      </w:r>
      <w:r>
        <w:rPr>
          <w:spacing w:val="-4"/>
          <w:sz w:val="22"/>
        </w:rPr>
        <w:t> </w:t>
      </w:r>
      <w:r>
        <w:rPr>
          <w:sz w:val="22"/>
        </w:rPr>
        <w:t>Modern</w:t>
      </w:r>
      <w:r>
        <w:rPr>
          <w:spacing w:val="-4"/>
          <w:sz w:val="22"/>
        </w:rPr>
        <w:t> </w:t>
      </w:r>
      <w:r>
        <w:rPr>
          <w:sz w:val="22"/>
        </w:rPr>
        <w:t>geologic</w:t>
      </w:r>
      <w:r>
        <w:rPr>
          <w:spacing w:val="-1"/>
          <w:sz w:val="22"/>
        </w:rPr>
        <w:t> </w:t>
      </w:r>
      <w:r>
        <w:rPr>
          <w:sz w:val="22"/>
        </w:rPr>
        <w:t>provinces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Oklahoma</w:t>
      </w:r>
      <w:r>
        <w:rPr>
          <w:spacing w:val="-2"/>
          <w:sz w:val="22"/>
        </w:rPr>
        <w:t> </w:t>
      </w:r>
      <w:r>
        <w:rPr>
          <w:sz w:val="22"/>
        </w:rPr>
        <w:t>(Cardott,</w:t>
      </w:r>
      <w:r>
        <w:rPr>
          <w:spacing w:val="-3"/>
          <w:sz w:val="22"/>
        </w:rPr>
        <w:t> </w:t>
      </w:r>
      <w:r>
        <w:rPr>
          <w:sz w:val="22"/>
        </w:rPr>
        <w:t>2012)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line="480" w:lineRule="auto" w:before="141"/>
        <w:ind w:left="120" w:right="690" w:firstLine="720"/>
      </w:pPr>
      <w:r>
        <w:rPr/>
        <w:t>In the Woodford Shale, total organic carbon (TOC) values range from 5.01-14.81% and</w:t>
      </w:r>
      <w:r>
        <w:rPr>
          <w:spacing w:val="1"/>
        </w:rPr>
        <w:t> </w:t>
      </w:r>
      <w:r>
        <w:rPr>
          <w:position w:val="2"/>
        </w:rPr>
        <w:t>are dominated by Type II and some Type I kerogens, with vitrinite reflectance (R</w:t>
      </w:r>
      <w:r>
        <w:rPr>
          <w:sz w:val="16"/>
        </w:rPr>
        <w:t>0</w:t>
      </w:r>
      <w:r>
        <w:rPr>
          <w:position w:val="2"/>
        </w:rPr>
        <w:t>) values of</w:t>
      </w:r>
      <w:r>
        <w:rPr>
          <w:spacing w:val="1"/>
          <w:position w:val="2"/>
        </w:rPr>
        <w:t> </w:t>
      </w:r>
      <w:r>
        <w:rPr/>
        <w:t>0.29-0.63% (Romero and Philp, 2012). This indicates that the Woodford Shale is a high-quality</w:t>
      </w:r>
      <w:r>
        <w:rPr>
          <w:spacing w:val="1"/>
        </w:rPr>
        <w:t> </w:t>
      </w:r>
      <w:r>
        <w:rPr/>
        <w:t>source rock of low to moderate maturity. The pristane (Pr) and phytane (Ph) ratios, sterane</w:t>
      </w:r>
      <w:r>
        <w:rPr>
          <w:spacing w:val="1"/>
        </w:rPr>
        <w:t> </w:t>
      </w:r>
      <w:r>
        <w:rPr/>
        <w:t>(C30/C29), and terpane (C23 Tri/H) indicate the source of the organic matter in the sediments</w:t>
      </w:r>
      <w:r>
        <w:rPr>
          <w:spacing w:val="1"/>
        </w:rPr>
        <w:t> </w:t>
      </w:r>
      <w:r>
        <w:rPr/>
        <w:t>was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mixture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marine</w:t>
      </w:r>
      <w:r>
        <w:rPr>
          <w:spacing w:val="-4"/>
        </w:rPr>
        <w:t> </w:t>
      </w:r>
      <w:r>
        <w:rPr/>
        <w:t>and terrigenous</w:t>
      </w:r>
      <w:r>
        <w:rPr>
          <w:spacing w:val="-4"/>
        </w:rPr>
        <w:t> </w:t>
      </w:r>
      <w:r>
        <w:rPr/>
        <w:t>materials,</w:t>
      </w:r>
      <w:r>
        <w:rPr>
          <w:spacing w:val="-3"/>
        </w:rPr>
        <w:t> </w:t>
      </w:r>
      <w:r>
        <w:rPr/>
        <w:t>which</w:t>
      </w:r>
      <w:r>
        <w:rPr>
          <w:spacing w:val="-2"/>
        </w:rPr>
        <w:t> </w:t>
      </w:r>
      <w:r>
        <w:rPr/>
        <w:t>would</w:t>
      </w:r>
      <w:r>
        <w:rPr>
          <w:spacing w:val="-3"/>
        </w:rPr>
        <w:t> </w:t>
      </w:r>
      <w:r>
        <w:rPr/>
        <w:t>have</w:t>
      </w:r>
      <w:r>
        <w:rPr>
          <w:spacing w:val="-3"/>
        </w:rPr>
        <w:t> </w:t>
      </w:r>
      <w:r>
        <w:rPr/>
        <w:t>been</w:t>
      </w:r>
      <w:r>
        <w:rPr>
          <w:spacing w:val="2"/>
        </w:rPr>
        <w:t> </w:t>
      </w:r>
      <w:r>
        <w:rPr/>
        <w:t>deposited</w:t>
      </w:r>
      <w:r>
        <w:rPr>
          <w:spacing w:val="-1"/>
        </w:rPr>
        <w:t> </w:t>
      </w:r>
      <w:r>
        <w:rPr/>
        <w:t>in</w:t>
      </w:r>
      <w:r>
        <w:rPr>
          <w:spacing w:val="-4"/>
        </w:rPr>
        <w:t> </w:t>
      </w:r>
      <w:r>
        <w:rPr/>
        <w:t>anoxic</w:t>
      </w:r>
      <w:r>
        <w:rPr>
          <w:spacing w:val="-51"/>
        </w:rPr>
        <w:t> </w:t>
      </w:r>
      <w:r>
        <w:rPr/>
        <w:t>bottom waters. High salinity also characterized the area of deposition, as evidenced by the</w:t>
      </w:r>
      <w:r>
        <w:rPr>
          <w:spacing w:val="1"/>
        </w:rPr>
        <w:t> </w:t>
      </w:r>
      <w:r>
        <w:rPr/>
        <w:t>gammacerane</w:t>
      </w:r>
      <w:r>
        <w:rPr>
          <w:spacing w:val="-4"/>
        </w:rPr>
        <w:t> </w:t>
      </w:r>
      <w:r>
        <w:rPr/>
        <w:t>index.</w:t>
      </w:r>
      <w:r>
        <w:rPr>
          <w:spacing w:val="-2"/>
        </w:rPr>
        <w:t> </w:t>
      </w:r>
      <w:r>
        <w:rPr/>
        <w:t>Gammacerane,</w:t>
      </w:r>
      <w:r>
        <w:rPr>
          <w:spacing w:val="-4"/>
        </w:rPr>
        <w:t> </w:t>
      </w:r>
      <w:r>
        <w:rPr/>
        <w:t>along</w:t>
      </w:r>
      <w:r>
        <w:rPr>
          <w:spacing w:val="-3"/>
        </w:rPr>
        <w:t> </w:t>
      </w:r>
      <w:r>
        <w:rPr/>
        <w:t>with</w:t>
      </w:r>
      <w:r>
        <w:rPr>
          <w:spacing w:val="-4"/>
        </w:rPr>
        <w:t> </w:t>
      </w:r>
      <w:r>
        <w:rPr/>
        <w:t>aryl</w:t>
      </w:r>
      <w:r>
        <w:rPr>
          <w:spacing w:val="-2"/>
        </w:rPr>
        <w:t> </w:t>
      </w:r>
      <w:r>
        <w:rPr/>
        <w:t>isoprenoids,</w:t>
      </w:r>
      <w:r>
        <w:rPr>
          <w:spacing w:val="-3"/>
        </w:rPr>
        <w:t> </w:t>
      </w:r>
      <w:r>
        <w:rPr/>
        <w:t>indicates</w:t>
      </w:r>
      <w:r>
        <w:rPr>
          <w:spacing w:val="-2"/>
        </w:rPr>
        <w:t> </w:t>
      </w:r>
      <w:r>
        <w:rPr/>
        <w:t>high</w:t>
      </w:r>
      <w:r>
        <w:rPr>
          <w:spacing w:val="-3"/>
        </w:rPr>
        <w:t> </w:t>
      </w:r>
      <w:r>
        <w:rPr/>
        <w:t>stratification</w:t>
      </w:r>
      <w:r>
        <w:rPr>
          <w:spacing w:val="-3"/>
        </w:rPr>
        <w:t> </w:t>
      </w:r>
      <w:r>
        <w:rPr/>
        <w:t>of</w:t>
      </w:r>
    </w:p>
    <w:p>
      <w:pPr>
        <w:spacing w:after="0" w:line="480" w:lineRule="auto"/>
        <w:sectPr>
          <w:pgSz w:w="12240" w:h="15840"/>
          <w:pgMar w:header="0" w:footer="1014" w:top="1400" w:bottom="1200" w:left="1320" w:right="820"/>
        </w:sectPr>
      </w:pPr>
    </w:p>
    <w:p>
      <w:pPr>
        <w:pStyle w:val="BodyText"/>
        <w:spacing w:line="480" w:lineRule="auto" w:before="38"/>
        <w:ind w:left="120" w:right="660"/>
      </w:pPr>
      <w:r>
        <w:rPr>
          <w:position w:val="2"/>
        </w:rPr>
        <w:t>the</w:t>
      </w:r>
      <w:r>
        <w:rPr>
          <w:spacing w:val="-2"/>
          <w:position w:val="2"/>
        </w:rPr>
        <w:t> </w:t>
      </w:r>
      <w:r>
        <w:rPr>
          <w:position w:val="2"/>
        </w:rPr>
        <w:t>water</w:t>
      </w:r>
      <w:r>
        <w:rPr>
          <w:spacing w:val="2"/>
          <w:position w:val="2"/>
        </w:rPr>
        <w:t> </w:t>
      </w:r>
      <w:r>
        <w:rPr>
          <w:position w:val="2"/>
        </w:rPr>
        <w:t>column</w:t>
      </w:r>
      <w:r>
        <w:rPr>
          <w:spacing w:val="-1"/>
          <w:position w:val="2"/>
        </w:rPr>
        <w:t> </w:t>
      </w:r>
      <w:r>
        <w:rPr>
          <w:position w:val="2"/>
        </w:rPr>
        <w:t>and</w:t>
      </w:r>
      <w:r>
        <w:rPr>
          <w:spacing w:val="-2"/>
          <w:position w:val="2"/>
        </w:rPr>
        <w:t> </w:t>
      </w:r>
      <w:r>
        <w:rPr>
          <w:position w:val="2"/>
        </w:rPr>
        <w:t>the</w:t>
      </w:r>
      <w:r>
        <w:rPr>
          <w:spacing w:val="3"/>
          <w:position w:val="2"/>
        </w:rPr>
        <w:t> </w:t>
      </w:r>
      <w:r>
        <w:rPr>
          <w:position w:val="2"/>
        </w:rPr>
        <w:t>presence</w:t>
      </w:r>
      <w:r>
        <w:rPr>
          <w:spacing w:val="-2"/>
          <w:position w:val="2"/>
        </w:rPr>
        <w:t> </w:t>
      </w:r>
      <w:r>
        <w:rPr>
          <w:position w:val="2"/>
        </w:rPr>
        <w:t>of</w:t>
      </w:r>
      <w:r>
        <w:rPr>
          <w:spacing w:val="-2"/>
          <w:position w:val="2"/>
        </w:rPr>
        <w:t> </w:t>
      </w:r>
      <w:r>
        <w:rPr>
          <w:position w:val="2"/>
        </w:rPr>
        <w:t>H</w:t>
      </w:r>
      <w:r>
        <w:rPr>
          <w:sz w:val="16"/>
        </w:rPr>
        <w:t>2</w:t>
      </w:r>
      <w:r>
        <w:rPr>
          <w:position w:val="2"/>
        </w:rPr>
        <w:t>S</w:t>
      </w:r>
      <w:r>
        <w:rPr>
          <w:spacing w:val="-1"/>
          <w:position w:val="2"/>
        </w:rPr>
        <w:t> </w:t>
      </w:r>
      <w:r>
        <w:rPr>
          <w:position w:val="2"/>
        </w:rPr>
        <w:t>in</w:t>
      </w:r>
      <w:r>
        <w:rPr>
          <w:spacing w:val="-1"/>
          <w:position w:val="2"/>
        </w:rPr>
        <w:t> </w:t>
      </w:r>
      <w:r>
        <w:rPr>
          <w:position w:val="2"/>
        </w:rPr>
        <w:t>the</w:t>
      </w:r>
      <w:r>
        <w:rPr>
          <w:spacing w:val="-2"/>
          <w:position w:val="2"/>
        </w:rPr>
        <w:t> </w:t>
      </w:r>
      <w:r>
        <w:rPr>
          <w:position w:val="2"/>
        </w:rPr>
        <w:t>photic</w:t>
      </w:r>
      <w:r>
        <w:rPr>
          <w:spacing w:val="-2"/>
          <w:position w:val="2"/>
        </w:rPr>
        <w:t> </w:t>
      </w:r>
      <w:r>
        <w:rPr>
          <w:position w:val="2"/>
        </w:rPr>
        <w:t>zone</w:t>
      </w:r>
      <w:r>
        <w:rPr>
          <w:spacing w:val="-2"/>
          <w:position w:val="2"/>
        </w:rPr>
        <w:t> </w:t>
      </w:r>
      <w:r>
        <w:rPr>
          <w:position w:val="2"/>
        </w:rPr>
        <w:t>resulting</w:t>
      </w:r>
      <w:r>
        <w:rPr>
          <w:spacing w:val="-3"/>
          <w:position w:val="2"/>
        </w:rPr>
        <w:t> </w:t>
      </w:r>
      <w:r>
        <w:rPr>
          <w:position w:val="2"/>
        </w:rPr>
        <w:t>in</w:t>
      </w:r>
      <w:r>
        <w:rPr>
          <w:spacing w:val="-3"/>
          <w:position w:val="2"/>
        </w:rPr>
        <w:t> </w:t>
      </w:r>
      <w:r>
        <w:rPr>
          <w:position w:val="2"/>
        </w:rPr>
        <w:t>photic</w:t>
      </w:r>
      <w:r>
        <w:rPr>
          <w:spacing w:val="-2"/>
          <w:position w:val="2"/>
        </w:rPr>
        <w:t> </w:t>
      </w:r>
      <w:r>
        <w:rPr>
          <w:position w:val="2"/>
        </w:rPr>
        <w:t>zone</w:t>
      </w:r>
      <w:r>
        <w:rPr>
          <w:spacing w:val="-2"/>
          <w:position w:val="2"/>
        </w:rPr>
        <w:t> </w:t>
      </w:r>
      <w:r>
        <w:rPr>
          <w:position w:val="2"/>
        </w:rPr>
        <w:t>euxinia</w:t>
      </w:r>
      <w:r>
        <w:rPr>
          <w:spacing w:val="-51"/>
          <w:position w:val="2"/>
        </w:rPr>
        <w:t> </w:t>
      </w:r>
      <w:r>
        <w:rPr/>
        <w:t>(PZE)</w:t>
      </w:r>
      <w:r>
        <w:rPr>
          <w:spacing w:val="-2"/>
        </w:rPr>
        <w:t> </w:t>
      </w:r>
      <w:r>
        <w:rPr/>
        <w:t>(Romero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Philp,</w:t>
      </w:r>
      <w:r>
        <w:rPr>
          <w:spacing w:val="-1"/>
        </w:rPr>
        <w:t> </w:t>
      </w:r>
      <w:r>
        <w:rPr/>
        <w:t>2012;</w:t>
      </w:r>
      <w:r>
        <w:rPr>
          <w:spacing w:val="-1"/>
        </w:rPr>
        <w:t> </w:t>
      </w:r>
      <w:r>
        <w:rPr/>
        <w:t>Connock</w:t>
      </w:r>
      <w:r>
        <w:rPr>
          <w:spacing w:val="-2"/>
        </w:rPr>
        <w:t> </w:t>
      </w:r>
      <w:r>
        <w:rPr/>
        <w:t>et</w:t>
      </w:r>
      <w:r>
        <w:rPr>
          <w:spacing w:val="3"/>
        </w:rPr>
        <w:t> </w:t>
      </w:r>
      <w:r>
        <w:rPr/>
        <w:t>al.,</w:t>
      </w:r>
      <w:r>
        <w:rPr>
          <w:spacing w:val="-2"/>
        </w:rPr>
        <w:t> </w:t>
      </w:r>
      <w:r>
        <w:rPr/>
        <w:t>2018).</w:t>
      </w:r>
    </w:p>
    <w:p>
      <w:pPr>
        <w:pStyle w:val="BodyText"/>
        <w:spacing w:line="480" w:lineRule="auto" w:before="161"/>
        <w:ind w:left="120" w:right="672" w:firstLine="720"/>
      </w:pPr>
      <w:r>
        <w:rPr/>
        <w:t>In the Wyche-1 core, variations in the aryl isoprenoid ratio (AIR) indicate that the Upper</w:t>
      </w:r>
      <w:r>
        <w:rPr>
          <w:spacing w:val="-52"/>
        </w:rPr>
        <w:t> </w:t>
      </w:r>
      <w:r>
        <w:rPr/>
        <w:t>and Lower Woodford Shale are characterized by episodic PZE and a more persistent PZE</w:t>
      </w:r>
      <w:r>
        <w:rPr>
          <w:spacing w:val="1"/>
        </w:rPr>
        <w:t> </w:t>
      </w:r>
      <w:r>
        <w:rPr/>
        <w:t>present in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Middle</w:t>
      </w:r>
      <w:r>
        <w:rPr>
          <w:spacing w:val="-3"/>
        </w:rPr>
        <w:t> </w:t>
      </w:r>
      <w:r>
        <w:rPr/>
        <w:t>Woodford</w:t>
      </w:r>
      <w:r>
        <w:rPr>
          <w:spacing w:val="-3"/>
        </w:rPr>
        <w:t> </w:t>
      </w:r>
      <w:r>
        <w:rPr/>
        <w:t>Shale.</w:t>
      </w:r>
      <w:r>
        <w:rPr>
          <w:spacing w:val="-3"/>
        </w:rPr>
        <w:t> </w:t>
      </w:r>
      <w:r>
        <w:rPr/>
        <w:t>While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Woodford</w:t>
      </w:r>
      <w:r>
        <w:rPr>
          <w:spacing w:val="-3"/>
        </w:rPr>
        <w:t> </w:t>
      </w:r>
      <w:r>
        <w:rPr/>
        <w:t>Shale</w:t>
      </w:r>
      <w:r>
        <w:rPr>
          <w:spacing w:val="1"/>
        </w:rPr>
        <w:t> </w:t>
      </w:r>
      <w:r>
        <w:rPr/>
        <w:t>contains</w:t>
      </w:r>
      <w:r>
        <w:rPr>
          <w:spacing w:val="-3"/>
        </w:rPr>
        <w:t> </w:t>
      </w:r>
      <w:r>
        <w:rPr/>
        <w:t>a mix</w:t>
      </w:r>
      <w:r>
        <w:rPr>
          <w:spacing w:val="-3"/>
        </w:rPr>
        <w:t> </w:t>
      </w:r>
      <w:r>
        <w:rPr/>
        <w:t>of marine</w:t>
      </w:r>
      <w:r>
        <w:rPr>
          <w:spacing w:val="-3"/>
        </w:rPr>
        <w:t> </w:t>
      </w:r>
      <w:r>
        <w:rPr/>
        <w:t>and</w:t>
      </w:r>
      <w:r>
        <w:rPr>
          <w:spacing w:val="-51"/>
        </w:rPr>
        <w:t> </w:t>
      </w:r>
      <w:r>
        <w:rPr/>
        <w:t>terrigenous organic matter, according to the ratios of C30 steranes/C29 steranes,</w:t>
      </w:r>
      <w:r>
        <w:rPr>
          <w:spacing w:val="1"/>
        </w:rPr>
        <w:t> </w:t>
      </w:r>
      <w:r>
        <w:rPr/>
        <w:t>hopanes/steranes, and C23 tricyclic/C30 hopanes, the Middle Woodford Shale shows the</w:t>
      </w:r>
      <w:r>
        <w:rPr>
          <w:spacing w:val="1"/>
        </w:rPr>
        <w:t> </w:t>
      </w:r>
      <w:r>
        <w:rPr/>
        <w:t>greatest marine input (Connock, 2015; Philp and DeGarmo, 2020). The Pr/Ph ratio and AIRs</w:t>
      </w:r>
      <w:r>
        <w:rPr>
          <w:spacing w:val="1"/>
        </w:rPr>
        <w:t> </w:t>
      </w:r>
      <w:r>
        <w:rPr/>
        <w:t>show that the lower and upper are characterized by dysoxic to suboxic conditions, and the</w:t>
      </w:r>
      <w:r>
        <w:rPr>
          <w:spacing w:val="1"/>
        </w:rPr>
        <w:t> </w:t>
      </w:r>
      <w:r>
        <w:rPr/>
        <w:t>middle is characterized by primarily euxinic and/or anoxic conditions (Romero and Philp, 2012).</w:t>
      </w:r>
      <w:r>
        <w:rPr>
          <w:spacing w:val="-52"/>
        </w:rPr>
        <w:t> </w:t>
      </w:r>
      <w:r>
        <w:rPr/>
        <w:t>Gammacerane shows that while high salinity and water column stratification persisted</w:t>
      </w:r>
      <w:r>
        <w:rPr>
          <w:spacing w:val="1"/>
        </w:rPr>
        <w:t> </w:t>
      </w:r>
      <w:r>
        <w:rPr/>
        <w:t>throughout the deposition of the Woodford Shale, the Middle Woodford Shale shows the</w:t>
      </w:r>
      <w:r>
        <w:rPr>
          <w:spacing w:val="1"/>
        </w:rPr>
        <w:t> </w:t>
      </w:r>
      <w:r>
        <w:rPr/>
        <w:t>highest salinity and stratification (Connock, 2015). These geochemical proxies indicate that the</w:t>
      </w:r>
      <w:r>
        <w:rPr>
          <w:spacing w:val="1"/>
        </w:rPr>
        <w:t> </w:t>
      </w:r>
      <w:r>
        <w:rPr/>
        <w:t>Middle Woodford Shale was characterized by high organic productivity and preservation</w:t>
      </w:r>
      <w:r>
        <w:rPr>
          <w:spacing w:val="1"/>
        </w:rPr>
        <w:t> </w:t>
      </w:r>
      <w:r>
        <w:rPr/>
        <w:t>resulting from a shallow chemocline that entered into the photic zone. There is evidence for</w:t>
      </w:r>
      <w:r>
        <w:rPr>
          <w:spacing w:val="1"/>
        </w:rPr>
        <w:t> </w:t>
      </w:r>
      <w:r>
        <w:rPr/>
        <w:t>sea-level fluctuations and intermittent chemocline depth changes in the Lower and Upper</w:t>
      </w:r>
      <w:r>
        <w:rPr>
          <w:spacing w:val="1"/>
        </w:rPr>
        <w:t> </w:t>
      </w:r>
      <w:r>
        <w:rPr/>
        <w:t>Woodford Shale, resulting in episodic euxinia and oxidative periods, which degraded parts of</w:t>
      </w:r>
      <w:r>
        <w:rPr>
          <w:spacing w:val="1"/>
        </w:rPr>
        <w:t> </w:t>
      </w:r>
      <w:r>
        <w:rPr/>
        <w:t>the</w:t>
      </w:r>
      <w:r>
        <w:rPr>
          <w:spacing w:val="-3"/>
        </w:rPr>
        <w:t> </w:t>
      </w:r>
      <w:r>
        <w:rPr/>
        <w:t>organic</w:t>
      </w:r>
      <w:r>
        <w:rPr>
          <w:spacing w:val="-1"/>
        </w:rPr>
        <w:t> </w:t>
      </w:r>
      <w:r>
        <w:rPr/>
        <w:t>matter</w:t>
      </w:r>
      <w:r>
        <w:rPr>
          <w:spacing w:val="-3"/>
        </w:rPr>
        <w:t> </w:t>
      </w:r>
      <w:r>
        <w:rPr/>
        <w:t>(Romero</w:t>
      </w:r>
      <w:r>
        <w:rPr>
          <w:spacing w:val="2"/>
        </w:rPr>
        <w:t> </w:t>
      </w:r>
      <w:r>
        <w:rPr/>
        <w:t>and</w:t>
      </w:r>
      <w:r>
        <w:rPr>
          <w:spacing w:val="1"/>
        </w:rPr>
        <w:t> </w:t>
      </w:r>
      <w:r>
        <w:rPr/>
        <w:t>Philp,</w:t>
      </w:r>
      <w:r>
        <w:rPr>
          <w:spacing w:val="-2"/>
        </w:rPr>
        <w:t> </w:t>
      </w:r>
      <w:r>
        <w:rPr/>
        <w:t>2012;</w:t>
      </w:r>
      <w:r>
        <w:rPr>
          <w:spacing w:val="-1"/>
        </w:rPr>
        <w:t> </w:t>
      </w:r>
      <w:r>
        <w:rPr/>
        <w:t>Connock</w:t>
      </w:r>
      <w:r>
        <w:rPr>
          <w:spacing w:val="-4"/>
        </w:rPr>
        <w:t> </w:t>
      </w:r>
      <w:r>
        <w:rPr/>
        <w:t>et</w:t>
      </w:r>
      <w:r>
        <w:rPr>
          <w:spacing w:val="-2"/>
        </w:rPr>
        <w:t> </w:t>
      </w:r>
      <w:r>
        <w:rPr/>
        <w:t>al.,</w:t>
      </w:r>
      <w:r>
        <w:rPr>
          <w:spacing w:val="-3"/>
        </w:rPr>
        <w:t> </w:t>
      </w:r>
      <w:r>
        <w:rPr/>
        <w:t>2018).</w:t>
      </w:r>
    </w:p>
    <w:p>
      <w:pPr>
        <w:spacing w:after="0" w:line="480" w:lineRule="auto"/>
        <w:sectPr>
          <w:pgSz w:w="12240" w:h="15840"/>
          <w:pgMar w:header="0" w:footer="1014" w:top="1400" w:bottom="1200" w:left="1320" w:right="820"/>
        </w:sectPr>
      </w:pPr>
    </w:p>
    <w:p>
      <w:pPr>
        <w:pStyle w:val="ListParagraph"/>
        <w:numPr>
          <w:ilvl w:val="1"/>
          <w:numId w:val="3"/>
        </w:numPr>
        <w:tabs>
          <w:tab w:pos="478" w:val="left" w:leader="none"/>
        </w:tabs>
        <w:spacing w:line="240" w:lineRule="auto" w:before="39" w:after="0"/>
        <w:ind w:left="477" w:right="0" w:hanging="358"/>
        <w:jc w:val="left"/>
        <w:rPr>
          <w:i/>
          <w:sz w:val="24"/>
        </w:rPr>
      </w:pPr>
      <w:r>
        <w:rPr>
          <w:i/>
          <w:sz w:val="24"/>
        </w:rPr>
        <w:t>Sequence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Stratigraphy</w:t>
      </w:r>
    </w:p>
    <w:p>
      <w:pPr>
        <w:pStyle w:val="BodyText"/>
        <w:rPr>
          <w:i/>
        </w:rPr>
      </w:pPr>
    </w:p>
    <w:p>
      <w:pPr>
        <w:pStyle w:val="BodyText"/>
        <w:spacing w:line="480" w:lineRule="auto" w:before="161"/>
        <w:ind w:left="120" w:right="660" w:firstLine="706"/>
      </w:pPr>
      <w:r>
        <w:rPr/>
        <w:t>Sequence stratigraphy shows the relationships between sedimentary rocks within a</w:t>
      </w:r>
      <w:r>
        <w:rPr>
          <w:spacing w:val="1"/>
        </w:rPr>
        <w:t> </w:t>
      </w:r>
      <w:r>
        <w:rPr/>
        <w:t>chronostratigraphic or geologic-time framework (Catuneanu, 2017). It often relies on evidence</w:t>
      </w:r>
      <w:r>
        <w:rPr>
          <w:spacing w:val="1"/>
        </w:rPr>
        <w:t> </w:t>
      </w:r>
      <w:r>
        <w:rPr/>
        <w:t>of cyclical sea level rise and fall; sequences are created from this evidence, and causes for the</w:t>
      </w:r>
      <w:r>
        <w:rPr>
          <w:spacing w:val="1"/>
        </w:rPr>
        <w:t> </w:t>
      </w:r>
      <w:r>
        <w:rPr/>
        <w:t>cycles are interpreted (Posamentier and Vail, 1988; Posamentier et al., 1988). The Woodford</w:t>
      </w:r>
      <w:r>
        <w:rPr>
          <w:spacing w:val="1"/>
        </w:rPr>
        <w:t> </w:t>
      </w:r>
      <w:r>
        <w:rPr/>
        <w:t>Shale deposition responded to eustatic fluctuations. The sea-level cycle consists of a fall, a</w:t>
      </w:r>
      <w:r>
        <w:rPr>
          <w:spacing w:val="1"/>
        </w:rPr>
        <w:t> </w:t>
      </w:r>
      <w:r>
        <w:rPr/>
        <w:t>transitionary phase, and then a rise of sea level. The falling sea level is when the Lowstand</w:t>
      </w:r>
      <w:r>
        <w:rPr>
          <w:spacing w:val="1"/>
        </w:rPr>
        <w:t> </w:t>
      </w:r>
      <w:r>
        <w:rPr/>
        <w:t>Systems Tract (LST) is deposited. During the initial rise in sea level, the Transgressive Systems</w:t>
      </w:r>
      <w:r>
        <w:rPr>
          <w:spacing w:val="1"/>
        </w:rPr>
        <w:t> </w:t>
      </w:r>
      <w:r>
        <w:rPr/>
        <w:t>Tract</w:t>
      </w:r>
      <w:r>
        <w:rPr>
          <w:spacing w:val="-3"/>
        </w:rPr>
        <w:t> </w:t>
      </w:r>
      <w:r>
        <w:rPr/>
        <w:t>(TST)</w:t>
      </w:r>
      <w:r>
        <w:rPr>
          <w:spacing w:val="-2"/>
        </w:rPr>
        <w:t> </w:t>
      </w:r>
      <w:r>
        <w:rPr/>
        <w:t>is</w:t>
      </w:r>
      <w:r>
        <w:rPr>
          <w:spacing w:val="-5"/>
        </w:rPr>
        <w:t> </w:t>
      </w:r>
      <w:r>
        <w:rPr/>
        <w:t>created,</w:t>
      </w:r>
      <w:r>
        <w:rPr>
          <w:spacing w:val="-4"/>
        </w:rPr>
        <w:t> </w:t>
      </w:r>
      <w:r>
        <w:rPr/>
        <w:t>characterized</w:t>
      </w:r>
      <w:r>
        <w:rPr>
          <w:spacing w:val="-4"/>
        </w:rPr>
        <w:t> </w:t>
      </w:r>
      <w:r>
        <w:rPr/>
        <w:t>by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abrupt</w:t>
      </w:r>
      <w:r>
        <w:rPr>
          <w:spacing w:val="2"/>
        </w:rPr>
        <w:t> </w:t>
      </w:r>
      <w:r>
        <w:rPr/>
        <w:t>rise</w:t>
      </w:r>
      <w:r>
        <w:rPr>
          <w:spacing w:val="-4"/>
        </w:rPr>
        <w:t> </w:t>
      </w:r>
      <w:r>
        <w:rPr/>
        <w:t>in</w:t>
      </w:r>
      <w:r>
        <w:rPr>
          <w:spacing w:val="2"/>
        </w:rPr>
        <w:t> </w:t>
      </w:r>
      <w:r>
        <w:rPr/>
        <w:t>sea</w:t>
      </w:r>
      <w:r>
        <w:rPr>
          <w:spacing w:val="-3"/>
        </w:rPr>
        <w:t> </w:t>
      </w:r>
      <w:r>
        <w:rPr/>
        <w:t>level.</w:t>
      </w:r>
      <w:r>
        <w:rPr>
          <w:spacing w:val="-2"/>
        </w:rPr>
        <w:t> </w:t>
      </w:r>
      <w:r>
        <w:rPr/>
        <w:t>The</w:t>
      </w:r>
      <w:r>
        <w:rPr>
          <w:spacing w:val="1"/>
        </w:rPr>
        <w:t> </w:t>
      </w:r>
      <w:r>
        <w:rPr/>
        <w:t>Highstand</w:t>
      </w:r>
      <w:r>
        <w:rPr>
          <w:spacing w:val="2"/>
        </w:rPr>
        <w:t> </w:t>
      </w:r>
      <w:r>
        <w:rPr/>
        <w:t>Systems</w:t>
      </w:r>
      <w:r>
        <w:rPr>
          <w:spacing w:val="-3"/>
        </w:rPr>
        <w:t> </w:t>
      </w:r>
      <w:r>
        <w:rPr/>
        <w:t>Tract</w:t>
      </w:r>
      <w:r>
        <w:rPr>
          <w:spacing w:val="-51"/>
        </w:rPr>
        <w:t> </w:t>
      </w:r>
      <w:r>
        <w:rPr/>
        <w:t>(HST) is deposited later after the rapid initial rise in sea level when the rise is slower than the</w:t>
      </w:r>
      <w:r>
        <w:rPr>
          <w:spacing w:val="1"/>
        </w:rPr>
        <w:t> </w:t>
      </w:r>
      <w:r>
        <w:rPr/>
        <w:t>TST</w:t>
      </w:r>
      <w:r>
        <w:rPr>
          <w:spacing w:val="2"/>
        </w:rPr>
        <w:t> </w:t>
      </w:r>
      <w:r>
        <w:rPr/>
        <w:t>(Turner</w:t>
      </w:r>
      <w:r>
        <w:rPr>
          <w:spacing w:val="-3"/>
        </w:rPr>
        <w:t> </w:t>
      </w:r>
      <w:r>
        <w:rPr/>
        <w:t>et</w:t>
      </w:r>
      <w:r>
        <w:rPr>
          <w:spacing w:val="-2"/>
        </w:rPr>
        <w:t> </w:t>
      </w:r>
      <w:r>
        <w:rPr/>
        <w:t>al.,</w:t>
      </w:r>
      <w:r>
        <w:rPr>
          <w:spacing w:val="-2"/>
        </w:rPr>
        <w:t> </w:t>
      </w:r>
      <w:r>
        <w:rPr/>
        <w:t>2016)</w:t>
      </w:r>
      <w:r>
        <w:rPr>
          <w:spacing w:val="-5"/>
        </w:rPr>
        <w:t> </w:t>
      </w:r>
      <w:r>
        <w:rPr/>
        <w:t>as</w:t>
      </w:r>
      <w:r>
        <w:rPr>
          <w:spacing w:val="-1"/>
        </w:rPr>
        <w:t> </w:t>
      </w:r>
      <w:r>
        <w:rPr/>
        <w:t>shown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figure</w:t>
      </w:r>
      <w:r>
        <w:rPr>
          <w:spacing w:val="-1"/>
        </w:rPr>
        <w:t> </w:t>
      </w:r>
      <w:r>
        <w:rPr/>
        <w:t>4</w:t>
      </w:r>
      <w:r>
        <w:rPr>
          <w:spacing w:val="-1"/>
        </w:rPr>
        <w:t> </w:t>
      </w:r>
      <w:r>
        <w:rPr/>
        <w:t>(Simmons,</w:t>
      </w:r>
      <w:r>
        <w:rPr>
          <w:spacing w:val="-1"/>
        </w:rPr>
        <w:t> </w:t>
      </w:r>
      <w:r>
        <w:rPr/>
        <w:t>2012).</w:t>
      </w:r>
    </w:p>
    <w:p>
      <w:pPr>
        <w:spacing w:after="0" w:line="480" w:lineRule="auto"/>
        <w:sectPr>
          <w:pgSz w:w="12240" w:h="15840"/>
          <w:pgMar w:header="0" w:footer="1014" w:top="1400" w:bottom="1200" w:left="1320" w:right="820"/>
        </w:sectPr>
      </w:pPr>
    </w:p>
    <w:p>
      <w:pPr>
        <w:pStyle w:val="BodyText"/>
        <w:ind w:left="352"/>
        <w:rPr>
          <w:sz w:val="20"/>
        </w:rPr>
      </w:pPr>
      <w:r>
        <w:rPr>
          <w:sz w:val="20"/>
        </w:rPr>
        <w:drawing>
          <wp:inline distT="0" distB="0" distL="0" distR="0">
            <wp:extent cx="5653503" cy="4068508"/>
            <wp:effectExtent l="0" t="0" r="0" b="0"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3503" cy="4068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9"/>
        <w:rPr>
          <w:sz w:val="7"/>
        </w:rPr>
      </w:pPr>
    </w:p>
    <w:p>
      <w:pPr>
        <w:spacing w:before="56"/>
        <w:ind w:left="120" w:right="660" w:firstLine="0"/>
        <w:jc w:val="left"/>
        <w:rPr>
          <w:sz w:val="22"/>
        </w:rPr>
      </w:pPr>
      <w:r>
        <w:rPr>
          <w:sz w:val="22"/>
        </w:rPr>
        <w:t>Figure 4. Relative sea-level curve comprising one complete cycle from one highstand to the next</w:t>
      </w:r>
      <w:r>
        <w:rPr>
          <w:spacing w:val="1"/>
          <w:sz w:val="22"/>
        </w:rPr>
        <w:t> </w:t>
      </w:r>
      <w:r>
        <w:rPr>
          <w:sz w:val="22"/>
        </w:rPr>
        <w:t>highstand.</w:t>
      </w:r>
      <w:r>
        <w:rPr>
          <w:spacing w:val="-1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falling limb</w:t>
      </w:r>
      <w:r>
        <w:rPr>
          <w:spacing w:val="-3"/>
          <w:sz w:val="22"/>
        </w:rPr>
        <w:t> </w:t>
      </w:r>
      <w:r>
        <w:rPr>
          <w:sz w:val="22"/>
        </w:rPr>
        <w:t>represents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falling</w:t>
      </w:r>
      <w:r>
        <w:rPr>
          <w:spacing w:val="-1"/>
          <w:sz w:val="22"/>
        </w:rPr>
        <w:t> </w:t>
      </w:r>
      <w:r>
        <w:rPr>
          <w:sz w:val="22"/>
        </w:rPr>
        <w:t>stage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the relative sea</w:t>
      </w:r>
      <w:r>
        <w:rPr>
          <w:spacing w:val="-1"/>
          <w:sz w:val="22"/>
        </w:rPr>
        <w:t> </w:t>
      </w:r>
      <w:r>
        <w:rPr>
          <w:sz w:val="22"/>
        </w:rPr>
        <w:t>level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2"/>
          <w:sz w:val="22"/>
        </w:rPr>
        <w:t> </w:t>
      </w:r>
      <w:r>
        <w:rPr>
          <w:sz w:val="22"/>
        </w:rPr>
        <w:t>the rising</w:t>
      </w:r>
      <w:r>
        <w:rPr>
          <w:spacing w:val="-1"/>
          <w:sz w:val="22"/>
        </w:rPr>
        <w:t> </w:t>
      </w:r>
      <w:r>
        <w:rPr>
          <w:sz w:val="22"/>
        </w:rPr>
        <w:t>limb</w:t>
      </w:r>
      <w:r>
        <w:rPr>
          <w:spacing w:val="-46"/>
          <w:sz w:val="22"/>
        </w:rPr>
        <w:t> </w:t>
      </w:r>
      <w:r>
        <w:rPr>
          <w:sz w:val="22"/>
        </w:rPr>
        <w:t>represents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rising stage</w:t>
      </w:r>
      <w:r>
        <w:rPr>
          <w:spacing w:val="-3"/>
          <w:sz w:val="22"/>
        </w:rPr>
        <w:t> </w:t>
      </w:r>
      <w:r>
        <w:rPr>
          <w:sz w:val="22"/>
        </w:rPr>
        <w:t>of the</w:t>
      </w:r>
      <w:r>
        <w:rPr>
          <w:spacing w:val="-2"/>
          <w:sz w:val="22"/>
        </w:rPr>
        <w:t> </w:t>
      </w:r>
      <w:r>
        <w:rPr>
          <w:sz w:val="22"/>
        </w:rPr>
        <w:t>relative</w:t>
      </w:r>
      <w:r>
        <w:rPr>
          <w:spacing w:val="-2"/>
          <w:sz w:val="22"/>
        </w:rPr>
        <w:t> </w:t>
      </w:r>
      <w:r>
        <w:rPr>
          <w:sz w:val="22"/>
        </w:rPr>
        <w:t>sea</w:t>
      </w:r>
      <w:r>
        <w:rPr>
          <w:spacing w:val="-4"/>
          <w:sz w:val="22"/>
        </w:rPr>
        <w:t> </w:t>
      </w:r>
      <w:r>
        <w:rPr>
          <w:sz w:val="22"/>
        </w:rPr>
        <w:t>level. (Simmons,</w:t>
      </w:r>
      <w:r>
        <w:rPr>
          <w:spacing w:val="-2"/>
          <w:sz w:val="22"/>
        </w:rPr>
        <w:t> </w:t>
      </w:r>
      <w:r>
        <w:rPr>
          <w:sz w:val="22"/>
        </w:rPr>
        <w:t>2012)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line="480" w:lineRule="auto" w:before="141"/>
        <w:ind w:left="120" w:right="660"/>
      </w:pPr>
      <w:r>
        <w:rPr/>
        <w:t>These</w:t>
      </w:r>
      <w:r>
        <w:rPr>
          <w:spacing w:val="-4"/>
        </w:rPr>
        <w:t> </w:t>
      </w:r>
      <w:r>
        <w:rPr/>
        <w:t>sequences</w:t>
      </w:r>
      <w:r>
        <w:rPr>
          <w:spacing w:val="-5"/>
        </w:rPr>
        <w:t> </w:t>
      </w:r>
      <w:r>
        <w:rPr/>
        <w:t>are interpreted</w:t>
      </w:r>
      <w:r>
        <w:rPr>
          <w:spacing w:val="-3"/>
        </w:rPr>
        <w:t> </w:t>
      </w:r>
      <w:r>
        <w:rPr/>
        <w:t>through characterization of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core</w:t>
      </w:r>
      <w:r>
        <w:rPr>
          <w:spacing w:val="-5"/>
        </w:rPr>
        <w:t> </w:t>
      </w:r>
      <w:r>
        <w:rPr/>
        <w:t>using</w:t>
      </w:r>
      <w:r>
        <w:rPr>
          <w:spacing w:val="-3"/>
        </w:rPr>
        <w:t> </w:t>
      </w:r>
      <w:r>
        <w:rPr/>
        <w:t>gamma-ray</w:t>
      </w:r>
      <w:r>
        <w:rPr>
          <w:spacing w:val="-4"/>
        </w:rPr>
        <w:t> </w:t>
      </w:r>
      <w:r>
        <w:rPr/>
        <w:t>logs,</w:t>
      </w:r>
      <w:r>
        <w:rPr>
          <w:spacing w:val="-4"/>
        </w:rPr>
        <w:t> </w:t>
      </w:r>
      <w:r>
        <w:rPr/>
        <w:t>SP</w:t>
      </w:r>
      <w:r>
        <w:rPr>
          <w:spacing w:val="-51"/>
        </w:rPr>
        <w:t> </w:t>
      </w:r>
      <w:r>
        <w:rPr/>
        <w:t>logs, elemental analysis, TOC, and other sources (Buckner et al., 2009). Interpretation of these</w:t>
      </w:r>
      <w:r>
        <w:rPr>
          <w:spacing w:val="1"/>
        </w:rPr>
        <w:t> </w:t>
      </w:r>
      <w:r>
        <w:rPr/>
        <w:t>sequences helps to better understand the deposition of the rock unit of interest. The sequence</w:t>
      </w:r>
      <w:r>
        <w:rPr>
          <w:spacing w:val="-52"/>
        </w:rPr>
        <w:t> </w:t>
      </w:r>
      <w:r>
        <w:rPr/>
        <w:t>stratigraphy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1"/>
        </w:rPr>
        <w:t> </w:t>
      </w:r>
      <w:r>
        <w:rPr/>
        <w:t>rock</w:t>
      </w:r>
      <w:r>
        <w:rPr>
          <w:spacing w:val="-3"/>
        </w:rPr>
        <w:t> </w:t>
      </w:r>
      <w:r>
        <w:rPr/>
        <w:t>unit</w:t>
      </w:r>
      <w:r>
        <w:rPr>
          <w:spacing w:val="-1"/>
        </w:rPr>
        <w:t> </w:t>
      </w:r>
      <w:r>
        <w:rPr/>
        <w:t>will</w:t>
      </w:r>
      <w:r>
        <w:rPr>
          <w:spacing w:val="-2"/>
        </w:rPr>
        <w:t> </w:t>
      </w:r>
      <w:r>
        <w:rPr/>
        <w:t>allow</w:t>
      </w:r>
      <w:r>
        <w:rPr>
          <w:spacing w:val="3"/>
        </w:rPr>
        <w:t> </w:t>
      </w:r>
      <w:r>
        <w:rPr/>
        <w:t>sections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/>
        <w:t>correlated</w:t>
      </w:r>
      <w:r>
        <w:rPr>
          <w:spacing w:val="1"/>
        </w:rPr>
        <w:t> </w:t>
      </w:r>
      <w:r>
        <w:rPr/>
        <w:t>regionally</w:t>
      </w:r>
      <w:r>
        <w:rPr>
          <w:spacing w:val="-3"/>
        </w:rPr>
        <w:t> </w:t>
      </w:r>
      <w:r>
        <w:rPr/>
        <w:t>and</w:t>
      </w:r>
      <w:r>
        <w:rPr>
          <w:spacing w:val="-1"/>
        </w:rPr>
        <w:t> </w:t>
      </w:r>
      <w:r>
        <w:rPr/>
        <w:t>locally.</w:t>
      </w:r>
    </w:p>
    <w:p>
      <w:pPr>
        <w:pStyle w:val="BodyText"/>
        <w:spacing w:line="480" w:lineRule="auto" w:before="159"/>
        <w:ind w:left="120" w:right="660" w:firstLine="652"/>
      </w:pPr>
      <w:r>
        <w:rPr/>
        <w:t>Sequence</w:t>
      </w:r>
      <w:r>
        <w:rPr>
          <w:spacing w:val="-3"/>
        </w:rPr>
        <w:t> </w:t>
      </w:r>
      <w:r>
        <w:rPr/>
        <w:t>stratigraphy alone</w:t>
      </w:r>
      <w:r>
        <w:rPr>
          <w:spacing w:val="-4"/>
        </w:rPr>
        <w:t> </w:t>
      </w:r>
      <w:r>
        <w:rPr/>
        <w:t>does</w:t>
      </w:r>
      <w:r>
        <w:rPr>
          <w:spacing w:val="-2"/>
        </w:rPr>
        <w:t> </w:t>
      </w:r>
      <w:r>
        <w:rPr/>
        <w:t>not</w:t>
      </w:r>
      <w:r>
        <w:rPr>
          <w:spacing w:val="-3"/>
        </w:rPr>
        <w:t> </w:t>
      </w:r>
      <w:r>
        <w:rPr/>
        <w:t>give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most</w:t>
      </w:r>
      <w:r>
        <w:rPr>
          <w:spacing w:val="2"/>
        </w:rPr>
        <w:t> </w:t>
      </w:r>
      <w:r>
        <w:rPr/>
        <w:t>accurate</w:t>
      </w:r>
      <w:r>
        <w:rPr>
          <w:spacing w:val="-4"/>
        </w:rPr>
        <w:t> </w:t>
      </w:r>
      <w:r>
        <w:rPr/>
        <w:t>record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geologic</w:t>
      </w:r>
      <w:r>
        <w:rPr>
          <w:spacing w:val="-4"/>
        </w:rPr>
        <w:t> </w:t>
      </w:r>
      <w:r>
        <w:rPr/>
        <w:t>history;</w:t>
      </w:r>
      <w:r>
        <w:rPr>
          <w:spacing w:val="-51"/>
        </w:rPr>
        <w:t> </w:t>
      </w:r>
      <w:r>
        <w:rPr/>
        <w:t>there are gaps in geologic time, fluctuations in sedimentation rates, and changes in</w:t>
      </w:r>
      <w:r>
        <w:rPr>
          <w:spacing w:val="1"/>
        </w:rPr>
        <w:t> </w:t>
      </w:r>
      <w:r>
        <w:rPr/>
        <w:t>accommodation space. Interpretation of these and other small-scale variations can be difficult</w:t>
      </w:r>
      <w:r>
        <w:rPr>
          <w:spacing w:val="-52"/>
        </w:rPr>
        <w:t> </w:t>
      </w:r>
      <w:r>
        <w:rPr/>
        <w:t>with</w:t>
      </w:r>
      <w:r>
        <w:rPr>
          <w:spacing w:val="-2"/>
        </w:rPr>
        <w:t> </w:t>
      </w:r>
      <w:r>
        <w:rPr/>
        <w:t>the traditional</w:t>
      </w:r>
      <w:r>
        <w:rPr>
          <w:spacing w:val="-3"/>
        </w:rPr>
        <w:t> </w:t>
      </w:r>
      <w:r>
        <w:rPr/>
        <w:t>sequence</w:t>
      </w:r>
      <w:r>
        <w:rPr>
          <w:spacing w:val="-2"/>
        </w:rPr>
        <w:t> </w:t>
      </w:r>
      <w:r>
        <w:rPr/>
        <w:t>stratigraphy</w:t>
      </w:r>
      <w:r>
        <w:rPr>
          <w:spacing w:val="-3"/>
        </w:rPr>
        <w:t> </w:t>
      </w:r>
      <w:r>
        <w:rPr/>
        <w:t>framework</w:t>
      </w:r>
      <w:r>
        <w:rPr>
          <w:spacing w:val="-2"/>
        </w:rPr>
        <w:t> </w:t>
      </w:r>
      <w:r>
        <w:rPr/>
        <w:t>used.</w:t>
      </w:r>
      <w:r>
        <w:rPr>
          <w:spacing w:val="-2"/>
        </w:rPr>
        <w:t> </w:t>
      </w:r>
      <w:r>
        <w:rPr/>
        <w:t>Use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geochemical</w:t>
      </w:r>
      <w:r>
        <w:rPr>
          <w:spacing w:val="-2"/>
        </w:rPr>
        <w:t> </w:t>
      </w:r>
      <w:r>
        <w:rPr/>
        <w:t>data</w:t>
      </w:r>
      <w:r>
        <w:rPr>
          <w:spacing w:val="-2"/>
        </w:rPr>
        <w:t> </w:t>
      </w:r>
      <w:r>
        <w:rPr/>
        <w:t>can</w:t>
      </w:r>
    </w:p>
    <w:p>
      <w:pPr>
        <w:spacing w:after="0" w:line="480" w:lineRule="auto"/>
        <w:sectPr>
          <w:pgSz w:w="12240" w:h="15840"/>
          <w:pgMar w:header="0" w:footer="1014" w:top="1440" w:bottom="1200" w:left="1320" w:right="820"/>
        </w:sectPr>
      </w:pPr>
    </w:p>
    <w:p>
      <w:pPr>
        <w:pStyle w:val="BodyText"/>
        <w:spacing w:line="480" w:lineRule="auto" w:before="39"/>
        <w:ind w:left="120" w:right="647"/>
      </w:pPr>
      <w:r>
        <w:rPr/>
        <w:t>enhance the resolution of the interpretations made. This enhanced resolution makes more</w:t>
      </w:r>
      <w:r>
        <w:rPr>
          <w:spacing w:val="1"/>
        </w:rPr>
        <w:t> </w:t>
      </w:r>
      <w:r>
        <w:rPr/>
        <w:t>accurate environmental interpretations possible. The TOC can be a helpful tool for determining</w:t>
      </w:r>
      <w:r>
        <w:rPr>
          <w:spacing w:val="-52"/>
        </w:rPr>
        <w:t> </w:t>
      </w:r>
      <w:r>
        <w:rPr/>
        <w:t>where an interval fits in the sequence stratigraphic framework. If an interval has low TOC, it is</w:t>
      </w:r>
      <w:r>
        <w:rPr>
          <w:spacing w:val="1"/>
        </w:rPr>
        <w:t> </w:t>
      </w:r>
      <w:r>
        <w:rPr/>
        <w:t>interpreted</w:t>
      </w:r>
      <w:r>
        <w:rPr>
          <w:spacing w:val="-3"/>
        </w:rPr>
        <w:t> </w:t>
      </w:r>
      <w:r>
        <w:rPr/>
        <w:t>as</w:t>
      </w:r>
      <w:r>
        <w:rPr>
          <w:spacing w:val="1"/>
        </w:rPr>
        <w:t> </w:t>
      </w:r>
      <w:r>
        <w:rPr/>
        <w:t>an</w:t>
      </w:r>
      <w:r>
        <w:rPr>
          <w:spacing w:val="-2"/>
        </w:rPr>
        <w:t> </w:t>
      </w:r>
      <w:r>
        <w:rPr/>
        <w:t>LST</w:t>
      </w:r>
      <w:r>
        <w:rPr>
          <w:spacing w:val="-4"/>
        </w:rPr>
        <w:t> </w:t>
      </w:r>
      <w:r>
        <w:rPr/>
        <w:t>(2%TOC</w:t>
      </w:r>
      <w:r>
        <w:rPr>
          <w:spacing w:val="-3"/>
        </w:rPr>
        <w:t> </w:t>
      </w:r>
      <w:r>
        <w:rPr/>
        <w:t>or</w:t>
      </w:r>
      <w:r>
        <w:rPr>
          <w:spacing w:val="1"/>
        </w:rPr>
        <w:t> </w:t>
      </w:r>
      <w:r>
        <w:rPr/>
        <w:t>less);</w:t>
      </w:r>
      <w:r>
        <w:rPr>
          <w:spacing w:val="-3"/>
        </w:rPr>
        <w:t> </w:t>
      </w:r>
      <w:r>
        <w:rPr/>
        <w:t>if</w:t>
      </w:r>
      <w:r>
        <w:rPr>
          <w:spacing w:val="-3"/>
        </w:rPr>
        <w:t> </w:t>
      </w:r>
      <w:r>
        <w:rPr/>
        <w:t>the</w:t>
      </w:r>
      <w:r>
        <w:rPr>
          <w:spacing w:val="1"/>
        </w:rPr>
        <w:t> </w:t>
      </w:r>
      <w:r>
        <w:rPr/>
        <w:t>interval</w:t>
      </w:r>
      <w:r>
        <w:rPr>
          <w:spacing w:val="-3"/>
        </w:rPr>
        <w:t> </w:t>
      </w:r>
      <w:r>
        <w:rPr/>
        <w:t>has</w:t>
      </w:r>
      <w:r>
        <w:rPr>
          <w:spacing w:val="-3"/>
        </w:rPr>
        <w:t> </w:t>
      </w:r>
      <w:r>
        <w:rPr/>
        <w:t>higher</w:t>
      </w:r>
      <w:r>
        <w:rPr>
          <w:spacing w:val="-2"/>
        </w:rPr>
        <w:t> </w:t>
      </w:r>
      <w:r>
        <w:rPr/>
        <w:t>organic</w:t>
      </w:r>
      <w:r>
        <w:rPr>
          <w:spacing w:val="-3"/>
        </w:rPr>
        <w:t> </w:t>
      </w:r>
      <w:r>
        <w:rPr/>
        <w:t>matter</w:t>
      </w:r>
      <w:r>
        <w:rPr>
          <w:spacing w:val="-4"/>
        </w:rPr>
        <w:t> </w:t>
      </w:r>
      <w:r>
        <w:rPr/>
        <w:t>(up</w:t>
      </w:r>
      <w:r>
        <w:rPr>
          <w:spacing w:val="-3"/>
        </w:rPr>
        <w:t> </w:t>
      </w:r>
      <w:r>
        <w:rPr/>
        <w:t>to</w:t>
      </w:r>
      <w:r>
        <w:rPr>
          <w:spacing w:val="2"/>
        </w:rPr>
        <w:t> </w:t>
      </w:r>
      <w:r>
        <w:rPr/>
        <w:t>10%</w:t>
      </w:r>
      <w:r>
        <w:rPr>
          <w:spacing w:val="-4"/>
        </w:rPr>
        <w:t> </w:t>
      </w:r>
      <w:r>
        <w:rPr/>
        <w:t>TOC),</w:t>
      </w:r>
      <w:r>
        <w:rPr>
          <w:spacing w:val="-51"/>
        </w:rPr>
        <w:t> </w:t>
      </w:r>
      <w:r>
        <w:rPr/>
        <w:t>then it is interpreted as a TST (Isaksen and Bohacs, 1995). Condensed sections lying between</w:t>
      </w:r>
      <w:r>
        <w:rPr>
          <w:spacing w:val="1"/>
        </w:rPr>
        <w:t> </w:t>
      </w:r>
      <w:r>
        <w:rPr/>
        <w:t>the late TST and the maximum flooding surface (MFS) at the beginning of the HST have the</w:t>
      </w:r>
      <w:r>
        <w:rPr>
          <w:spacing w:val="1"/>
        </w:rPr>
        <w:t> </w:t>
      </w:r>
      <w:r>
        <w:rPr/>
        <w:t>highest TOC and best source rock potential (Slatt et al., 2012b). This, however, is not always the</w:t>
      </w:r>
      <w:r>
        <w:rPr>
          <w:spacing w:val="-52"/>
        </w:rPr>
        <w:t> </w:t>
      </w:r>
      <w:r>
        <w:rPr/>
        <w:t>case; in the Woodford Shale, the TST/HST boundary does not contain the highest TOC, but</w:t>
      </w:r>
      <w:r>
        <w:rPr>
          <w:spacing w:val="1"/>
        </w:rPr>
        <w:t> </w:t>
      </w:r>
      <w:r>
        <w:rPr/>
        <w:t>instead, the Middle Woodford Shale does and is characterized by an overall transgressive</w:t>
      </w:r>
      <w:r>
        <w:rPr>
          <w:spacing w:val="1"/>
        </w:rPr>
        <w:t> </w:t>
      </w:r>
      <w:r>
        <w:rPr/>
        <w:t>pattern</w:t>
      </w:r>
      <w:r>
        <w:rPr>
          <w:spacing w:val="-2"/>
        </w:rPr>
        <w:t> </w:t>
      </w:r>
      <w:r>
        <w:rPr/>
        <w:t>(Molinares-Blanco,</w:t>
      </w:r>
      <w:r>
        <w:rPr>
          <w:spacing w:val="-1"/>
        </w:rPr>
        <w:t> </w:t>
      </w:r>
      <w:r>
        <w:rPr/>
        <w:t>2013).</w:t>
      </w:r>
    </w:p>
    <w:p>
      <w:pPr>
        <w:pStyle w:val="BodyText"/>
        <w:spacing w:line="480" w:lineRule="auto" w:before="160"/>
        <w:ind w:left="120" w:right="636" w:firstLine="706"/>
      </w:pPr>
      <w:r>
        <w:rPr/>
        <w:t>In the Woodford Shale, high organic productivity is tied to the restriction of marine</w:t>
      </w:r>
      <w:r>
        <w:rPr>
          <w:spacing w:val="1"/>
        </w:rPr>
        <w:t> </w:t>
      </w:r>
      <w:r>
        <w:rPr/>
        <w:t>circulation. Topography underlying the Woodford Shale likely resulted in areas of restricted</w:t>
      </w:r>
      <w:r>
        <w:rPr>
          <w:spacing w:val="1"/>
        </w:rPr>
        <w:t> </w:t>
      </w:r>
      <w:r>
        <w:rPr/>
        <w:t>marine circulation resulting in organic-rich shale deposits (Molinares-Blanco, 2013). On the</w:t>
      </w:r>
      <w:r>
        <w:rPr>
          <w:spacing w:val="1"/>
        </w:rPr>
        <w:t> </w:t>
      </w:r>
      <w:r>
        <w:rPr/>
        <w:t>Wyche-1 core, the regressive and transgressive cycles were found based on gamma-ray</w:t>
      </w:r>
      <w:r>
        <w:rPr>
          <w:spacing w:val="1"/>
        </w:rPr>
        <w:t> </w:t>
      </w:r>
      <w:r>
        <w:rPr/>
        <w:t>readings</w:t>
      </w:r>
      <w:r>
        <w:rPr>
          <w:spacing w:val="-4"/>
        </w:rPr>
        <w:t> </w:t>
      </w:r>
      <w:r>
        <w:rPr/>
        <w:t>(Buckner</w:t>
      </w:r>
      <w:r>
        <w:rPr>
          <w:spacing w:val="-2"/>
        </w:rPr>
        <w:t> </w:t>
      </w:r>
      <w:r>
        <w:rPr/>
        <w:t>et</w:t>
      </w:r>
      <w:r>
        <w:rPr>
          <w:spacing w:val="3"/>
        </w:rPr>
        <w:t> </w:t>
      </w:r>
      <w:r>
        <w:rPr/>
        <w:t>al.,</w:t>
      </w:r>
      <w:r>
        <w:rPr>
          <w:spacing w:val="-3"/>
        </w:rPr>
        <w:t> </w:t>
      </w:r>
      <w:r>
        <w:rPr/>
        <w:t>2009;</w:t>
      </w:r>
      <w:r>
        <w:rPr>
          <w:spacing w:val="-2"/>
        </w:rPr>
        <w:t> </w:t>
      </w:r>
      <w:r>
        <w:rPr/>
        <w:t>Slatt</w:t>
      </w:r>
      <w:r>
        <w:rPr>
          <w:spacing w:val="-3"/>
        </w:rPr>
        <w:t> </w:t>
      </w:r>
      <w:r>
        <w:rPr/>
        <w:t>et</w:t>
      </w:r>
      <w:r>
        <w:rPr>
          <w:spacing w:val="-3"/>
        </w:rPr>
        <w:t> </w:t>
      </w:r>
      <w:r>
        <w:rPr/>
        <w:t>al.,</w:t>
      </w:r>
      <w:r>
        <w:rPr>
          <w:spacing w:val="-1"/>
        </w:rPr>
        <w:t> </w:t>
      </w:r>
      <w:r>
        <w:rPr/>
        <w:t>2012a)</w:t>
      </w:r>
      <w:r>
        <w:rPr>
          <w:spacing w:val="-3"/>
        </w:rPr>
        <w:t> </w:t>
      </w:r>
      <w:r>
        <w:rPr/>
        <w:t>as</w:t>
      </w:r>
      <w:r>
        <w:rPr>
          <w:spacing w:val="-1"/>
        </w:rPr>
        <w:t> </w:t>
      </w:r>
      <w:r>
        <w:rPr/>
        <w:t>shown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figure</w:t>
      </w:r>
      <w:r>
        <w:rPr>
          <w:spacing w:val="-1"/>
        </w:rPr>
        <w:t> </w:t>
      </w:r>
      <w:r>
        <w:rPr/>
        <w:t>5</w:t>
      </w:r>
      <w:r>
        <w:rPr>
          <w:spacing w:val="-2"/>
        </w:rPr>
        <w:t> </w:t>
      </w:r>
      <w:r>
        <w:rPr/>
        <w:t>(Molinares-Blanco,</w:t>
      </w:r>
      <w:r>
        <w:rPr>
          <w:spacing w:val="-1"/>
        </w:rPr>
        <w:t> </w:t>
      </w:r>
      <w:r>
        <w:rPr/>
        <w:t>2013).</w:t>
      </w:r>
    </w:p>
    <w:p>
      <w:pPr>
        <w:spacing w:after="0" w:line="480" w:lineRule="auto"/>
        <w:sectPr>
          <w:footerReference w:type="default" r:id="rId19"/>
          <w:pgSz w:w="12240" w:h="15840"/>
          <w:pgMar w:footer="1014" w:header="0" w:top="1400" w:bottom="1200" w:left="1320" w:right="820"/>
        </w:sectPr>
      </w:pPr>
    </w:p>
    <w:p>
      <w:pPr>
        <w:pStyle w:val="BodyText"/>
        <w:ind w:left="436"/>
        <w:rPr>
          <w:sz w:val="20"/>
        </w:rPr>
      </w:pPr>
      <w:r>
        <w:rPr>
          <w:sz w:val="20"/>
        </w:rPr>
        <w:drawing>
          <wp:inline distT="0" distB="0" distL="0" distR="0">
            <wp:extent cx="5541264" cy="4011167"/>
            <wp:effectExtent l="0" t="0" r="0" b="0"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1264" cy="4011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1"/>
        <w:rPr>
          <w:sz w:val="9"/>
        </w:rPr>
      </w:pPr>
    </w:p>
    <w:p>
      <w:pPr>
        <w:spacing w:before="56"/>
        <w:ind w:left="120" w:right="0" w:firstLine="0"/>
        <w:jc w:val="left"/>
        <w:rPr>
          <w:sz w:val="22"/>
        </w:rPr>
      </w:pPr>
      <w:r>
        <w:rPr>
          <w:sz w:val="22"/>
        </w:rPr>
        <w:t>Figure</w:t>
      </w:r>
      <w:r>
        <w:rPr>
          <w:spacing w:val="-2"/>
          <w:sz w:val="22"/>
        </w:rPr>
        <w:t> </w:t>
      </w:r>
      <w:r>
        <w:rPr>
          <w:sz w:val="22"/>
        </w:rPr>
        <w:t>5.</w:t>
      </w:r>
      <w:r>
        <w:rPr>
          <w:spacing w:val="-2"/>
          <w:sz w:val="22"/>
        </w:rPr>
        <w:t> </w:t>
      </w:r>
      <w:r>
        <w:rPr>
          <w:sz w:val="22"/>
        </w:rPr>
        <w:t>Borehole</w:t>
      </w:r>
      <w:r>
        <w:rPr>
          <w:spacing w:val="-2"/>
          <w:sz w:val="22"/>
        </w:rPr>
        <w:t> </w:t>
      </w:r>
      <w:r>
        <w:rPr>
          <w:sz w:val="22"/>
        </w:rPr>
        <w:t>log</w:t>
      </w:r>
      <w:r>
        <w:rPr>
          <w:spacing w:val="-3"/>
          <w:sz w:val="22"/>
        </w:rPr>
        <w:t> </w:t>
      </w:r>
      <w:r>
        <w:rPr>
          <w:sz w:val="22"/>
        </w:rPr>
        <w:t>data</w:t>
      </w:r>
      <w:r>
        <w:rPr>
          <w:spacing w:val="-4"/>
          <w:sz w:val="22"/>
        </w:rPr>
        <w:t> </w:t>
      </w:r>
      <w:r>
        <w:rPr>
          <w:sz w:val="22"/>
        </w:rPr>
        <w:t>set</w:t>
      </w:r>
      <w:r>
        <w:rPr>
          <w:spacing w:val="-1"/>
          <w:sz w:val="22"/>
        </w:rPr>
        <w:t> </w:t>
      </w:r>
      <w:r>
        <w:rPr>
          <w:sz w:val="22"/>
        </w:rPr>
        <w:t>from the</w:t>
      </w:r>
      <w:r>
        <w:rPr>
          <w:spacing w:val="-3"/>
          <w:sz w:val="22"/>
        </w:rPr>
        <w:t> </w:t>
      </w:r>
      <w:r>
        <w:rPr>
          <w:sz w:val="22"/>
        </w:rPr>
        <w:t>Wyche-1</w:t>
      </w:r>
      <w:r>
        <w:rPr>
          <w:spacing w:val="-1"/>
          <w:sz w:val="22"/>
        </w:rPr>
        <w:t> </w:t>
      </w:r>
      <w:r>
        <w:rPr>
          <w:sz w:val="22"/>
        </w:rPr>
        <w:t>well.</w:t>
      </w:r>
      <w:r>
        <w:rPr>
          <w:spacing w:val="-1"/>
          <w:sz w:val="22"/>
        </w:rPr>
        <w:t> </w:t>
      </w:r>
      <w:r>
        <w:rPr>
          <w:sz w:val="22"/>
        </w:rPr>
        <w:t>(Molinares-Blanco,</w:t>
      </w:r>
      <w:r>
        <w:rPr>
          <w:spacing w:val="-5"/>
          <w:sz w:val="22"/>
        </w:rPr>
        <w:t> </w:t>
      </w:r>
      <w:r>
        <w:rPr>
          <w:sz w:val="22"/>
        </w:rPr>
        <w:t>2013)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line="480" w:lineRule="auto" w:before="140"/>
        <w:ind w:left="120" w:right="705" w:firstLine="54"/>
      </w:pPr>
      <w:r>
        <w:rPr/>
        <w:t>Romero and Philp (2012) used a geochemical approach to define the cycles, relying on relative</w:t>
      </w:r>
      <w:r>
        <w:rPr>
          <w:spacing w:val="-52"/>
        </w:rPr>
        <w:t> </w:t>
      </w:r>
      <w:r>
        <w:rPr/>
        <w:t>hydrocarbon potential (RHP). The RHP is derived from Rock-Eval pyrolysis data ([S1+S2]/TOC)</w:t>
      </w:r>
      <w:r>
        <w:rPr>
          <w:spacing w:val="1"/>
        </w:rPr>
        <w:t> </w:t>
      </w:r>
      <w:r>
        <w:rPr/>
        <w:t>characterizing depositional environments and their temporal variations (Fang et al., 1993; Slatt</w:t>
      </w:r>
      <w:r>
        <w:rPr>
          <w:spacing w:val="-52"/>
        </w:rPr>
        <w:t> </w:t>
      </w:r>
      <w:r>
        <w:rPr/>
        <w:t>et al., 2009). Using the RHP, the vertical organic facies changes or vertical organic facies</w:t>
      </w:r>
      <w:r>
        <w:rPr>
          <w:spacing w:val="1"/>
        </w:rPr>
        <w:t> </w:t>
      </w:r>
      <w:r>
        <w:rPr/>
        <w:t>sequences</w:t>
      </w:r>
      <w:r>
        <w:rPr>
          <w:spacing w:val="-3"/>
        </w:rPr>
        <w:t> </w:t>
      </w:r>
      <w:r>
        <w:rPr/>
        <w:t>(VOFS)</w:t>
      </w:r>
      <w:r>
        <w:rPr>
          <w:spacing w:val="-3"/>
        </w:rPr>
        <w:t> </w:t>
      </w:r>
      <w:r>
        <w:rPr/>
        <w:t>can</w:t>
      </w:r>
      <w:r>
        <w:rPr>
          <w:spacing w:val="-3"/>
        </w:rPr>
        <w:t> </w:t>
      </w:r>
      <w:r>
        <w:rPr/>
        <w:t>be</w:t>
      </w:r>
      <w:r>
        <w:rPr>
          <w:spacing w:val="-2"/>
        </w:rPr>
        <w:t> </w:t>
      </w:r>
      <w:r>
        <w:rPr/>
        <w:t>defined.</w:t>
      </w:r>
      <w:r>
        <w:rPr>
          <w:spacing w:val="-3"/>
        </w:rPr>
        <w:t> </w:t>
      </w:r>
      <w:r>
        <w:rPr/>
        <w:t>There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two main</w:t>
      </w:r>
      <w:r>
        <w:rPr>
          <w:spacing w:val="1"/>
        </w:rPr>
        <w:t> </w:t>
      </w:r>
      <w:r>
        <w:rPr/>
        <w:t>VOFSs,</w:t>
      </w:r>
      <w:r>
        <w:rPr>
          <w:spacing w:val="-4"/>
        </w:rPr>
        <w:t> </w:t>
      </w:r>
      <w:r>
        <w:rPr/>
        <w:t>rising-upward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falling-upward</w:t>
      </w:r>
      <w:r>
        <w:rPr>
          <w:spacing w:val="-52"/>
        </w:rPr>
        <w:t> </w:t>
      </w:r>
      <w:r>
        <w:rPr/>
        <w:t>sequences. The rising-upward sequence shows a change in the organic facies vertically from</w:t>
      </w:r>
      <w:r>
        <w:rPr>
          <w:spacing w:val="1"/>
        </w:rPr>
        <w:t> </w:t>
      </w:r>
      <w:r>
        <w:rPr/>
        <w:t>hydrogen poor to hydrogen-rich, indicating a change from oxic to anoxic conditions and a sea-</w:t>
      </w:r>
      <w:r>
        <w:rPr>
          <w:spacing w:val="1"/>
        </w:rPr>
        <w:t> </w:t>
      </w:r>
      <w:r>
        <w:rPr/>
        <w:t>level rise. The falling-upward sequence shows a vertical organic facies change going from</w:t>
      </w:r>
      <w:r>
        <w:rPr>
          <w:spacing w:val="1"/>
        </w:rPr>
        <w:t> </w:t>
      </w:r>
      <w:r>
        <w:rPr/>
        <w:t>hydrogen-rich</w:t>
      </w:r>
      <w:r>
        <w:rPr>
          <w:spacing w:val="-6"/>
        </w:rPr>
        <w:t> </w:t>
      </w:r>
      <w:r>
        <w:rPr/>
        <w:t>to</w:t>
      </w:r>
      <w:r>
        <w:rPr>
          <w:spacing w:val="2"/>
        </w:rPr>
        <w:t> </w:t>
      </w:r>
      <w:r>
        <w:rPr/>
        <w:t>hydrogen</w:t>
      </w:r>
      <w:r>
        <w:rPr>
          <w:spacing w:val="-2"/>
        </w:rPr>
        <w:t> </w:t>
      </w:r>
      <w:r>
        <w:rPr/>
        <w:t>poor,</w:t>
      </w:r>
      <w:r>
        <w:rPr>
          <w:spacing w:val="-4"/>
        </w:rPr>
        <w:t> </w:t>
      </w:r>
      <w:r>
        <w:rPr/>
        <w:t>indicating</w:t>
      </w:r>
      <w:r>
        <w:rPr>
          <w:spacing w:val="-5"/>
        </w:rPr>
        <w:t> </w:t>
      </w:r>
      <w:r>
        <w:rPr/>
        <w:t>a</w:t>
      </w:r>
      <w:r>
        <w:rPr>
          <w:spacing w:val="1"/>
        </w:rPr>
        <w:t> </w:t>
      </w:r>
      <w:r>
        <w:rPr/>
        <w:t>change</w:t>
      </w:r>
      <w:r>
        <w:rPr>
          <w:spacing w:val="2"/>
        </w:rPr>
        <w:t> </w:t>
      </w:r>
      <w:r>
        <w:rPr/>
        <w:t>from</w:t>
      </w:r>
      <w:r>
        <w:rPr>
          <w:spacing w:val="-2"/>
        </w:rPr>
        <w:t> </w:t>
      </w:r>
      <w:r>
        <w:rPr/>
        <w:t>anoxic</w:t>
      </w:r>
      <w:r>
        <w:rPr>
          <w:spacing w:val="-4"/>
        </w:rPr>
        <w:t> </w:t>
      </w:r>
      <w:r>
        <w:rPr/>
        <w:t>to</w:t>
      </w:r>
      <w:r>
        <w:rPr>
          <w:spacing w:val="2"/>
        </w:rPr>
        <w:t> </w:t>
      </w:r>
      <w:r>
        <w:rPr/>
        <w:t>oxic</w:t>
      </w:r>
      <w:r>
        <w:rPr>
          <w:spacing w:val="-3"/>
        </w:rPr>
        <w:t> </w:t>
      </w:r>
      <w:r>
        <w:rPr/>
        <w:t>conditions</w:t>
      </w:r>
      <w:r>
        <w:rPr>
          <w:spacing w:val="-2"/>
        </w:rPr>
        <w:t> </w:t>
      </w:r>
      <w:r>
        <w:rPr/>
        <w:t>and</w:t>
      </w:r>
      <w:r>
        <w:rPr>
          <w:spacing w:val="1"/>
        </w:rPr>
        <w:t> </w:t>
      </w:r>
      <w:r>
        <w:rPr/>
        <w:t>a</w:t>
      </w:r>
      <w:r>
        <w:rPr>
          <w:spacing w:val="-4"/>
        </w:rPr>
        <w:t> </w:t>
      </w:r>
      <w:r>
        <w:rPr/>
        <w:t>sea-</w:t>
      </w:r>
    </w:p>
    <w:p>
      <w:pPr>
        <w:spacing w:after="0" w:line="480" w:lineRule="auto"/>
        <w:sectPr>
          <w:footerReference w:type="default" r:id="rId20"/>
          <w:pgSz w:w="12240" w:h="15840"/>
          <w:pgMar w:footer="1014" w:header="0" w:top="1440" w:bottom="1200" w:left="1320" w:right="820"/>
          <w:pgNumType w:start="1"/>
        </w:sectPr>
      </w:pPr>
    </w:p>
    <w:p>
      <w:pPr>
        <w:pStyle w:val="BodyText"/>
        <w:spacing w:line="480" w:lineRule="auto" w:before="39"/>
        <w:ind w:left="120" w:right="817"/>
      </w:pPr>
      <w:r>
        <w:rPr/>
        <w:t>level</w:t>
      </w:r>
      <w:r>
        <w:rPr>
          <w:spacing w:val="-2"/>
        </w:rPr>
        <w:t> </w:t>
      </w:r>
      <w:r>
        <w:rPr/>
        <w:t>fall.</w:t>
      </w:r>
      <w:r>
        <w:rPr>
          <w:spacing w:val="-5"/>
        </w:rPr>
        <w:t> </w:t>
      </w:r>
      <w:r>
        <w:rPr/>
        <w:t>Rising-upward</w:t>
      </w:r>
      <w:r>
        <w:rPr>
          <w:spacing w:val="-4"/>
        </w:rPr>
        <w:t> </w:t>
      </w:r>
      <w:r>
        <w:rPr/>
        <w:t>VOFS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where</w:t>
      </w:r>
      <w:r>
        <w:rPr>
          <w:spacing w:val="-3"/>
        </w:rPr>
        <w:t> </w:t>
      </w:r>
      <w:r>
        <w:rPr/>
        <w:t>most</w:t>
      </w:r>
      <w:r>
        <w:rPr>
          <w:spacing w:val="-2"/>
        </w:rPr>
        <w:t> </w:t>
      </w:r>
      <w:r>
        <w:rPr/>
        <w:t>organic</w:t>
      </w:r>
      <w:r>
        <w:rPr>
          <w:spacing w:val="-3"/>
        </w:rPr>
        <w:t> </w:t>
      </w:r>
      <w:r>
        <w:rPr/>
        <w:t>matter is</w:t>
      </w:r>
      <w:r>
        <w:rPr>
          <w:spacing w:val="-2"/>
        </w:rPr>
        <w:t> </w:t>
      </w:r>
      <w:r>
        <w:rPr/>
        <w:t>preserved,</w:t>
      </w:r>
      <w:r>
        <w:rPr>
          <w:spacing w:val="-1"/>
        </w:rPr>
        <w:t> </w:t>
      </w:r>
      <w:r>
        <w:rPr/>
        <w:t>while</w:t>
      </w:r>
      <w:r>
        <w:rPr>
          <w:spacing w:val="-3"/>
        </w:rPr>
        <w:t> </w:t>
      </w:r>
      <w:r>
        <w:rPr/>
        <w:t>falling-upward</w:t>
      </w:r>
      <w:r>
        <w:rPr>
          <w:spacing w:val="-51"/>
        </w:rPr>
        <w:t> </w:t>
      </w:r>
      <w:r>
        <w:rPr/>
        <w:t>VOFS has less organic matter preservation. Romero and Philp (2012) found that based on RHP</w:t>
      </w:r>
      <w:r>
        <w:rPr>
          <w:spacing w:val="-52"/>
        </w:rPr>
        <w:t> </w:t>
      </w:r>
      <w:r>
        <w:rPr/>
        <w:t>analysis of the Wyche-1 core, there were five falling and five rising stages of sea level in the</w:t>
      </w:r>
      <w:r>
        <w:rPr>
          <w:spacing w:val="1"/>
        </w:rPr>
        <w:t> </w:t>
      </w:r>
      <w:r>
        <w:rPr/>
        <w:t>Woodford</w:t>
      </w:r>
      <w:r>
        <w:rPr>
          <w:spacing w:val="-3"/>
        </w:rPr>
        <w:t> </w:t>
      </w:r>
      <w:r>
        <w:rPr/>
        <w:t>Shale</w:t>
      </w:r>
      <w:r>
        <w:rPr>
          <w:spacing w:val="3"/>
        </w:rPr>
        <w:t> </w:t>
      </w:r>
      <w:r>
        <w:rPr/>
        <w:t>(Figure</w:t>
      </w:r>
      <w:r>
        <w:rPr>
          <w:spacing w:val="-2"/>
        </w:rPr>
        <w:t> </w:t>
      </w:r>
      <w:r>
        <w:rPr/>
        <w:t>6).</w:t>
      </w:r>
    </w:p>
    <w:p>
      <w:pPr>
        <w:pStyle w:val="BodyText"/>
        <w:spacing w:before="5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199">
            <wp:simplePos x="0" y="0"/>
            <wp:positionH relativeFrom="page">
              <wp:posOffset>960119</wp:posOffset>
            </wp:positionH>
            <wp:positionV relativeFrom="paragraph">
              <wp:posOffset>173513</wp:posOffset>
            </wp:positionV>
            <wp:extent cx="6217920" cy="3096768"/>
            <wp:effectExtent l="0" t="0" r="0" b="0"/>
            <wp:wrapTopAndBottom/>
            <wp:docPr id="11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3096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2"/>
        <w:rPr>
          <w:sz w:val="19"/>
        </w:rPr>
      </w:pPr>
    </w:p>
    <w:p>
      <w:pPr>
        <w:spacing w:before="0"/>
        <w:ind w:left="120" w:right="747" w:firstLine="0"/>
        <w:jc w:val="left"/>
        <w:rPr>
          <w:sz w:val="22"/>
        </w:rPr>
      </w:pPr>
      <w:r>
        <w:rPr>
          <w:sz w:val="22"/>
        </w:rPr>
        <w:t>Figure</w:t>
      </w:r>
      <w:r>
        <w:rPr>
          <w:spacing w:val="-2"/>
          <w:sz w:val="22"/>
        </w:rPr>
        <w:t> </w:t>
      </w:r>
      <w:r>
        <w:rPr>
          <w:sz w:val="22"/>
        </w:rPr>
        <w:t>6.</w:t>
      </w:r>
      <w:r>
        <w:rPr>
          <w:spacing w:val="-3"/>
          <w:sz w:val="22"/>
        </w:rPr>
        <w:t> </w:t>
      </w:r>
      <w:r>
        <w:rPr>
          <w:sz w:val="22"/>
        </w:rPr>
        <w:t>Sequence</w:t>
      </w:r>
      <w:r>
        <w:rPr>
          <w:spacing w:val="-1"/>
          <w:sz w:val="22"/>
        </w:rPr>
        <w:t> </w:t>
      </w:r>
      <w:r>
        <w:rPr>
          <w:sz w:val="22"/>
        </w:rPr>
        <w:t>stratigraphic</w:t>
      </w:r>
      <w:r>
        <w:rPr>
          <w:spacing w:val="-2"/>
          <w:sz w:val="22"/>
        </w:rPr>
        <w:t> </w:t>
      </w:r>
      <w:r>
        <w:rPr>
          <w:sz w:val="22"/>
        </w:rPr>
        <w:t>framework</w:t>
      </w:r>
      <w:r>
        <w:rPr>
          <w:spacing w:val="-1"/>
          <w:sz w:val="22"/>
        </w:rPr>
        <w:t> </w:t>
      </w:r>
      <w:r>
        <w:rPr>
          <w:sz w:val="22"/>
        </w:rPr>
        <w:t>developed</w:t>
      </w:r>
      <w:r>
        <w:rPr>
          <w:spacing w:val="-3"/>
          <w:sz w:val="22"/>
        </w:rPr>
        <w:t> </w:t>
      </w:r>
      <w:r>
        <w:rPr>
          <w:sz w:val="22"/>
        </w:rPr>
        <w:t>by RHP</w:t>
      </w:r>
      <w:r>
        <w:rPr>
          <w:spacing w:val="-5"/>
          <w:sz w:val="22"/>
        </w:rPr>
        <w:t> </w:t>
      </w:r>
      <w:r>
        <w:rPr>
          <w:sz w:val="22"/>
        </w:rPr>
        <w:t>analysis</w:t>
      </w:r>
      <w:r>
        <w:rPr>
          <w:spacing w:val="-5"/>
          <w:sz w:val="22"/>
        </w:rPr>
        <w:t> </w:t>
      </w:r>
      <w:r>
        <w:rPr>
          <w:sz w:val="22"/>
        </w:rPr>
        <w:t>and</w:t>
      </w:r>
      <w:r>
        <w:rPr>
          <w:spacing w:val="-1"/>
          <w:sz w:val="22"/>
        </w:rPr>
        <w:t> </w:t>
      </w:r>
      <w:r>
        <w:rPr>
          <w:sz w:val="22"/>
        </w:rPr>
        <w:t>correlation</w:t>
      </w:r>
      <w:r>
        <w:rPr>
          <w:spacing w:val="-4"/>
          <w:sz w:val="22"/>
        </w:rPr>
        <w:t> </w:t>
      </w: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sz w:val="22"/>
        </w:rPr>
        <w:t>preexisting</w:t>
      </w:r>
      <w:r>
        <w:rPr>
          <w:spacing w:val="-47"/>
          <w:sz w:val="22"/>
        </w:rPr>
        <w:t> </w:t>
      </w:r>
      <w:r>
        <w:rPr>
          <w:sz w:val="22"/>
        </w:rPr>
        <w:t>characterizations</w:t>
      </w:r>
      <w:r>
        <w:rPr>
          <w:spacing w:val="-3"/>
          <w:sz w:val="22"/>
        </w:rPr>
        <w:t> </w:t>
      </w:r>
      <w:r>
        <w:rPr>
          <w:sz w:val="22"/>
        </w:rPr>
        <w:t>of the Woodford</w:t>
      </w:r>
      <w:r>
        <w:rPr>
          <w:spacing w:val="-2"/>
          <w:sz w:val="22"/>
        </w:rPr>
        <w:t> </w:t>
      </w:r>
      <w:r>
        <w:rPr>
          <w:sz w:val="22"/>
        </w:rPr>
        <w:t>Shale</w:t>
      </w:r>
      <w:r>
        <w:rPr>
          <w:spacing w:val="-2"/>
          <w:sz w:val="22"/>
        </w:rPr>
        <w:t> </w:t>
      </w:r>
      <w:r>
        <w:rPr>
          <w:sz w:val="22"/>
        </w:rPr>
        <w:t>(Romero</w:t>
      </w:r>
      <w:r>
        <w:rPr>
          <w:spacing w:val="-2"/>
          <w:sz w:val="22"/>
        </w:rPr>
        <w:t> </w:t>
      </w:r>
      <w:r>
        <w:rPr>
          <w:sz w:val="22"/>
        </w:rPr>
        <w:t>and Philp, 2012)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line="480" w:lineRule="auto" w:before="140"/>
        <w:ind w:left="120" w:right="783" w:firstLine="54"/>
      </w:pPr>
      <w:r>
        <w:rPr/>
        <w:t>At the base of the Lower Woodford Shale, there is a major transgression followed by a small</w:t>
      </w:r>
      <w:r>
        <w:rPr>
          <w:spacing w:val="1"/>
        </w:rPr>
        <w:t> </w:t>
      </w:r>
      <w:r>
        <w:rPr/>
        <w:t>regression and followed with another transgression. This interval corresponds to a</w:t>
      </w:r>
      <w:r>
        <w:rPr>
          <w:spacing w:val="1"/>
        </w:rPr>
        <w:t> </w:t>
      </w:r>
      <w:r>
        <w:rPr/>
        <w:t>transgressive/highstand systems tract (TST/HST) correlating to dysoxic to suboxic conditions.</w:t>
      </w:r>
      <w:r>
        <w:rPr>
          <w:spacing w:val="1"/>
        </w:rPr>
        <w:t> </w:t>
      </w:r>
      <w:r>
        <w:rPr/>
        <w:t>During the Middle Woodford Shale, a major transgression was found related to a possible TST</w:t>
      </w:r>
      <w:r>
        <w:rPr>
          <w:spacing w:val="1"/>
        </w:rPr>
        <w:t> </w:t>
      </w:r>
      <w:r>
        <w:rPr/>
        <w:t>or</w:t>
      </w:r>
      <w:r>
        <w:rPr>
          <w:spacing w:val="-3"/>
        </w:rPr>
        <w:t> </w:t>
      </w:r>
      <w:r>
        <w:rPr/>
        <w:t>sea-level</w:t>
      </w:r>
      <w:r>
        <w:rPr>
          <w:spacing w:val="-2"/>
        </w:rPr>
        <w:t> </w:t>
      </w:r>
      <w:r>
        <w:rPr/>
        <w:t>rise.</w:t>
      </w:r>
      <w:r>
        <w:rPr>
          <w:spacing w:val="-5"/>
        </w:rPr>
        <w:t> </w:t>
      </w:r>
      <w:r>
        <w:rPr/>
        <w:t>The</w:t>
      </w:r>
      <w:r>
        <w:rPr>
          <w:spacing w:val="-2"/>
        </w:rPr>
        <w:t> </w:t>
      </w:r>
      <w:r>
        <w:rPr/>
        <w:t>Middle-Upper</w:t>
      </w:r>
      <w:r>
        <w:rPr>
          <w:spacing w:val="-5"/>
        </w:rPr>
        <w:t> </w:t>
      </w:r>
      <w:r>
        <w:rPr/>
        <w:t>Woodford</w:t>
      </w:r>
      <w:r>
        <w:rPr>
          <w:spacing w:val="2"/>
        </w:rPr>
        <w:t> </w:t>
      </w:r>
      <w:r>
        <w:rPr/>
        <w:t>Shale</w:t>
      </w:r>
      <w:r>
        <w:rPr>
          <w:spacing w:val="2"/>
        </w:rPr>
        <w:t> </w:t>
      </w:r>
      <w:r>
        <w:rPr/>
        <w:t>boundary</w:t>
      </w:r>
      <w:r>
        <w:rPr>
          <w:spacing w:val="-2"/>
        </w:rPr>
        <w:t> </w:t>
      </w:r>
      <w:r>
        <w:rPr/>
        <w:t>is</w:t>
      </w:r>
      <w:r>
        <w:rPr>
          <w:spacing w:val="-4"/>
        </w:rPr>
        <w:t> </w:t>
      </w:r>
      <w:r>
        <w:rPr/>
        <w:t>where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maximum</w:t>
      </w:r>
      <w:r>
        <w:rPr>
          <w:spacing w:val="-3"/>
        </w:rPr>
        <w:t> </w:t>
      </w:r>
      <w:r>
        <w:rPr/>
        <w:t>flooding</w:t>
      </w:r>
      <w:r>
        <w:rPr>
          <w:spacing w:val="-51"/>
        </w:rPr>
        <w:t> </w:t>
      </w:r>
      <w:r>
        <w:rPr/>
        <w:t>surface</w:t>
      </w:r>
      <w:r>
        <w:rPr>
          <w:spacing w:val="-3"/>
        </w:rPr>
        <w:t> </w:t>
      </w:r>
      <w:r>
        <w:rPr/>
        <w:t>(MFS)</w:t>
      </w:r>
      <w:r>
        <w:rPr>
          <w:spacing w:val="-1"/>
        </w:rPr>
        <w:t> </w:t>
      </w:r>
      <w:r>
        <w:rPr/>
        <w:t>occurs</w:t>
      </w:r>
      <w:r>
        <w:rPr>
          <w:spacing w:val="1"/>
        </w:rPr>
        <w:t> </w:t>
      </w:r>
      <w:r>
        <w:rPr/>
        <w:t>(Slatt</w:t>
      </w:r>
      <w:r>
        <w:rPr>
          <w:spacing w:val="-1"/>
        </w:rPr>
        <w:t> </w:t>
      </w:r>
      <w:r>
        <w:rPr/>
        <w:t>et</w:t>
      </w:r>
      <w:r>
        <w:rPr>
          <w:spacing w:val="-1"/>
        </w:rPr>
        <w:t> </w:t>
      </w:r>
      <w:r>
        <w:rPr/>
        <w:t>al.,</w:t>
      </w:r>
      <w:r>
        <w:rPr>
          <w:spacing w:val="-4"/>
        </w:rPr>
        <w:t> </w:t>
      </w:r>
      <w:r>
        <w:rPr/>
        <w:t>2012a);</w:t>
      </w:r>
      <w:r>
        <w:rPr>
          <w:spacing w:val="-5"/>
        </w:rPr>
        <w:t> </w:t>
      </w:r>
      <w:r>
        <w:rPr/>
        <w:t>this</w:t>
      </w:r>
      <w:r>
        <w:rPr>
          <w:spacing w:val="-1"/>
        </w:rPr>
        <w:t> </w:t>
      </w:r>
      <w:r>
        <w:rPr/>
        <w:t>is</w:t>
      </w:r>
      <w:r>
        <w:rPr>
          <w:spacing w:val="-3"/>
        </w:rPr>
        <w:t> </w:t>
      </w:r>
      <w:r>
        <w:rPr/>
        <w:t>followed</w:t>
      </w:r>
      <w:r>
        <w:rPr>
          <w:spacing w:val="3"/>
        </w:rPr>
        <w:t> </w:t>
      </w:r>
      <w:r>
        <w:rPr/>
        <w:t>by</w:t>
      </w:r>
      <w:r>
        <w:rPr>
          <w:spacing w:val="-4"/>
        </w:rPr>
        <w:t> </w:t>
      </w:r>
      <w:r>
        <w:rPr/>
        <w:t>a</w:t>
      </w:r>
      <w:r>
        <w:rPr>
          <w:spacing w:val="1"/>
        </w:rPr>
        <w:t> </w:t>
      </w:r>
      <w:r>
        <w:rPr/>
        <w:t>regression,</w:t>
      </w:r>
      <w:r>
        <w:rPr>
          <w:spacing w:val="-4"/>
        </w:rPr>
        <w:t> </w:t>
      </w:r>
      <w:r>
        <w:rPr/>
        <w:t>meaning</w:t>
      </w:r>
      <w:r>
        <w:rPr>
          <w:spacing w:val="-4"/>
        </w:rPr>
        <w:t> </w:t>
      </w:r>
      <w:r>
        <w:rPr/>
        <w:t>that</w:t>
      </w:r>
      <w:r>
        <w:rPr>
          <w:spacing w:val="-2"/>
        </w:rPr>
        <w:t> </w:t>
      </w:r>
      <w:r>
        <w:rPr/>
        <w:t>the</w:t>
      </w:r>
    </w:p>
    <w:p>
      <w:pPr>
        <w:spacing w:after="0" w:line="480" w:lineRule="auto"/>
        <w:sectPr>
          <w:pgSz w:w="12240" w:h="15840"/>
          <w:pgMar w:header="0" w:footer="1014" w:top="1400" w:bottom="1200" w:left="1320" w:right="820"/>
        </w:sectPr>
      </w:pPr>
    </w:p>
    <w:p>
      <w:pPr>
        <w:pStyle w:val="BodyText"/>
        <w:spacing w:line="480" w:lineRule="auto" w:before="39"/>
        <w:ind w:left="120" w:right="642"/>
      </w:pPr>
      <w:r>
        <w:rPr/>
        <w:t>Upper Woodford Shale was deposited during a HST with high sediment input (Romero and</w:t>
      </w:r>
      <w:r>
        <w:rPr>
          <w:spacing w:val="1"/>
        </w:rPr>
        <w:t> </w:t>
      </w:r>
      <w:r>
        <w:rPr/>
        <w:t>Philp, 2012). These interpretations were later refined, resulting in nine different lithofacies</w:t>
      </w:r>
      <w:r>
        <w:rPr>
          <w:spacing w:val="1"/>
        </w:rPr>
        <w:t> </w:t>
      </w:r>
      <w:r>
        <w:rPr/>
        <w:t>being</w:t>
      </w:r>
      <w:r>
        <w:rPr>
          <w:spacing w:val="-5"/>
        </w:rPr>
        <w:t> </w:t>
      </w:r>
      <w:r>
        <w:rPr/>
        <w:t>identified.</w:t>
      </w:r>
      <w:r>
        <w:rPr>
          <w:spacing w:val="-6"/>
        </w:rPr>
        <w:t> </w:t>
      </w:r>
      <w:r>
        <w:rPr/>
        <w:t>The</w:t>
      </w:r>
      <w:r>
        <w:rPr>
          <w:spacing w:val="1"/>
        </w:rPr>
        <w:t> </w:t>
      </w:r>
      <w:r>
        <w:rPr/>
        <w:t>Lower and</w:t>
      </w:r>
      <w:r>
        <w:rPr>
          <w:spacing w:val="-3"/>
        </w:rPr>
        <w:t> </w:t>
      </w:r>
      <w:r>
        <w:rPr/>
        <w:t>Middle</w:t>
      </w:r>
      <w:r>
        <w:rPr>
          <w:spacing w:val="-3"/>
        </w:rPr>
        <w:t> </w:t>
      </w:r>
      <w:r>
        <w:rPr/>
        <w:t>Woodford</w:t>
      </w:r>
      <w:r>
        <w:rPr>
          <w:spacing w:val="-3"/>
        </w:rPr>
        <w:t> </w:t>
      </w:r>
      <w:r>
        <w:rPr/>
        <w:t>Shale</w:t>
      </w:r>
      <w:r>
        <w:rPr>
          <w:spacing w:val="-3"/>
        </w:rPr>
        <w:t> </w:t>
      </w:r>
      <w:r>
        <w:rPr/>
        <w:t>represent</w:t>
      </w:r>
      <w:r>
        <w:rPr>
          <w:spacing w:val="1"/>
        </w:rPr>
        <w:t> </w:t>
      </w:r>
      <w:r>
        <w:rPr/>
        <w:t>second-order</w:t>
      </w:r>
      <w:r>
        <w:rPr>
          <w:spacing w:val="-1"/>
        </w:rPr>
        <w:t> </w:t>
      </w:r>
      <w:r>
        <w:rPr/>
        <w:t>TST;</w:t>
      </w:r>
      <w:r>
        <w:rPr>
          <w:spacing w:val="-3"/>
        </w:rPr>
        <w:t> </w:t>
      </w:r>
      <w:r>
        <w:rPr/>
        <w:t>they</w:t>
      </w:r>
      <w:r>
        <w:rPr>
          <w:spacing w:val="-4"/>
        </w:rPr>
        <w:t> </w:t>
      </w:r>
      <w:r>
        <w:rPr/>
        <w:t>were</w:t>
      </w:r>
      <w:r>
        <w:rPr>
          <w:spacing w:val="-51"/>
        </w:rPr>
        <w:t> </w:t>
      </w:r>
      <w:r>
        <w:rPr/>
        <w:t>characterized by five 3rd order cycles. The Upper Woodford Shale represents a 2nd order HST</w:t>
      </w:r>
      <w:r>
        <w:rPr>
          <w:spacing w:val="1"/>
        </w:rPr>
        <w:t> </w:t>
      </w:r>
      <w:r>
        <w:rPr/>
        <w:t>with</w:t>
      </w:r>
      <w:r>
        <w:rPr>
          <w:spacing w:val="-2"/>
        </w:rPr>
        <w:t> </w:t>
      </w:r>
      <w:r>
        <w:rPr/>
        <w:t>six</w:t>
      </w:r>
      <w:r>
        <w:rPr>
          <w:spacing w:val="-2"/>
        </w:rPr>
        <w:t> </w:t>
      </w:r>
      <w:r>
        <w:rPr/>
        <w:t>3rd</w:t>
      </w:r>
      <w:r>
        <w:rPr>
          <w:spacing w:val="-1"/>
        </w:rPr>
        <w:t> </w:t>
      </w:r>
      <w:r>
        <w:rPr/>
        <w:t>order</w:t>
      </w:r>
      <w:r>
        <w:rPr>
          <w:spacing w:val="-3"/>
        </w:rPr>
        <w:t> </w:t>
      </w:r>
      <w:r>
        <w:rPr/>
        <w:t>cycles (Molinares-Blanco,</w:t>
      </w:r>
      <w:r>
        <w:rPr>
          <w:spacing w:val="-2"/>
        </w:rPr>
        <w:t> </w:t>
      </w:r>
      <w:r>
        <w:rPr/>
        <w:t>2013);</w:t>
      </w:r>
      <w:r>
        <w:rPr>
          <w:spacing w:val="-1"/>
        </w:rPr>
        <w:t> </w:t>
      </w:r>
      <w:r>
        <w:rPr/>
        <w:t>(Figure</w:t>
      </w:r>
      <w:r>
        <w:rPr>
          <w:spacing w:val="-2"/>
        </w:rPr>
        <w:t> </w:t>
      </w:r>
      <w:r>
        <w:rPr/>
        <w:t>7).</w:t>
      </w:r>
    </w:p>
    <w:p>
      <w:pPr>
        <w:pStyle w:val="BodyText"/>
        <w:spacing w:before="11"/>
        <w:rPr>
          <w:sz w:val="10"/>
        </w:rPr>
      </w:pPr>
      <w:r>
        <w:rPr/>
        <w:drawing>
          <wp:anchor distT="0" distB="0" distL="0" distR="0" allowOverlap="1" layoutInCell="1" locked="0" behindDoc="0" simplePos="0" relativeHeight="200">
            <wp:simplePos x="0" y="0"/>
            <wp:positionH relativeFrom="page">
              <wp:posOffset>1319783</wp:posOffset>
            </wp:positionH>
            <wp:positionV relativeFrom="paragraph">
              <wp:posOffset>100147</wp:posOffset>
            </wp:positionV>
            <wp:extent cx="5132832" cy="4255008"/>
            <wp:effectExtent l="0" t="0" r="0" b="0"/>
            <wp:wrapTopAndBottom/>
            <wp:docPr id="13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2832" cy="4255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77"/>
        <w:ind w:left="120" w:right="917" w:firstLine="0"/>
        <w:jc w:val="left"/>
        <w:rPr>
          <w:sz w:val="22"/>
        </w:rPr>
      </w:pPr>
      <w:r>
        <w:rPr>
          <w:sz w:val="22"/>
        </w:rPr>
        <w:t>Figure</w:t>
      </w:r>
      <w:r>
        <w:rPr>
          <w:spacing w:val="-3"/>
          <w:sz w:val="22"/>
        </w:rPr>
        <w:t> </w:t>
      </w:r>
      <w:r>
        <w:rPr>
          <w:sz w:val="22"/>
        </w:rPr>
        <w:t>7.</w:t>
      </w:r>
      <w:r>
        <w:rPr>
          <w:spacing w:val="-4"/>
          <w:sz w:val="22"/>
        </w:rPr>
        <w:t> </w:t>
      </w:r>
      <w:r>
        <w:rPr>
          <w:sz w:val="22"/>
        </w:rPr>
        <w:t>Sequence</w:t>
      </w:r>
      <w:r>
        <w:rPr>
          <w:spacing w:val="-2"/>
          <w:sz w:val="22"/>
        </w:rPr>
        <w:t> </w:t>
      </w:r>
      <w:r>
        <w:rPr>
          <w:sz w:val="22"/>
        </w:rPr>
        <w:t>stratigraphic</w:t>
      </w:r>
      <w:r>
        <w:rPr>
          <w:spacing w:val="-2"/>
          <w:sz w:val="22"/>
        </w:rPr>
        <w:t> </w:t>
      </w:r>
      <w:r>
        <w:rPr>
          <w:sz w:val="22"/>
        </w:rPr>
        <w:t>framework</w:t>
      </w:r>
      <w:r>
        <w:rPr>
          <w:spacing w:val="-2"/>
          <w:sz w:val="22"/>
        </w:rPr>
        <w:t> </w:t>
      </w:r>
      <w:r>
        <w:rPr>
          <w:sz w:val="22"/>
        </w:rPr>
        <w:t>generated</w:t>
      </w:r>
      <w:r>
        <w:rPr>
          <w:spacing w:val="-4"/>
          <w:sz w:val="22"/>
        </w:rPr>
        <w:t> </w:t>
      </w:r>
      <w:r>
        <w:rPr>
          <w:sz w:val="22"/>
        </w:rPr>
        <w:t>for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Wyche-1</w:t>
      </w:r>
      <w:r>
        <w:rPr>
          <w:spacing w:val="-2"/>
          <w:sz w:val="22"/>
        </w:rPr>
        <w:t> </w:t>
      </w:r>
      <w:r>
        <w:rPr>
          <w:sz w:val="22"/>
        </w:rPr>
        <w:t>core</w:t>
      </w:r>
      <w:r>
        <w:rPr>
          <w:spacing w:val="-4"/>
          <w:sz w:val="22"/>
        </w:rPr>
        <w:t> </w:t>
      </w:r>
      <w:r>
        <w:rPr>
          <w:sz w:val="22"/>
        </w:rPr>
        <w:t>by</w:t>
      </w:r>
      <w:r>
        <w:rPr>
          <w:spacing w:val="-3"/>
          <w:sz w:val="22"/>
        </w:rPr>
        <w:t> </w:t>
      </w:r>
      <w:r>
        <w:rPr>
          <w:sz w:val="22"/>
        </w:rPr>
        <w:t>Molinares-Blanco</w:t>
      </w:r>
      <w:r>
        <w:rPr>
          <w:spacing w:val="-46"/>
          <w:sz w:val="22"/>
        </w:rPr>
        <w:t> </w:t>
      </w:r>
      <w:r>
        <w:rPr>
          <w:sz w:val="22"/>
        </w:rPr>
        <w:t>(2013).</w:t>
      </w:r>
      <w:r>
        <w:rPr>
          <w:spacing w:val="-3"/>
          <w:sz w:val="22"/>
        </w:rPr>
        <w:t> </w:t>
      </w:r>
      <w:r>
        <w:rPr>
          <w:sz w:val="22"/>
        </w:rPr>
        <w:t>UK=Upper</w:t>
      </w:r>
      <w:r>
        <w:rPr>
          <w:spacing w:val="-2"/>
          <w:sz w:val="22"/>
        </w:rPr>
        <w:t> </w:t>
      </w:r>
      <w:r>
        <w:rPr>
          <w:sz w:val="22"/>
        </w:rPr>
        <w:t>Kellwasser LK=Lower</w:t>
      </w:r>
      <w:r>
        <w:rPr>
          <w:spacing w:val="-2"/>
          <w:sz w:val="22"/>
        </w:rPr>
        <w:t> </w:t>
      </w:r>
      <w:r>
        <w:rPr>
          <w:sz w:val="22"/>
        </w:rPr>
        <w:t>Kellwasser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0"/>
        <w:rPr>
          <w:sz w:val="32"/>
        </w:rPr>
      </w:pPr>
    </w:p>
    <w:p>
      <w:pPr>
        <w:pStyle w:val="BodyText"/>
        <w:spacing w:line="480" w:lineRule="auto"/>
        <w:ind w:left="120" w:right="864" w:firstLine="54"/>
        <w:jc w:val="both"/>
      </w:pPr>
      <w:r>
        <w:rPr/>
        <w:t>Using gamma-ray logs (GR) and chemostratigraphy, the MFS was placed at 130 feet based on</w:t>
      </w:r>
      <w:r>
        <w:rPr>
          <w:spacing w:val="-52"/>
        </w:rPr>
        <w:t> </w:t>
      </w:r>
      <w:r>
        <w:rPr/>
        <w:t>the</w:t>
      </w:r>
      <w:r>
        <w:rPr>
          <w:spacing w:val="-4"/>
        </w:rPr>
        <w:t> </w:t>
      </w:r>
      <w:r>
        <w:rPr/>
        <w:t>GR,</w:t>
      </w:r>
      <w:r>
        <w:rPr>
          <w:spacing w:val="-2"/>
        </w:rPr>
        <w:t> </w:t>
      </w:r>
      <w:r>
        <w:rPr/>
        <w:t>indicating</w:t>
      </w:r>
      <w:r>
        <w:rPr>
          <w:spacing w:val="-2"/>
        </w:rPr>
        <w:t> </w:t>
      </w:r>
      <w:r>
        <w:rPr/>
        <w:t>increasing sea</w:t>
      </w:r>
      <w:r>
        <w:rPr>
          <w:spacing w:val="-2"/>
        </w:rPr>
        <w:t> </w:t>
      </w:r>
      <w:r>
        <w:rPr/>
        <w:t>level</w:t>
      </w:r>
      <w:r>
        <w:rPr>
          <w:spacing w:val="-3"/>
        </w:rPr>
        <w:t> </w:t>
      </w:r>
      <w:r>
        <w:rPr/>
        <w:t>through</w:t>
      </w:r>
      <w:r>
        <w:rPr>
          <w:spacing w:val="-3"/>
        </w:rPr>
        <w:t> </w:t>
      </w:r>
      <w:r>
        <w:rPr/>
        <w:t>the</w:t>
      </w:r>
      <w:r>
        <w:rPr>
          <w:spacing w:val="1"/>
        </w:rPr>
        <w:t> </w:t>
      </w:r>
      <w:r>
        <w:rPr/>
        <w:t>Lower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Middle</w:t>
      </w:r>
      <w:r>
        <w:rPr>
          <w:spacing w:val="-3"/>
        </w:rPr>
        <w:t> </w:t>
      </w:r>
      <w:r>
        <w:rPr/>
        <w:t>Woodford</w:t>
      </w:r>
      <w:r>
        <w:rPr>
          <w:spacing w:val="1"/>
        </w:rPr>
        <w:t> </w:t>
      </w:r>
      <w:r>
        <w:rPr/>
        <w:t>Shale</w:t>
      </w:r>
      <w:r>
        <w:rPr>
          <w:spacing w:val="-3"/>
        </w:rPr>
        <w:t> </w:t>
      </w:r>
      <w:r>
        <w:rPr/>
        <w:t>(Turner</w:t>
      </w:r>
      <w:r>
        <w:rPr>
          <w:spacing w:val="-52"/>
        </w:rPr>
        <w:t> </w:t>
      </w:r>
      <w:r>
        <w:rPr/>
        <w:t>et</w:t>
      </w:r>
      <w:r>
        <w:rPr>
          <w:spacing w:val="1"/>
        </w:rPr>
        <w:t> </w:t>
      </w:r>
      <w:r>
        <w:rPr/>
        <w:t>al.,</w:t>
      </w:r>
      <w:r>
        <w:rPr>
          <w:spacing w:val="-3"/>
        </w:rPr>
        <w:t> </w:t>
      </w:r>
      <w:r>
        <w:rPr/>
        <w:t>2015,</w:t>
      </w:r>
      <w:r>
        <w:rPr>
          <w:spacing w:val="-3"/>
        </w:rPr>
        <w:t> </w:t>
      </w:r>
      <w:r>
        <w:rPr/>
        <w:t>2016).</w:t>
      </w:r>
      <w:r>
        <w:rPr>
          <w:spacing w:val="-5"/>
        </w:rPr>
        <w:t> </w:t>
      </w:r>
      <w:r>
        <w:rPr/>
        <w:t>Chemostratigraphy</w:t>
      </w:r>
      <w:r>
        <w:rPr>
          <w:spacing w:val="-5"/>
        </w:rPr>
        <w:t> </w:t>
      </w:r>
      <w:r>
        <w:rPr/>
        <w:t>further</w:t>
      </w:r>
      <w:r>
        <w:rPr>
          <w:spacing w:val="-2"/>
        </w:rPr>
        <w:t> </w:t>
      </w:r>
      <w:r>
        <w:rPr/>
        <w:t>divides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sequences</w:t>
      </w:r>
      <w:r>
        <w:rPr>
          <w:spacing w:val="-3"/>
        </w:rPr>
        <w:t> </w:t>
      </w:r>
      <w:r>
        <w:rPr/>
        <w:t>detecting</w:t>
      </w:r>
      <w:r>
        <w:rPr>
          <w:spacing w:val="-4"/>
        </w:rPr>
        <w:t> </w:t>
      </w:r>
      <w:r>
        <w:rPr/>
        <w:t>four</w:t>
      </w:r>
      <w:r>
        <w:rPr>
          <w:spacing w:val="-2"/>
        </w:rPr>
        <w:t> </w:t>
      </w:r>
      <w:r>
        <w:rPr/>
        <w:t>4th</w:t>
      </w:r>
      <w:r>
        <w:rPr>
          <w:spacing w:val="-2"/>
        </w:rPr>
        <w:t> </w:t>
      </w:r>
      <w:r>
        <w:rPr/>
        <w:t>order</w:t>
      </w:r>
    </w:p>
    <w:p>
      <w:pPr>
        <w:spacing w:after="0" w:line="480" w:lineRule="auto"/>
        <w:jc w:val="both"/>
        <w:sectPr>
          <w:pgSz w:w="12240" w:h="15840"/>
          <w:pgMar w:header="0" w:footer="1014" w:top="1400" w:bottom="1200" w:left="1320" w:right="820"/>
        </w:sectPr>
      </w:pPr>
    </w:p>
    <w:p>
      <w:pPr>
        <w:pStyle w:val="BodyText"/>
        <w:spacing w:line="480" w:lineRule="auto" w:before="39"/>
        <w:ind w:left="120" w:right="747"/>
      </w:pPr>
      <w:r>
        <w:rPr/>
        <w:t>parasequences</w:t>
      </w:r>
      <w:r>
        <w:rPr>
          <w:spacing w:val="-3"/>
        </w:rPr>
        <w:t> </w:t>
      </w:r>
      <w:r>
        <w:rPr/>
        <w:t>indicating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retreat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advancement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shoreline</w:t>
      </w:r>
      <w:r>
        <w:rPr>
          <w:spacing w:val="-3"/>
        </w:rPr>
        <w:t> </w:t>
      </w:r>
      <w:r>
        <w:rPr/>
        <w:t>occurring</w:t>
      </w:r>
      <w:r>
        <w:rPr>
          <w:spacing w:val="-3"/>
        </w:rPr>
        <w:t> </w:t>
      </w:r>
      <w:r>
        <w:rPr/>
        <w:t>during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3rd</w:t>
      </w:r>
      <w:r>
        <w:rPr>
          <w:spacing w:val="-51"/>
        </w:rPr>
        <w:t> </w:t>
      </w:r>
      <w:r>
        <w:rPr/>
        <w:t>order TST. The HST contains four 4th order parasequences detected by clay, biogenic quartz,</w:t>
      </w:r>
      <w:r>
        <w:rPr>
          <w:spacing w:val="1"/>
        </w:rPr>
        <w:t> </w:t>
      </w:r>
      <w:r>
        <w:rPr/>
        <w:t>and</w:t>
      </w:r>
      <w:r>
        <w:rPr>
          <w:spacing w:val="2"/>
        </w:rPr>
        <w:t> </w:t>
      </w:r>
      <w:r>
        <w:rPr/>
        <w:t>carbonate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detritus</w:t>
      </w:r>
      <w:r>
        <w:rPr>
          <w:spacing w:val="-1"/>
        </w:rPr>
        <w:t> </w:t>
      </w:r>
      <w:r>
        <w:rPr/>
        <w:t>elemental</w:t>
      </w:r>
      <w:r>
        <w:rPr>
          <w:spacing w:val="-2"/>
        </w:rPr>
        <w:t> </w:t>
      </w:r>
      <w:r>
        <w:rPr/>
        <w:t>proxies</w:t>
      </w:r>
      <w:r>
        <w:rPr>
          <w:spacing w:val="-2"/>
        </w:rPr>
        <w:t> </w:t>
      </w:r>
      <w:r>
        <w:rPr/>
        <w:t>(Turner</w:t>
      </w:r>
      <w:r>
        <w:rPr>
          <w:spacing w:val="-2"/>
        </w:rPr>
        <w:t> </w:t>
      </w:r>
      <w:r>
        <w:rPr/>
        <w:t>et</w:t>
      </w:r>
      <w:r>
        <w:rPr>
          <w:spacing w:val="-1"/>
        </w:rPr>
        <w:t> </w:t>
      </w:r>
      <w:r>
        <w:rPr/>
        <w:t>al.,</w:t>
      </w:r>
      <w:r>
        <w:rPr>
          <w:spacing w:val="-2"/>
        </w:rPr>
        <w:t> </w:t>
      </w:r>
      <w:r>
        <w:rPr/>
        <w:t>2015);</w:t>
      </w:r>
      <w:r>
        <w:rPr>
          <w:spacing w:val="-1"/>
        </w:rPr>
        <w:t> </w:t>
      </w:r>
      <w:r>
        <w:rPr/>
        <w:t>(Figure</w:t>
      </w:r>
      <w:r>
        <w:rPr>
          <w:spacing w:val="-2"/>
        </w:rPr>
        <w:t> </w:t>
      </w:r>
      <w:r>
        <w:rPr/>
        <w:t>8).</w:t>
      </w:r>
    </w:p>
    <w:p>
      <w:pPr>
        <w:pStyle w:val="BodyText"/>
        <w:spacing w:before="3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201">
            <wp:simplePos x="0" y="0"/>
            <wp:positionH relativeFrom="page">
              <wp:posOffset>935736</wp:posOffset>
            </wp:positionH>
            <wp:positionV relativeFrom="paragraph">
              <wp:posOffset>149344</wp:posOffset>
            </wp:positionV>
            <wp:extent cx="5876545" cy="2731007"/>
            <wp:effectExtent l="0" t="0" r="0" b="0"/>
            <wp:wrapTopAndBottom/>
            <wp:docPr id="15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6545" cy="27310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rPr>
          <w:sz w:val="25"/>
        </w:rPr>
      </w:pPr>
    </w:p>
    <w:p>
      <w:pPr>
        <w:spacing w:before="0"/>
        <w:ind w:left="120" w:right="917" w:firstLine="0"/>
        <w:jc w:val="left"/>
        <w:rPr>
          <w:sz w:val="22"/>
        </w:rPr>
      </w:pPr>
      <w:r>
        <w:rPr>
          <w:sz w:val="22"/>
        </w:rPr>
        <w:t>Figure</w:t>
      </w:r>
      <w:r>
        <w:rPr>
          <w:spacing w:val="-1"/>
          <w:sz w:val="22"/>
        </w:rPr>
        <w:t> </w:t>
      </w:r>
      <w:r>
        <w:rPr>
          <w:sz w:val="22"/>
        </w:rPr>
        <w:t>8.</w:t>
      </w:r>
      <w:r>
        <w:rPr>
          <w:spacing w:val="-2"/>
          <w:sz w:val="22"/>
        </w:rPr>
        <w:t> </w:t>
      </w:r>
      <w:r>
        <w:rPr>
          <w:sz w:val="22"/>
        </w:rPr>
        <w:t>Gamma ray, trace</w:t>
      </w:r>
      <w:r>
        <w:rPr>
          <w:spacing w:val="-2"/>
          <w:sz w:val="22"/>
        </w:rPr>
        <w:t> </w:t>
      </w:r>
      <w:r>
        <w:rPr>
          <w:sz w:val="22"/>
        </w:rPr>
        <w:t>element,</w:t>
      </w:r>
      <w:r>
        <w:rPr>
          <w:spacing w:val="-2"/>
          <w:sz w:val="22"/>
        </w:rPr>
        <w:t> </w:t>
      </w:r>
      <w:r>
        <w:rPr>
          <w:sz w:val="22"/>
        </w:rPr>
        <w:t>organic</w:t>
      </w:r>
      <w:r>
        <w:rPr>
          <w:spacing w:val="-3"/>
          <w:sz w:val="22"/>
        </w:rPr>
        <w:t> </w:t>
      </w:r>
      <w:r>
        <w:rPr>
          <w:sz w:val="22"/>
        </w:rPr>
        <w:t>richness,</w:t>
      </w:r>
      <w:r>
        <w:rPr>
          <w:spacing w:val="-6"/>
          <w:sz w:val="22"/>
        </w:rPr>
        <w:t> </w:t>
      </w:r>
      <w:r>
        <w:rPr>
          <w:sz w:val="22"/>
        </w:rPr>
        <w:t>and</w:t>
      </w:r>
      <w:r>
        <w:rPr>
          <w:spacing w:val="-2"/>
          <w:sz w:val="22"/>
        </w:rPr>
        <w:t> </w:t>
      </w:r>
      <w:r>
        <w:rPr>
          <w:sz w:val="22"/>
        </w:rPr>
        <w:t>pollen index</w:t>
      </w:r>
      <w:r>
        <w:rPr>
          <w:spacing w:val="-2"/>
          <w:sz w:val="22"/>
        </w:rPr>
        <w:t> </w:t>
      </w:r>
      <w:r>
        <w:rPr>
          <w:sz w:val="22"/>
        </w:rPr>
        <w:t>logs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the Wyche-1 core.</w:t>
      </w:r>
      <w:r>
        <w:rPr>
          <w:spacing w:val="-46"/>
          <w:sz w:val="22"/>
        </w:rPr>
        <w:t> </w:t>
      </w:r>
      <w:r>
        <w:rPr>
          <w:sz w:val="22"/>
        </w:rPr>
        <w:t>(Turner</w:t>
      </w:r>
      <w:r>
        <w:rPr>
          <w:spacing w:val="-1"/>
          <w:sz w:val="22"/>
        </w:rPr>
        <w:t> </w:t>
      </w:r>
      <w:r>
        <w:rPr>
          <w:sz w:val="22"/>
        </w:rPr>
        <w:t>et</w:t>
      </w:r>
      <w:r>
        <w:rPr>
          <w:spacing w:val="-1"/>
          <w:sz w:val="22"/>
        </w:rPr>
        <w:t> </w:t>
      </w:r>
      <w:r>
        <w:rPr>
          <w:sz w:val="22"/>
        </w:rPr>
        <w:t>al.,</w:t>
      </w:r>
      <w:r>
        <w:rPr>
          <w:spacing w:val="-2"/>
          <w:sz w:val="22"/>
        </w:rPr>
        <w:t> </w:t>
      </w:r>
      <w:r>
        <w:rPr>
          <w:sz w:val="22"/>
        </w:rPr>
        <w:t>2015)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ListParagraph"/>
        <w:numPr>
          <w:ilvl w:val="1"/>
          <w:numId w:val="3"/>
        </w:numPr>
        <w:tabs>
          <w:tab w:pos="478" w:val="left" w:leader="none"/>
        </w:tabs>
        <w:spacing w:line="240" w:lineRule="auto" w:before="141" w:after="0"/>
        <w:ind w:left="477" w:right="0" w:hanging="358"/>
        <w:jc w:val="left"/>
        <w:rPr>
          <w:i/>
          <w:sz w:val="24"/>
        </w:rPr>
      </w:pPr>
      <w:r>
        <w:rPr>
          <w:i/>
          <w:sz w:val="24"/>
        </w:rPr>
        <w:t>Mass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Extinctions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Frasnian-Famennian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Boundary</w:t>
      </w:r>
    </w:p>
    <w:p>
      <w:pPr>
        <w:pStyle w:val="BodyText"/>
        <w:rPr>
          <w:i/>
        </w:rPr>
      </w:pPr>
    </w:p>
    <w:p>
      <w:pPr>
        <w:pStyle w:val="BodyText"/>
        <w:spacing w:line="480" w:lineRule="auto" w:before="158"/>
        <w:ind w:left="120" w:right="660" w:firstLine="706"/>
      </w:pPr>
      <w:r>
        <w:rPr/>
        <w:t>Contained within the Woodford Shale is one of the five major mass extinction events.</w:t>
      </w:r>
      <w:r>
        <w:rPr>
          <w:spacing w:val="1"/>
        </w:rPr>
        <w:t> </w:t>
      </w:r>
      <w:r>
        <w:rPr/>
        <w:t>This mass extinction is considered to have resulted from two events in the Late Devonian; the</w:t>
      </w:r>
      <w:r>
        <w:rPr>
          <w:spacing w:val="1"/>
        </w:rPr>
        <w:t> </w:t>
      </w:r>
      <w:r>
        <w:rPr/>
        <w:t>first is the Kellwasser event at the Frasnian-Famennian boundary (F/F), which is often split into</w:t>
      </w:r>
      <w:r>
        <w:rPr>
          <w:spacing w:val="-52"/>
        </w:rPr>
        <w:t> </w:t>
      </w:r>
      <w:r>
        <w:rPr/>
        <w:t>two separate events, the Lower Kellwasser (LK) and Upper Kellwasser (UK). The second is the</w:t>
      </w:r>
      <w:r>
        <w:rPr>
          <w:spacing w:val="1"/>
        </w:rPr>
        <w:t> </w:t>
      </w:r>
      <w:r>
        <w:rPr/>
        <w:t>Hangenberg event at the Devonian-Carboniferous boundary. During this extinction, 22% of all</w:t>
      </w:r>
      <w:r>
        <w:rPr>
          <w:spacing w:val="1"/>
        </w:rPr>
        <w:t> </w:t>
      </w:r>
      <w:r>
        <w:rPr/>
        <w:t>marine</w:t>
      </w:r>
      <w:r>
        <w:rPr>
          <w:spacing w:val="-4"/>
        </w:rPr>
        <w:t> </w:t>
      </w:r>
      <w:r>
        <w:rPr/>
        <w:t>families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50%</w:t>
      </w:r>
      <w:r>
        <w:rPr>
          <w:spacing w:val="-4"/>
        </w:rPr>
        <w:t> </w:t>
      </w:r>
      <w:r>
        <w:rPr/>
        <w:t>of</w:t>
      </w:r>
      <w:r>
        <w:rPr>
          <w:spacing w:val="2"/>
        </w:rPr>
        <w:t> </w:t>
      </w:r>
      <w:r>
        <w:rPr/>
        <w:t>genera</w:t>
      </w:r>
      <w:r>
        <w:rPr>
          <w:spacing w:val="-2"/>
        </w:rPr>
        <w:t> </w:t>
      </w:r>
      <w:r>
        <w:rPr/>
        <w:t>were</w:t>
      </w:r>
      <w:r>
        <w:rPr>
          <w:spacing w:val="-2"/>
        </w:rPr>
        <w:t> </w:t>
      </w:r>
      <w:r>
        <w:rPr/>
        <w:t>lost</w:t>
      </w:r>
      <w:r>
        <w:rPr>
          <w:spacing w:val="-2"/>
        </w:rPr>
        <w:t> </w:t>
      </w:r>
      <w:r>
        <w:rPr/>
        <w:t>(Algeo</w:t>
      </w:r>
      <w:r>
        <w:rPr>
          <w:spacing w:val="-2"/>
        </w:rPr>
        <w:t> </w:t>
      </w:r>
      <w:r>
        <w:rPr/>
        <w:t>et</w:t>
      </w:r>
      <w:r>
        <w:rPr>
          <w:spacing w:val="-3"/>
        </w:rPr>
        <w:t> </w:t>
      </w:r>
      <w:r>
        <w:rPr/>
        <w:t>al.,</w:t>
      </w:r>
      <w:r>
        <w:rPr>
          <w:spacing w:val="-3"/>
        </w:rPr>
        <w:t> </w:t>
      </w:r>
      <w:r>
        <w:rPr/>
        <w:t>1995;</w:t>
      </w:r>
      <w:r>
        <w:rPr>
          <w:spacing w:val="-2"/>
        </w:rPr>
        <w:t> </w:t>
      </w:r>
      <w:r>
        <w:rPr/>
        <w:t>McGhee,</w:t>
      </w:r>
      <w:r>
        <w:rPr>
          <w:spacing w:val="-1"/>
        </w:rPr>
        <w:t> </w:t>
      </w:r>
      <w:r>
        <w:rPr/>
        <w:t>1996).</w:t>
      </w:r>
      <w:r>
        <w:rPr>
          <w:spacing w:val="-3"/>
        </w:rPr>
        <w:t> </w:t>
      </w:r>
      <w:r>
        <w:rPr/>
        <w:t>Shallow</w:t>
      </w:r>
      <w:r>
        <w:rPr>
          <w:spacing w:val="-2"/>
        </w:rPr>
        <w:t> </w:t>
      </w:r>
      <w:r>
        <w:rPr/>
        <w:t>water</w:t>
      </w:r>
      <w:r>
        <w:rPr>
          <w:spacing w:val="-51"/>
        </w:rPr>
        <w:t> </w:t>
      </w:r>
      <w:r>
        <w:rPr/>
        <w:t>families</w:t>
      </w:r>
      <w:r>
        <w:rPr>
          <w:spacing w:val="-2"/>
        </w:rPr>
        <w:t> </w:t>
      </w:r>
      <w:r>
        <w:rPr/>
        <w:t>residing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1"/>
        </w:rPr>
        <w:t> </w:t>
      </w:r>
      <w:r>
        <w:rPr/>
        <w:t>warm</w:t>
      </w:r>
      <w:r>
        <w:rPr>
          <w:spacing w:val="-2"/>
        </w:rPr>
        <w:t> </w:t>
      </w:r>
      <w:r>
        <w:rPr/>
        <w:t>equatorial</w:t>
      </w:r>
      <w:r>
        <w:rPr>
          <w:spacing w:val="-3"/>
        </w:rPr>
        <w:t> </w:t>
      </w:r>
      <w:r>
        <w:rPr/>
        <w:t>and</w:t>
      </w:r>
      <w:r>
        <w:rPr>
          <w:spacing w:val="-1"/>
        </w:rPr>
        <w:t> </w:t>
      </w:r>
      <w:r>
        <w:rPr/>
        <w:t>tropical</w:t>
      </w:r>
      <w:r>
        <w:rPr>
          <w:spacing w:val="2"/>
        </w:rPr>
        <w:t> </w:t>
      </w:r>
      <w:r>
        <w:rPr/>
        <w:t>waters</w:t>
      </w:r>
      <w:r>
        <w:rPr>
          <w:spacing w:val="-5"/>
        </w:rPr>
        <w:t> </w:t>
      </w:r>
      <w:r>
        <w:rPr/>
        <w:t>were</w:t>
      </w:r>
      <w:r>
        <w:rPr>
          <w:spacing w:val="-2"/>
        </w:rPr>
        <w:t> </w:t>
      </w:r>
      <w:r>
        <w:rPr/>
        <w:t>most</w:t>
      </w:r>
      <w:r>
        <w:rPr>
          <w:spacing w:val="-3"/>
        </w:rPr>
        <w:t> </w:t>
      </w:r>
      <w:r>
        <w:rPr/>
        <w:t>affected</w:t>
      </w:r>
      <w:r>
        <w:rPr>
          <w:spacing w:val="-2"/>
        </w:rPr>
        <w:t> </w:t>
      </w:r>
      <w:r>
        <w:rPr/>
        <w:t>by this</w:t>
      </w:r>
    </w:p>
    <w:p>
      <w:pPr>
        <w:spacing w:after="0" w:line="480" w:lineRule="auto"/>
        <w:sectPr>
          <w:pgSz w:w="12240" w:h="15840"/>
          <w:pgMar w:header="0" w:footer="1014" w:top="1400" w:bottom="1200" w:left="1320" w:right="820"/>
        </w:sectPr>
      </w:pPr>
    </w:p>
    <w:p>
      <w:pPr>
        <w:pStyle w:val="BodyText"/>
        <w:spacing w:line="480" w:lineRule="auto" w:before="39"/>
        <w:ind w:left="120" w:right="660"/>
      </w:pPr>
      <w:r>
        <w:rPr/>
        <w:t>extinction, while paleontological data shows polar families and those in deeper, cooler water</w:t>
      </w:r>
      <w:r>
        <w:rPr>
          <w:spacing w:val="1"/>
        </w:rPr>
        <w:t> </w:t>
      </w:r>
      <w:r>
        <w:rPr/>
        <w:t>fared much better (Copper, 1986). Jawless fish, brachiopods, ammonites, and trilobites were</w:t>
      </w:r>
      <w:r>
        <w:rPr>
          <w:spacing w:val="1"/>
        </w:rPr>
        <w:t> </w:t>
      </w:r>
      <w:r>
        <w:rPr/>
        <w:t>some of the most impacted by this extinction. However, the most significant losses were the</w:t>
      </w:r>
      <w:r>
        <w:rPr>
          <w:spacing w:val="1"/>
        </w:rPr>
        <w:t> </w:t>
      </w:r>
      <w:r>
        <w:rPr/>
        <w:t>warm water reef systems. Before the extinction events, warm-water reef systems covered</w:t>
      </w:r>
      <w:r>
        <w:rPr>
          <w:spacing w:val="1"/>
        </w:rPr>
        <w:t> </w:t>
      </w:r>
      <w:r>
        <w:rPr/>
        <w:t>5,000,000 km</w:t>
      </w:r>
      <w:r>
        <w:rPr>
          <w:vertAlign w:val="superscript"/>
        </w:rPr>
        <w:t>2</w:t>
      </w:r>
      <w:r>
        <w:rPr>
          <w:vertAlign w:val="baseline"/>
        </w:rPr>
        <w:t>, ten times modern reef systems; following the extinction events, they were</w:t>
      </w:r>
      <w:r>
        <w:rPr>
          <w:spacing w:val="1"/>
          <w:vertAlign w:val="baseline"/>
        </w:rPr>
        <w:t> </w:t>
      </w:r>
      <w:r>
        <w:rPr>
          <w:vertAlign w:val="baseline"/>
        </w:rPr>
        <w:t>reduced to less than 1,000 km</w:t>
      </w:r>
      <w:r>
        <w:rPr>
          <w:vertAlign w:val="superscript"/>
        </w:rPr>
        <w:t>2</w:t>
      </w:r>
      <w:r>
        <w:rPr>
          <w:vertAlign w:val="baseline"/>
        </w:rPr>
        <w:t> (McGhee, 1996). These reef systems would not even begin to</w:t>
      </w:r>
      <w:r>
        <w:rPr>
          <w:spacing w:val="1"/>
          <w:vertAlign w:val="baseline"/>
        </w:rPr>
        <w:t> </w:t>
      </w:r>
      <w:r>
        <w:rPr>
          <w:vertAlign w:val="baseline"/>
        </w:rPr>
        <w:t>recover until the Mesozoic era and arguably still have yet to recover to their previous</w:t>
      </w:r>
      <w:r>
        <w:rPr>
          <w:spacing w:val="1"/>
          <w:vertAlign w:val="baseline"/>
        </w:rPr>
        <w:t> </w:t>
      </w:r>
      <w:r>
        <w:rPr>
          <w:vertAlign w:val="baseline"/>
        </w:rPr>
        <w:t>prevalence (Algeo et al., 1995). The cause for these extinctions is still debated, but there are</w:t>
      </w:r>
      <w:r>
        <w:rPr>
          <w:spacing w:val="1"/>
          <w:vertAlign w:val="baseline"/>
        </w:rPr>
        <w:t> </w:t>
      </w:r>
      <w:r>
        <w:rPr>
          <w:vertAlign w:val="baseline"/>
        </w:rPr>
        <w:t>multiple</w:t>
      </w:r>
      <w:r>
        <w:rPr>
          <w:spacing w:val="-4"/>
          <w:vertAlign w:val="baseline"/>
        </w:rPr>
        <w:t> </w:t>
      </w:r>
      <w:r>
        <w:rPr>
          <w:vertAlign w:val="baseline"/>
        </w:rPr>
        <w:t>hypotheses,</w:t>
      </w:r>
      <w:r>
        <w:rPr>
          <w:spacing w:val="-3"/>
          <w:vertAlign w:val="baseline"/>
        </w:rPr>
        <w:t> </w:t>
      </w:r>
      <w:r>
        <w:rPr>
          <w:vertAlign w:val="baseline"/>
        </w:rPr>
        <w:t>many</w:t>
      </w:r>
      <w:r>
        <w:rPr>
          <w:spacing w:val="-3"/>
          <w:vertAlign w:val="baseline"/>
        </w:rPr>
        <w:t> </w:t>
      </w:r>
      <w:r>
        <w:rPr>
          <w:vertAlign w:val="baseline"/>
        </w:rPr>
        <w:t>of</w:t>
      </w:r>
      <w:r>
        <w:rPr>
          <w:spacing w:val="-3"/>
          <w:vertAlign w:val="baseline"/>
        </w:rPr>
        <w:t> </w:t>
      </w:r>
      <w:r>
        <w:rPr>
          <w:vertAlign w:val="baseline"/>
        </w:rPr>
        <w:t>which</w:t>
      </w:r>
      <w:r>
        <w:rPr>
          <w:spacing w:val="-4"/>
          <w:vertAlign w:val="baseline"/>
        </w:rPr>
        <w:t> </w:t>
      </w:r>
      <w:r>
        <w:rPr>
          <w:vertAlign w:val="baseline"/>
        </w:rPr>
        <w:t>are</w:t>
      </w:r>
      <w:r>
        <w:rPr>
          <w:spacing w:val="-3"/>
          <w:vertAlign w:val="baseline"/>
        </w:rPr>
        <w:t> </w:t>
      </w:r>
      <w:r>
        <w:rPr>
          <w:vertAlign w:val="baseline"/>
        </w:rPr>
        <w:t>complimentary.</w:t>
      </w:r>
      <w:r>
        <w:rPr>
          <w:spacing w:val="-5"/>
          <w:vertAlign w:val="baseline"/>
        </w:rPr>
        <w:t> </w:t>
      </w:r>
      <w:r>
        <w:rPr>
          <w:vertAlign w:val="baseline"/>
        </w:rPr>
        <w:t>These</w:t>
      </w:r>
      <w:r>
        <w:rPr>
          <w:spacing w:val="-4"/>
          <w:vertAlign w:val="baseline"/>
        </w:rPr>
        <w:t> </w:t>
      </w:r>
      <w:r>
        <w:rPr>
          <w:vertAlign w:val="baseline"/>
        </w:rPr>
        <w:t>hypotheses</w:t>
      </w:r>
      <w:r>
        <w:rPr>
          <w:spacing w:val="-3"/>
          <w:vertAlign w:val="baseline"/>
        </w:rPr>
        <w:t> </w:t>
      </w:r>
      <w:r>
        <w:rPr>
          <w:vertAlign w:val="baseline"/>
        </w:rPr>
        <w:t>include</w:t>
      </w:r>
      <w:r>
        <w:rPr>
          <w:spacing w:val="1"/>
          <w:vertAlign w:val="baseline"/>
        </w:rPr>
        <w:t> </w:t>
      </w:r>
      <w:r>
        <w:rPr>
          <w:vertAlign w:val="baseline"/>
        </w:rPr>
        <w:t>vulcanism,</w:t>
      </w:r>
      <w:r>
        <w:rPr>
          <w:spacing w:val="-51"/>
          <w:vertAlign w:val="baseline"/>
        </w:rPr>
        <w:t> </w:t>
      </w:r>
      <w:r>
        <w:rPr>
          <w:vertAlign w:val="baseline"/>
        </w:rPr>
        <w:t>bolide</w:t>
      </w:r>
      <w:r>
        <w:rPr>
          <w:spacing w:val="-2"/>
          <w:vertAlign w:val="baseline"/>
        </w:rPr>
        <w:t> </w:t>
      </w:r>
      <w:r>
        <w:rPr>
          <w:vertAlign w:val="baseline"/>
        </w:rPr>
        <w:t>impact,</w:t>
      </w:r>
      <w:r>
        <w:rPr>
          <w:spacing w:val="-1"/>
          <w:vertAlign w:val="baseline"/>
        </w:rPr>
        <w:t> </w:t>
      </w:r>
      <w:r>
        <w:rPr>
          <w:vertAlign w:val="baseline"/>
        </w:rPr>
        <w:t>land</w:t>
      </w:r>
      <w:r>
        <w:rPr>
          <w:spacing w:val="1"/>
          <w:vertAlign w:val="baseline"/>
        </w:rPr>
        <w:t> </w:t>
      </w:r>
      <w:r>
        <w:rPr>
          <w:vertAlign w:val="baseline"/>
        </w:rPr>
        <w:t>plant</w:t>
      </w:r>
      <w:r>
        <w:rPr>
          <w:spacing w:val="-1"/>
          <w:vertAlign w:val="baseline"/>
        </w:rPr>
        <w:t> </w:t>
      </w:r>
      <w:r>
        <w:rPr>
          <w:vertAlign w:val="baseline"/>
        </w:rPr>
        <w:t>evolution,</w:t>
      </w:r>
      <w:r>
        <w:rPr>
          <w:spacing w:val="-1"/>
          <w:vertAlign w:val="baseline"/>
        </w:rPr>
        <w:t> </w:t>
      </w:r>
      <w:r>
        <w:rPr>
          <w:vertAlign w:val="baseline"/>
        </w:rPr>
        <w:t>and</w:t>
      </w:r>
      <w:r>
        <w:rPr>
          <w:spacing w:val="-2"/>
          <w:vertAlign w:val="baseline"/>
        </w:rPr>
        <w:t> </w:t>
      </w:r>
      <w:r>
        <w:rPr>
          <w:vertAlign w:val="baseline"/>
        </w:rPr>
        <w:t>algal</w:t>
      </w:r>
      <w:r>
        <w:rPr>
          <w:spacing w:val="-1"/>
          <w:vertAlign w:val="baseline"/>
        </w:rPr>
        <w:t> </w:t>
      </w:r>
      <w:r>
        <w:rPr>
          <w:vertAlign w:val="baseline"/>
        </w:rPr>
        <w:t>blooms.</w:t>
      </w:r>
    </w:p>
    <w:p>
      <w:pPr>
        <w:pStyle w:val="BodyText"/>
        <w:spacing w:line="480" w:lineRule="auto" w:before="160"/>
        <w:ind w:left="120" w:right="645" w:firstLine="706"/>
      </w:pPr>
      <w:r>
        <w:rPr/>
        <w:t>Volcanism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bolide</w:t>
      </w:r>
      <w:r>
        <w:rPr>
          <w:spacing w:val="-3"/>
        </w:rPr>
        <w:t> </w:t>
      </w:r>
      <w:r>
        <w:rPr/>
        <w:t>impact</w:t>
      </w:r>
      <w:r>
        <w:rPr>
          <w:spacing w:val="-4"/>
        </w:rPr>
        <w:t> </w:t>
      </w:r>
      <w:r>
        <w:rPr/>
        <w:t>both</w:t>
      </w:r>
      <w:r>
        <w:rPr>
          <w:spacing w:val="2"/>
        </w:rPr>
        <w:t> </w:t>
      </w:r>
      <w:r>
        <w:rPr/>
        <w:t>left</w:t>
      </w:r>
      <w:r>
        <w:rPr>
          <w:spacing w:val="-4"/>
        </w:rPr>
        <w:t> </w:t>
      </w:r>
      <w:r>
        <w:rPr/>
        <w:t>geochemical</w:t>
      </w:r>
      <w:r>
        <w:rPr>
          <w:spacing w:val="-3"/>
        </w:rPr>
        <w:t> </w:t>
      </w:r>
      <w:r>
        <w:rPr/>
        <w:t>evidence</w:t>
      </w:r>
      <w:r>
        <w:rPr>
          <w:spacing w:val="-2"/>
        </w:rPr>
        <w:t> </w:t>
      </w:r>
      <w:r>
        <w:rPr/>
        <w:t>during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D/C</w:t>
      </w:r>
      <w:r>
        <w:rPr>
          <w:spacing w:val="-1"/>
        </w:rPr>
        <w:t> </w:t>
      </w:r>
      <w:r>
        <w:rPr/>
        <w:t>event</w:t>
      </w:r>
      <w:r>
        <w:rPr>
          <w:spacing w:val="-3"/>
        </w:rPr>
        <w:t> </w:t>
      </w:r>
      <w:r>
        <w:rPr/>
        <w:t>at</w:t>
      </w:r>
      <w:r>
        <w:rPr>
          <w:spacing w:val="-51"/>
        </w:rPr>
        <w:t> </w:t>
      </w:r>
      <w:r>
        <w:rPr/>
        <w:t>the top of the Woodford Shale. The volcanism hypothesis stems from elevated mercury found</w:t>
      </w:r>
      <w:r>
        <w:rPr>
          <w:spacing w:val="1"/>
        </w:rPr>
        <w:t> </w:t>
      </w:r>
      <w:r>
        <w:rPr/>
        <w:t>in</w:t>
      </w:r>
      <w:r>
        <w:rPr>
          <w:spacing w:val="5"/>
        </w:rPr>
        <w:t> </w:t>
      </w:r>
      <w:r>
        <w:rPr/>
        <w:t>multiple</w:t>
      </w:r>
      <w:r>
        <w:rPr>
          <w:spacing w:val="2"/>
        </w:rPr>
        <w:t> </w:t>
      </w:r>
      <w:r>
        <w:rPr/>
        <w:t>locations</w:t>
      </w:r>
      <w:r>
        <w:rPr>
          <w:spacing w:val="5"/>
        </w:rPr>
        <w:t> </w:t>
      </w:r>
      <w:r>
        <w:rPr/>
        <w:t>worldwide,</w:t>
      </w:r>
      <w:r>
        <w:rPr>
          <w:spacing w:val="5"/>
        </w:rPr>
        <w:t> </w:t>
      </w:r>
      <w:r>
        <w:rPr/>
        <w:t>showing</w:t>
      </w:r>
      <w:r>
        <w:rPr>
          <w:spacing w:val="5"/>
        </w:rPr>
        <w:t> </w:t>
      </w:r>
      <w:r>
        <w:rPr/>
        <w:t>concentrations</w:t>
      </w:r>
      <w:r>
        <w:rPr>
          <w:spacing w:val="2"/>
        </w:rPr>
        <w:t> </w:t>
      </w:r>
      <w:r>
        <w:rPr/>
        <w:t>approximately</w:t>
      </w:r>
      <w:r>
        <w:rPr>
          <w:spacing w:val="1"/>
        </w:rPr>
        <w:t> </w:t>
      </w:r>
      <w:r>
        <w:rPr/>
        <w:t>12-84</w:t>
      </w:r>
      <w:r>
        <w:rPr>
          <w:spacing w:val="4"/>
        </w:rPr>
        <w:t> </w:t>
      </w:r>
      <w:r>
        <w:rPr/>
        <w:t>times higher</w:t>
      </w:r>
      <w:r>
        <w:rPr>
          <w:spacing w:val="1"/>
        </w:rPr>
        <w:t> </w:t>
      </w:r>
      <w:r>
        <w:rPr/>
        <w:t>than background values (Rakociński et al., 2020). Elemental mercury is not necessarily toxic to</w:t>
      </w:r>
      <w:r>
        <w:rPr>
          <w:spacing w:val="1"/>
        </w:rPr>
        <w:t> </w:t>
      </w:r>
      <w:r>
        <w:rPr/>
        <w:t>life, but methylmercury (MeHg) does have a high toxicity. Concentrations of methylmercury are</w:t>
      </w:r>
      <w:r>
        <w:rPr>
          <w:spacing w:val="-52"/>
        </w:rPr>
        <w:t> </w:t>
      </w:r>
      <w:r>
        <w:rPr/>
        <w:t>also elevated in the Hangenberg in multiple sites, including the Woodford Shale, where it has</w:t>
      </w:r>
      <w:r>
        <w:rPr>
          <w:spacing w:val="1"/>
        </w:rPr>
        <w:t> </w:t>
      </w:r>
      <w:r>
        <w:rPr/>
        <w:t>concentrations of 72.72 pg/g (Cullen, 2020; Rakociński et al., 2020). The bolide impact</w:t>
      </w:r>
      <w:r>
        <w:rPr>
          <w:spacing w:val="1"/>
        </w:rPr>
        <w:t> </w:t>
      </w:r>
      <w:r>
        <w:rPr/>
        <w:t>hypothesis stems from the finding of a large iridium (Ir) anomaly just prior to or at the D/C</w:t>
      </w:r>
      <w:r>
        <w:rPr>
          <w:spacing w:val="1"/>
        </w:rPr>
        <w:t> </w:t>
      </w:r>
      <w:r>
        <w:rPr/>
        <w:t>boundary. This anomaly exists in samples from around the world as well, with Woodford Shale</w:t>
      </w:r>
      <w:r>
        <w:rPr>
          <w:spacing w:val="1"/>
        </w:rPr>
        <w:t> </w:t>
      </w:r>
      <w:r>
        <w:rPr/>
        <w:t>samples showing a 250 pg/g Ir anomaly at the top of the section, which is well above the local</w:t>
      </w:r>
      <w:r>
        <w:rPr>
          <w:spacing w:val="1"/>
        </w:rPr>
        <w:t> </w:t>
      </w:r>
      <w:r>
        <w:rPr/>
        <w:t>35 pg/g background Ir levels (Wang et al., 1993). Volcanic and hydrothermal activity plays an</w:t>
      </w:r>
      <w:r>
        <w:rPr>
          <w:spacing w:val="1"/>
        </w:rPr>
        <w:t> </w:t>
      </w:r>
      <w:r>
        <w:rPr/>
        <w:t>essential</w:t>
      </w:r>
      <w:r>
        <w:rPr>
          <w:spacing w:val="-4"/>
        </w:rPr>
        <w:t> </w:t>
      </w:r>
      <w:r>
        <w:rPr/>
        <w:t>role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1"/>
        </w:rPr>
        <w:t> </w:t>
      </w:r>
      <w:r>
        <w:rPr/>
        <w:t>global</w:t>
      </w:r>
      <w:r>
        <w:rPr>
          <w:spacing w:val="-1"/>
        </w:rPr>
        <w:t> </w:t>
      </w:r>
      <w:r>
        <w:rPr/>
        <w:t>mercury</w:t>
      </w:r>
      <w:r>
        <w:rPr>
          <w:spacing w:val="-1"/>
        </w:rPr>
        <w:t> </w:t>
      </w:r>
      <w:r>
        <w:rPr/>
        <w:t>cycle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acts</w:t>
      </w:r>
      <w:r>
        <w:rPr>
          <w:spacing w:val="-2"/>
        </w:rPr>
        <w:t> </w:t>
      </w:r>
      <w:r>
        <w:rPr/>
        <w:t>as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primary</w:t>
      </w:r>
      <w:r>
        <w:rPr>
          <w:spacing w:val="-2"/>
        </w:rPr>
        <w:t> </w:t>
      </w:r>
      <w:r>
        <w:rPr/>
        <w:t>source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mercury</w:t>
      </w:r>
      <w:r>
        <w:rPr>
          <w:spacing w:val="-4"/>
        </w:rPr>
        <w:t> </w:t>
      </w:r>
      <w:r>
        <w:rPr/>
        <w:t>found</w:t>
      </w:r>
      <w:r>
        <w:rPr>
          <w:spacing w:val="-3"/>
        </w:rPr>
        <w:t> </w:t>
      </w:r>
      <w:r>
        <w:rPr/>
        <w:t>in</w:t>
      </w:r>
    </w:p>
    <w:p>
      <w:pPr>
        <w:spacing w:after="0" w:line="480" w:lineRule="auto"/>
        <w:sectPr>
          <w:pgSz w:w="12240" w:h="15840"/>
          <w:pgMar w:header="0" w:footer="1014" w:top="1400" w:bottom="1200" w:left="1320" w:right="820"/>
        </w:sectPr>
      </w:pPr>
    </w:p>
    <w:p>
      <w:pPr>
        <w:pStyle w:val="BodyText"/>
        <w:spacing w:line="480" w:lineRule="auto" w:before="39"/>
        <w:ind w:left="120" w:right="658"/>
      </w:pPr>
      <w:r>
        <w:rPr/>
        <w:t>sedimentary rock (Pyle and Mather, 2003; Grasby et al., 2019). There are, however other</w:t>
      </w:r>
      <w:r>
        <w:rPr>
          <w:spacing w:val="1"/>
        </w:rPr>
        <w:t> </w:t>
      </w:r>
      <w:r>
        <w:rPr/>
        <w:t>sources of mercury spikes, including wildfires, terrestrial input, magmatic emplacement, or</w:t>
      </w:r>
      <w:r>
        <w:rPr>
          <w:spacing w:val="1"/>
        </w:rPr>
        <w:t> </w:t>
      </w:r>
      <w:r>
        <w:rPr/>
        <w:t>thermogenic processes related to bolide impacts (Bergquist, 2017; Grasby et al., 2019;</w:t>
      </w:r>
      <w:r>
        <w:rPr>
          <w:spacing w:val="1"/>
        </w:rPr>
        <w:t> </w:t>
      </w:r>
      <w:r>
        <w:rPr/>
        <w:t>Rakociński et al., 2020). The most likely source remains large igneous provinces (LIPs); the</w:t>
      </w:r>
      <w:r>
        <w:rPr>
          <w:spacing w:val="1"/>
        </w:rPr>
        <w:t> </w:t>
      </w:r>
      <w:r>
        <w:rPr/>
        <w:t>Magdalen silicic LIP and Siberian (Yakutsk-Viluy) and/or Kola-Dnieper LIPs could be possible</w:t>
      </w:r>
      <w:r>
        <w:rPr>
          <w:spacing w:val="1"/>
        </w:rPr>
        <w:t> </w:t>
      </w:r>
      <w:r>
        <w:rPr/>
        <w:t>sources (Kravchinsky et al., 2002; Rakociński et al., 2020). While the iridium spikes in the</w:t>
      </w:r>
      <w:r>
        <w:rPr>
          <w:spacing w:val="1"/>
        </w:rPr>
        <w:t> </w:t>
      </w:r>
      <w:r>
        <w:rPr/>
        <w:t>Hangenberg seem like solid evidence of a bolide impact, it is not conclusive. No large impact</w:t>
      </w:r>
      <w:r>
        <w:rPr>
          <w:spacing w:val="1"/>
        </w:rPr>
        <w:t> </w:t>
      </w:r>
      <w:r>
        <w:rPr/>
        <w:t>craters, microtektites, or shock quartz are associated with these iridium spikes (Wang et al.,</w:t>
      </w:r>
      <w:r>
        <w:rPr>
          <w:spacing w:val="1"/>
        </w:rPr>
        <w:t> </w:t>
      </w:r>
      <w:r>
        <w:rPr/>
        <w:t>1993; Racki, 1999). This, however, does not rule out an impact between the Kellwasser event</w:t>
      </w:r>
      <w:r>
        <w:rPr>
          <w:spacing w:val="1"/>
        </w:rPr>
        <w:t> </w:t>
      </w:r>
      <w:r>
        <w:rPr/>
        <w:t>and Hangenberg. There is evidence of coarse slope breccias, coquinas, debris flows distributed</w:t>
      </w:r>
      <w:r>
        <w:rPr>
          <w:spacing w:val="1"/>
        </w:rPr>
        <w:t> </w:t>
      </w:r>
      <w:r>
        <w:rPr/>
        <w:t>over 200 km, and reef-margin collapses (Racki, 1999). These can be interpreted to be the result</w:t>
      </w:r>
      <w:r>
        <w:rPr>
          <w:spacing w:val="-52"/>
        </w:rPr>
        <w:t> </w:t>
      </w:r>
      <w:r>
        <w:rPr/>
        <w:t>of megatsunamis possibly driven by an oceanic bolide impact. There could have been multiple</w:t>
      </w:r>
      <w:r>
        <w:rPr>
          <w:spacing w:val="1"/>
        </w:rPr>
        <w:t> </w:t>
      </w:r>
      <w:r>
        <w:rPr/>
        <w:t>small,</w:t>
      </w:r>
      <w:r>
        <w:rPr>
          <w:spacing w:val="-3"/>
        </w:rPr>
        <w:t> </w:t>
      </w:r>
      <w:r>
        <w:rPr/>
        <w:t>closely</w:t>
      </w:r>
      <w:r>
        <w:rPr>
          <w:spacing w:val="-2"/>
        </w:rPr>
        <w:t> </w:t>
      </w:r>
      <w:r>
        <w:rPr/>
        <w:t>spaced</w:t>
      </w:r>
      <w:r>
        <w:rPr>
          <w:spacing w:val="-3"/>
        </w:rPr>
        <w:t> </w:t>
      </w:r>
      <w:r>
        <w:rPr/>
        <w:t>impacts</w:t>
      </w:r>
      <w:r>
        <w:rPr>
          <w:spacing w:val="-2"/>
        </w:rPr>
        <w:t> </w:t>
      </w:r>
      <w:r>
        <w:rPr/>
        <w:t>(Wang</w:t>
      </w:r>
      <w:r>
        <w:rPr>
          <w:spacing w:val="1"/>
        </w:rPr>
        <w:t> </w:t>
      </w:r>
      <w:r>
        <w:rPr/>
        <w:t>et</w:t>
      </w:r>
      <w:r>
        <w:rPr>
          <w:spacing w:val="1"/>
        </w:rPr>
        <w:t> </w:t>
      </w:r>
      <w:r>
        <w:rPr/>
        <w:t>al.,</w:t>
      </w:r>
      <w:r>
        <w:rPr>
          <w:spacing w:val="-4"/>
        </w:rPr>
        <w:t> </w:t>
      </w:r>
      <w:r>
        <w:rPr/>
        <w:t>1993;</w:t>
      </w:r>
      <w:r>
        <w:rPr>
          <w:spacing w:val="-6"/>
        </w:rPr>
        <w:t> </w:t>
      </w:r>
      <w:r>
        <w:rPr/>
        <w:t>Racki,</w:t>
      </w:r>
      <w:r>
        <w:rPr>
          <w:spacing w:val="-2"/>
        </w:rPr>
        <w:t> </w:t>
      </w:r>
      <w:r>
        <w:rPr/>
        <w:t>1999).</w:t>
      </w:r>
      <w:r>
        <w:rPr>
          <w:spacing w:val="-3"/>
        </w:rPr>
        <w:t> </w:t>
      </w:r>
      <w:r>
        <w:rPr/>
        <w:t>These</w:t>
      </w:r>
      <w:r>
        <w:rPr>
          <w:spacing w:val="-3"/>
        </w:rPr>
        <w:t> </w:t>
      </w:r>
      <w:r>
        <w:rPr/>
        <w:t>Ir</w:t>
      </w:r>
      <w:r>
        <w:rPr>
          <w:spacing w:val="-2"/>
        </w:rPr>
        <w:t> </w:t>
      </w:r>
      <w:r>
        <w:rPr/>
        <w:t>spikes all</w:t>
      </w:r>
      <w:r>
        <w:rPr>
          <w:spacing w:val="-2"/>
        </w:rPr>
        <w:t> </w:t>
      </w:r>
      <w:r>
        <w:rPr/>
        <w:t>occur</w:t>
      </w:r>
      <w:r>
        <w:rPr>
          <w:spacing w:val="-2"/>
        </w:rPr>
        <w:t> </w:t>
      </w:r>
      <w:r>
        <w:rPr/>
        <w:t>at</w:t>
      </w:r>
      <w:r>
        <w:rPr>
          <w:spacing w:val="1"/>
        </w:rPr>
        <w:t> </w:t>
      </w:r>
      <w:r>
        <w:rPr/>
        <w:t>redox,</w:t>
      </w:r>
      <w:r>
        <w:rPr>
          <w:spacing w:val="-51"/>
        </w:rPr>
        <w:t> </w:t>
      </w:r>
      <w:r>
        <w:rPr/>
        <w:t>and facies change boundaries which implies they might have resulted from a sudden redox</w:t>
      </w:r>
      <w:r>
        <w:rPr>
          <w:spacing w:val="1"/>
        </w:rPr>
        <w:t> </w:t>
      </w:r>
      <w:r>
        <w:rPr/>
        <w:t>change</w:t>
      </w:r>
      <w:r>
        <w:rPr>
          <w:spacing w:val="-2"/>
        </w:rPr>
        <w:t> </w:t>
      </w:r>
      <w:r>
        <w:rPr/>
        <w:t>(Wang</w:t>
      </w:r>
      <w:r>
        <w:rPr>
          <w:spacing w:val="-1"/>
        </w:rPr>
        <w:t> </w:t>
      </w:r>
      <w:r>
        <w:rPr/>
        <w:t>et</w:t>
      </w:r>
      <w:r>
        <w:rPr>
          <w:spacing w:val="-1"/>
        </w:rPr>
        <w:t> </w:t>
      </w:r>
      <w:r>
        <w:rPr/>
        <w:t>al.,</w:t>
      </w:r>
      <w:r>
        <w:rPr>
          <w:spacing w:val="-2"/>
        </w:rPr>
        <w:t> </w:t>
      </w:r>
      <w:r>
        <w:rPr/>
        <w:t>1993).</w:t>
      </w:r>
    </w:p>
    <w:p>
      <w:pPr>
        <w:pStyle w:val="BodyText"/>
        <w:spacing w:line="480" w:lineRule="auto" w:before="161"/>
        <w:ind w:left="120" w:right="660" w:firstLine="706"/>
      </w:pPr>
      <w:r>
        <w:rPr/>
        <w:t>Land plants and algal blooms create a feedback loop and result in the sequestration of</w:t>
      </w:r>
      <w:r>
        <w:rPr>
          <w:spacing w:val="-52"/>
        </w:rPr>
        <w:t> </w:t>
      </w:r>
      <w:r>
        <w:rPr/>
        <w:t>large amounts of</w:t>
      </w:r>
      <w:r>
        <w:rPr>
          <w:spacing w:val="1"/>
        </w:rPr>
        <w:t> </w:t>
      </w:r>
      <w:r>
        <w:rPr/>
        <w:t>atmospheric</w:t>
      </w:r>
      <w:r>
        <w:rPr>
          <w:spacing w:val="-4"/>
        </w:rPr>
        <w:t> </w:t>
      </w:r>
      <w:r>
        <w:rPr/>
        <w:t>carbon</w:t>
      </w:r>
      <w:r>
        <w:rPr>
          <w:spacing w:val="-3"/>
        </w:rPr>
        <w:t> </w:t>
      </w:r>
      <w:r>
        <w:rPr/>
        <w:t>resulting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catastrophic</w:t>
      </w:r>
      <w:r>
        <w:rPr>
          <w:spacing w:val="-3"/>
        </w:rPr>
        <w:t> </w:t>
      </w:r>
      <w:r>
        <w:rPr/>
        <w:t>global</w:t>
      </w:r>
      <w:r>
        <w:rPr>
          <w:spacing w:val="-3"/>
        </w:rPr>
        <w:t> </w:t>
      </w:r>
      <w:r>
        <w:rPr/>
        <w:t>cooling.</w:t>
      </w:r>
      <w:r>
        <w:rPr>
          <w:spacing w:val="-4"/>
        </w:rPr>
        <w:t> </w:t>
      </w:r>
      <w:r>
        <w:rPr/>
        <w:t>Land</w:t>
      </w:r>
      <w:r>
        <w:rPr>
          <w:spacing w:val="-3"/>
        </w:rPr>
        <w:t> </w:t>
      </w:r>
      <w:r>
        <w:rPr/>
        <w:t>plants</w:t>
      </w:r>
      <w:r>
        <w:rPr>
          <w:spacing w:val="-3"/>
        </w:rPr>
        <w:t> </w:t>
      </w:r>
      <w:r>
        <w:rPr/>
        <w:t>first</w:t>
      </w:r>
      <w:r>
        <w:rPr>
          <w:spacing w:val="-51"/>
        </w:rPr>
        <w:t> </w:t>
      </w:r>
      <w:r>
        <w:rPr/>
        <w:t>appeared in the Late Ordovician or Early Silurian and began diversifying and growing in size</w:t>
      </w:r>
      <w:r>
        <w:rPr>
          <w:spacing w:val="1"/>
        </w:rPr>
        <w:t> </w:t>
      </w:r>
      <w:r>
        <w:rPr/>
        <w:t>during the Devonian (Mosbrugger, 1990; Algeo et al., 1995, 1998). There seems to be a</w:t>
      </w:r>
      <w:r>
        <w:rPr>
          <w:spacing w:val="1"/>
        </w:rPr>
        <w:t> </w:t>
      </w:r>
      <w:r>
        <w:rPr/>
        <w:t>correlation between the formation of black shales and the evolutionary milestones for land</w:t>
      </w:r>
      <w:r>
        <w:rPr>
          <w:spacing w:val="1"/>
        </w:rPr>
        <w:t> </w:t>
      </w:r>
      <w:r>
        <w:rPr/>
        <w:t>plants and their spread (Algeo et al., 1995). Land plant roots began breaking up rock and</w:t>
      </w:r>
      <w:r>
        <w:rPr>
          <w:spacing w:val="1"/>
        </w:rPr>
        <w:t> </w:t>
      </w:r>
      <w:r>
        <w:rPr/>
        <w:t>creating</w:t>
      </w:r>
      <w:r>
        <w:rPr>
          <w:spacing w:val="-5"/>
        </w:rPr>
        <w:t> </w:t>
      </w:r>
      <w:r>
        <w:rPr/>
        <w:t>soils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increased</w:t>
      </w:r>
      <w:r>
        <w:rPr>
          <w:spacing w:val="2"/>
        </w:rPr>
        <w:t> </w:t>
      </w:r>
      <w:r>
        <w:rPr/>
        <w:t>silicate</w:t>
      </w:r>
      <w:r>
        <w:rPr>
          <w:spacing w:val="-2"/>
        </w:rPr>
        <w:t> </w:t>
      </w:r>
      <w:r>
        <w:rPr/>
        <w:t>weathering,</w:t>
      </w:r>
      <w:r>
        <w:rPr>
          <w:spacing w:val="-3"/>
        </w:rPr>
        <w:t> </w:t>
      </w:r>
      <w:r>
        <w:rPr/>
        <w:t>which,</w:t>
      </w:r>
      <w:r>
        <w:rPr>
          <w:spacing w:val="-4"/>
        </w:rPr>
        <w:t> </w:t>
      </w:r>
      <w:r>
        <w:rPr/>
        <w:t>combined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forest</w:t>
      </w:r>
      <w:r>
        <w:rPr>
          <w:spacing w:val="-3"/>
        </w:rPr>
        <w:t> </w:t>
      </w:r>
      <w:r>
        <w:rPr/>
        <w:t>fires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loss</w:t>
      </w:r>
      <w:r>
        <w:rPr>
          <w:spacing w:val="-2"/>
        </w:rPr>
        <w:t> </w:t>
      </w:r>
      <w:r>
        <w:rPr/>
        <w:t>of</w:t>
      </w:r>
    </w:p>
    <w:p>
      <w:pPr>
        <w:spacing w:after="0" w:line="480" w:lineRule="auto"/>
        <w:sectPr>
          <w:pgSz w:w="12240" w:h="15840"/>
          <w:pgMar w:header="0" w:footer="1014" w:top="1400" w:bottom="1200" w:left="1320" w:right="820"/>
        </w:sectPr>
      </w:pPr>
    </w:p>
    <w:p>
      <w:pPr>
        <w:pStyle w:val="BodyText"/>
        <w:spacing w:line="480" w:lineRule="auto" w:before="39"/>
        <w:ind w:left="120" w:right="837"/>
      </w:pPr>
      <w:r>
        <w:rPr/>
        <w:t>the retaining roots, meant more nutrients were flowing into the oceans, resulting in massive</w:t>
      </w:r>
      <w:r>
        <w:rPr>
          <w:spacing w:val="1"/>
        </w:rPr>
        <w:t> </w:t>
      </w:r>
      <w:r>
        <w:rPr/>
        <w:t>algal blooms. These algal blooms would have contributed to ocean water stratification and</w:t>
      </w:r>
      <w:r>
        <w:rPr>
          <w:spacing w:val="1"/>
        </w:rPr>
        <w:t> </w:t>
      </w:r>
      <w:r>
        <w:rPr/>
        <w:t>resulted in anoxia, increasing the preservation potential for organic matter. The increased</w:t>
      </w:r>
      <w:r>
        <w:rPr>
          <w:spacing w:val="1"/>
        </w:rPr>
        <w:t> </w:t>
      </w:r>
      <w:r>
        <w:rPr>
          <w:position w:val="2"/>
        </w:rPr>
        <w:t>burial of atmospheric carbon resulted in a drop in CO</w:t>
      </w:r>
      <w:r>
        <w:rPr>
          <w:sz w:val="16"/>
        </w:rPr>
        <w:t>2 </w:t>
      </w:r>
      <w:r>
        <w:rPr>
          <w:position w:val="2"/>
        </w:rPr>
        <w:t>levels from about 12-16 times present</w:t>
      </w:r>
      <w:r>
        <w:rPr>
          <w:spacing w:val="1"/>
          <w:position w:val="2"/>
        </w:rPr>
        <w:t> </w:t>
      </w:r>
      <w:r>
        <w:rPr/>
        <w:t>atmospheric</w:t>
      </w:r>
      <w:r>
        <w:rPr>
          <w:spacing w:val="-3"/>
        </w:rPr>
        <w:t> </w:t>
      </w:r>
      <w:r>
        <w:rPr/>
        <w:t>level</w:t>
      </w:r>
      <w:r>
        <w:rPr>
          <w:spacing w:val="-2"/>
        </w:rPr>
        <w:t> </w:t>
      </w:r>
      <w:r>
        <w:rPr/>
        <w:t>(PAL)</w:t>
      </w:r>
      <w:r>
        <w:rPr>
          <w:spacing w:val="-4"/>
        </w:rPr>
        <w:t> </w:t>
      </w:r>
      <w:r>
        <w:rPr/>
        <w:t>during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early-middle</w:t>
      </w:r>
      <w:r>
        <w:rPr>
          <w:spacing w:val="-5"/>
        </w:rPr>
        <w:t> </w:t>
      </w:r>
      <w:r>
        <w:rPr/>
        <w:t>Paleozoic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about</w:t>
      </w:r>
      <w:r>
        <w:rPr>
          <w:spacing w:val="-2"/>
        </w:rPr>
        <w:t> </w:t>
      </w:r>
      <w:r>
        <w:rPr/>
        <w:t>1</w:t>
      </w:r>
      <w:r>
        <w:rPr>
          <w:spacing w:val="-3"/>
        </w:rPr>
        <w:t> </w:t>
      </w:r>
      <w:r>
        <w:rPr/>
        <w:t>PAL</w:t>
      </w:r>
      <w:r>
        <w:rPr>
          <w:spacing w:val="-6"/>
        </w:rPr>
        <w:t> </w:t>
      </w:r>
      <w:r>
        <w:rPr/>
        <w:t>in</w:t>
      </w:r>
      <w:r>
        <w:rPr>
          <w:spacing w:val="2"/>
        </w:rPr>
        <w:t> </w:t>
      </w:r>
      <w:r>
        <w:rPr/>
        <w:t>the</w:t>
      </w:r>
      <w:r>
        <w:rPr>
          <w:spacing w:val="-3"/>
        </w:rPr>
        <w:t> </w:t>
      </w:r>
      <w:r>
        <w:rPr/>
        <w:t>Carboniferous</w:t>
      </w:r>
      <w:r>
        <w:rPr>
          <w:spacing w:val="-51"/>
        </w:rPr>
        <w:t> </w:t>
      </w:r>
      <w:r>
        <w:rPr/>
        <w:t>(Algeo et al., 1995). The enrichment of conodont δ</w:t>
      </w:r>
      <w:r>
        <w:rPr>
          <w:vertAlign w:val="superscript"/>
        </w:rPr>
        <w:t>18</w:t>
      </w:r>
      <w:r>
        <w:rPr>
          <w:vertAlign w:val="baseline"/>
        </w:rPr>
        <w:t>O by +1.5‰ across the F/F boundary</w:t>
      </w:r>
      <w:r>
        <w:rPr>
          <w:spacing w:val="1"/>
          <w:vertAlign w:val="baseline"/>
        </w:rPr>
        <w:t> </w:t>
      </w:r>
      <w:r>
        <w:rPr>
          <w:vertAlign w:val="baseline"/>
        </w:rPr>
        <w:t>indicates global cooling, translating to about a 5-6°C drop in global average temperature</w:t>
      </w:r>
      <w:r>
        <w:rPr>
          <w:spacing w:val="1"/>
          <w:vertAlign w:val="baseline"/>
        </w:rPr>
        <w:t> </w:t>
      </w:r>
      <w:r>
        <w:rPr>
          <w:vertAlign w:val="baseline"/>
        </w:rPr>
        <w:t>(Joachimski and Buggisch, 2002). Across the D/C boundary abiotic marine carbonate δ</w:t>
      </w:r>
      <w:r>
        <w:rPr>
          <w:vertAlign w:val="superscript"/>
        </w:rPr>
        <w:t>18</w:t>
      </w:r>
      <w:r>
        <w:rPr>
          <w:vertAlign w:val="baseline"/>
        </w:rPr>
        <w:t>O was</w:t>
      </w:r>
      <w:r>
        <w:rPr>
          <w:spacing w:val="-52"/>
          <w:vertAlign w:val="baseline"/>
        </w:rPr>
        <w:t> </w:t>
      </w:r>
      <w:r>
        <w:rPr>
          <w:vertAlign w:val="baseline"/>
        </w:rPr>
        <w:t>enriched by about +3‰, which corresponds to a roughly 26°C drop in tropical surface water</w:t>
      </w:r>
      <w:r>
        <w:rPr>
          <w:spacing w:val="1"/>
          <w:vertAlign w:val="baseline"/>
        </w:rPr>
        <w:t> </w:t>
      </w:r>
      <w:r>
        <w:rPr>
          <w:vertAlign w:val="baseline"/>
        </w:rPr>
        <w:t>temperatures</w:t>
      </w:r>
      <w:r>
        <w:rPr>
          <w:spacing w:val="-2"/>
          <w:vertAlign w:val="baseline"/>
        </w:rPr>
        <w:t> </w:t>
      </w:r>
      <w:r>
        <w:rPr>
          <w:vertAlign w:val="baseline"/>
        </w:rPr>
        <w:t>(Algeo</w:t>
      </w:r>
      <w:r>
        <w:rPr>
          <w:spacing w:val="3"/>
          <w:vertAlign w:val="baseline"/>
        </w:rPr>
        <w:t> </w:t>
      </w:r>
      <w:r>
        <w:rPr>
          <w:vertAlign w:val="baseline"/>
        </w:rPr>
        <w:t>et</w:t>
      </w:r>
      <w:r>
        <w:rPr>
          <w:spacing w:val="-1"/>
          <w:vertAlign w:val="baseline"/>
        </w:rPr>
        <w:t> </w:t>
      </w:r>
      <w:r>
        <w:rPr>
          <w:vertAlign w:val="baseline"/>
        </w:rPr>
        <w:t>al.,</w:t>
      </w:r>
      <w:r>
        <w:rPr>
          <w:spacing w:val="-1"/>
          <w:vertAlign w:val="baseline"/>
        </w:rPr>
        <w:t> </w:t>
      </w:r>
      <w:r>
        <w:rPr>
          <w:vertAlign w:val="baseline"/>
        </w:rPr>
        <w:t>1995,</w:t>
      </w:r>
      <w:r>
        <w:rPr>
          <w:spacing w:val="-1"/>
          <w:vertAlign w:val="baseline"/>
        </w:rPr>
        <w:t> </w:t>
      </w:r>
      <w:r>
        <w:rPr>
          <w:vertAlign w:val="baseline"/>
        </w:rPr>
        <w:t>1998).</w:t>
      </w:r>
    </w:p>
    <w:p>
      <w:pPr>
        <w:pStyle w:val="BodyText"/>
        <w:spacing w:line="480" w:lineRule="auto" w:before="160"/>
        <w:ind w:left="120" w:right="663" w:firstLine="706"/>
      </w:pPr>
      <w:r>
        <w:rPr/>
        <w:t>Carbon isotopes can also be used to locate these extinction boundaries, also supporting</w:t>
      </w:r>
      <w:r>
        <w:rPr>
          <w:spacing w:val="1"/>
        </w:rPr>
        <w:t> </w:t>
      </w:r>
      <w:r>
        <w:rPr/>
        <w:t>many of these extinction hypotheses. Carbon released from volcanic sources tends to be</w:t>
      </w:r>
      <w:r>
        <w:rPr>
          <w:spacing w:val="1"/>
        </w:rPr>
        <w:t> </w:t>
      </w:r>
      <w:r>
        <w:rPr/>
        <w:t>isotopically heavier, which would result in the positive excursion of δ</w:t>
      </w:r>
      <w:r>
        <w:rPr>
          <w:vertAlign w:val="superscript"/>
        </w:rPr>
        <w:t>13</w:t>
      </w:r>
      <w:r>
        <w:rPr>
          <w:vertAlign w:val="baseline"/>
        </w:rPr>
        <w:t>C. Land plant and algal</w:t>
      </w:r>
      <w:r>
        <w:rPr>
          <w:spacing w:val="1"/>
          <w:vertAlign w:val="baseline"/>
        </w:rPr>
        <w:t> </w:t>
      </w:r>
      <w:r>
        <w:rPr>
          <w:vertAlign w:val="baseline"/>
        </w:rPr>
        <w:t>blooms are enriched in isotopically light carbon due to kinetic fractionation; when the organic</w:t>
      </w:r>
      <w:r>
        <w:rPr>
          <w:spacing w:val="1"/>
          <w:vertAlign w:val="baseline"/>
        </w:rPr>
        <w:t> </w:t>
      </w:r>
      <w:r>
        <w:rPr>
          <w:vertAlign w:val="baseline"/>
        </w:rPr>
        <w:t>matter is buried in coal beds and organic-rich black shales, this sequesters the isotopically light</w:t>
      </w:r>
      <w:r>
        <w:rPr>
          <w:spacing w:val="1"/>
          <w:vertAlign w:val="baseline"/>
        </w:rPr>
        <w:t> </w:t>
      </w:r>
      <w:r>
        <w:rPr>
          <w:vertAlign w:val="baseline"/>
        </w:rPr>
        <w:t>carbon and results in the positive excursion of carbonate δ</w:t>
      </w:r>
      <w:r>
        <w:rPr>
          <w:vertAlign w:val="superscript"/>
        </w:rPr>
        <w:t>13</w:t>
      </w:r>
      <w:r>
        <w:rPr>
          <w:vertAlign w:val="baseline"/>
        </w:rPr>
        <w:t>C (Algeo et al., 1995; Joachimski</w:t>
      </w:r>
      <w:r>
        <w:rPr>
          <w:spacing w:val="1"/>
          <w:vertAlign w:val="baseline"/>
        </w:rPr>
        <w:t> </w:t>
      </w:r>
      <w:r>
        <w:rPr>
          <w:vertAlign w:val="baseline"/>
        </w:rPr>
        <w:t>and Buggisch, 2002; Chen et al., 2005). There is a strong positive δ</w:t>
      </w:r>
      <w:r>
        <w:rPr>
          <w:vertAlign w:val="superscript"/>
        </w:rPr>
        <w:t>13</w:t>
      </w:r>
      <w:r>
        <w:rPr>
          <w:vertAlign w:val="baseline"/>
        </w:rPr>
        <w:t>C excursion during both the</w:t>
      </w:r>
      <w:r>
        <w:rPr>
          <w:spacing w:val="-52"/>
          <w:vertAlign w:val="baseline"/>
        </w:rPr>
        <w:t> </w:t>
      </w:r>
      <w:r>
        <w:rPr>
          <w:vertAlign w:val="baseline"/>
        </w:rPr>
        <w:t>Kellwasser</w:t>
      </w:r>
      <w:r>
        <w:rPr>
          <w:spacing w:val="-4"/>
          <w:vertAlign w:val="baseline"/>
        </w:rPr>
        <w:t> </w:t>
      </w:r>
      <w:r>
        <w:rPr>
          <w:vertAlign w:val="baseline"/>
        </w:rPr>
        <w:t>and</w:t>
      </w:r>
      <w:r>
        <w:rPr>
          <w:spacing w:val="2"/>
          <w:vertAlign w:val="baseline"/>
        </w:rPr>
        <w:t> </w:t>
      </w:r>
      <w:r>
        <w:rPr>
          <w:vertAlign w:val="baseline"/>
        </w:rPr>
        <w:t>Hangenberg</w:t>
      </w:r>
      <w:r>
        <w:rPr>
          <w:spacing w:val="-2"/>
          <w:vertAlign w:val="baseline"/>
        </w:rPr>
        <w:t> </w:t>
      </w:r>
      <w:r>
        <w:rPr>
          <w:vertAlign w:val="baseline"/>
        </w:rPr>
        <w:t>events which</w:t>
      </w:r>
      <w:r>
        <w:rPr>
          <w:spacing w:val="-5"/>
          <w:vertAlign w:val="baseline"/>
        </w:rPr>
        <w:t> </w:t>
      </w:r>
      <w:r>
        <w:rPr>
          <w:vertAlign w:val="baseline"/>
        </w:rPr>
        <w:t>can</w:t>
      </w:r>
      <w:r>
        <w:rPr>
          <w:spacing w:val="-2"/>
          <w:vertAlign w:val="baseline"/>
        </w:rPr>
        <w:t> </w:t>
      </w:r>
      <w:r>
        <w:rPr>
          <w:vertAlign w:val="baseline"/>
        </w:rPr>
        <w:t>be</w:t>
      </w:r>
      <w:r>
        <w:rPr>
          <w:spacing w:val="-5"/>
          <w:vertAlign w:val="baseline"/>
        </w:rPr>
        <w:t> </w:t>
      </w:r>
      <w:r>
        <w:rPr>
          <w:vertAlign w:val="baseline"/>
        </w:rPr>
        <w:t>used</w:t>
      </w:r>
      <w:r>
        <w:rPr>
          <w:spacing w:val="-2"/>
          <w:vertAlign w:val="baseline"/>
        </w:rPr>
        <w:t> </w:t>
      </w:r>
      <w:r>
        <w:rPr>
          <w:vertAlign w:val="baseline"/>
        </w:rPr>
        <w:t>to</w:t>
      </w:r>
      <w:r>
        <w:rPr>
          <w:spacing w:val="-2"/>
          <w:vertAlign w:val="baseline"/>
        </w:rPr>
        <w:t> </w:t>
      </w:r>
      <w:r>
        <w:rPr>
          <w:vertAlign w:val="baseline"/>
        </w:rPr>
        <w:t>identify</w:t>
      </w:r>
      <w:r>
        <w:rPr>
          <w:spacing w:val="-2"/>
          <w:vertAlign w:val="baseline"/>
        </w:rPr>
        <w:t> </w:t>
      </w:r>
      <w:r>
        <w:rPr>
          <w:vertAlign w:val="baseline"/>
        </w:rPr>
        <w:t>the</w:t>
      </w:r>
      <w:r>
        <w:rPr>
          <w:spacing w:val="-1"/>
          <w:vertAlign w:val="baseline"/>
        </w:rPr>
        <w:t> </w:t>
      </w:r>
      <w:r>
        <w:rPr>
          <w:vertAlign w:val="baseline"/>
        </w:rPr>
        <w:t>location</w:t>
      </w:r>
      <w:r>
        <w:rPr>
          <w:spacing w:val="-2"/>
          <w:vertAlign w:val="baseline"/>
        </w:rPr>
        <w:t> </w:t>
      </w:r>
      <w:r>
        <w:rPr>
          <w:vertAlign w:val="baseline"/>
        </w:rPr>
        <w:t>of</w:t>
      </w:r>
      <w:r>
        <w:rPr>
          <w:spacing w:val="-3"/>
          <w:vertAlign w:val="baseline"/>
        </w:rPr>
        <w:t> </w:t>
      </w:r>
      <w:r>
        <w:rPr>
          <w:vertAlign w:val="baseline"/>
        </w:rPr>
        <w:t>these</w:t>
      </w:r>
      <w:r>
        <w:rPr>
          <w:spacing w:val="-2"/>
          <w:vertAlign w:val="baseline"/>
        </w:rPr>
        <w:t> </w:t>
      </w:r>
      <w:r>
        <w:rPr>
          <w:vertAlign w:val="baseline"/>
        </w:rPr>
        <w:t>events</w:t>
      </w:r>
      <w:r>
        <w:rPr>
          <w:spacing w:val="-1"/>
          <w:vertAlign w:val="baseline"/>
        </w:rPr>
        <w:t> </w:t>
      </w:r>
      <w:r>
        <w:rPr>
          <w:vertAlign w:val="baseline"/>
        </w:rPr>
        <w:t>in</w:t>
      </w:r>
      <w:r>
        <w:rPr>
          <w:spacing w:val="-52"/>
          <w:vertAlign w:val="baseline"/>
        </w:rPr>
        <w:t> </w:t>
      </w:r>
      <w:r>
        <w:rPr>
          <w:vertAlign w:val="baseline"/>
        </w:rPr>
        <w:t>the core (Chen et al., 2005). This is done by comparing the global stable carbon isotopic curve</w:t>
      </w:r>
      <w:r>
        <w:rPr>
          <w:spacing w:val="1"/>
          <w:vertAlign w:val="baseline"/>
        </w:rPr>
        <w:t> </w:t>
      </w:r>
      <w:r>
        <w:rPr>
          <w:vertAlign w:val="baseline"/>
        </w:rPr>
        <w:t>to the stable isotope curve of a core and lining up the positive excursions associated with these</w:t>
      </w:r>
      <w:r>
        <w:rPr>
          <w:spacing w:val="-52"/>
          <w:vertAlign w:val="baseline"/>
        </w:rPr>
        <w:t> </w:t>
      </w:r>
      <w:r>
        <w:rPr>
          <w:vertAlign w:val="baseline"/>
        </w:rPr>
        <w:t>events</w:t>
      </w:r>
      <w:r>
        <w:rPr>
          <w:spacing w:val="-4"/>
          <w:vertAlign w:val="baseline"/>
        </w:rPr>
        <w:t> </w:t>
      </w:r>
      <w:r>
        <w:rPr>
          <w:vertAlign w:val="baseline"/>
        </w:rPr>
        <w:t>(Molinares-Blanco,</w:t>
      </w:r>
      <w:r>
        <w:rPr>
          <w:spacing w:val="2"/>
          <w:vertAlign w:val="baseline"/>
        </w:rPr>
        <w:t> </w:t>
      </w:r>
      <w:r>
        <w:rPr>
          <w:vertAlign w:val="baseline"/>
        </w:rPr>
        <w:t>2019).</w:t>
      </w:r>
    </w:p>
    <w:p>
      <w:pPr>
        <w:spacing w:after="0" w:line="480" w:lineRule="auto"/>
        <w:sectPr>
          <w:pgSz w:w="12240" w:h="15840"/>
          <w:pgMar w:header="0" w:footer="1014" w:top="1400" w:bottom="1200" w:left="1320" w:right="820"/>
        </w:sectPr>
      </w:pPr>
    </w:p>
    <w:p>
      <w:pPr>
        <w:pStyle w:val="ListParagraph"/>
        <w:numPr>
          <w:ilvl w:val="1"/>
          <w:numId w:val="3"/>
        </w:numPr>
        <w:tabs>
          <w:tab w:pos="478" w:val="left" w:leader="none"/>
        </w:tabs>
        <w:spacing w:line="240" w:lineRule="auto" w:before="39" w:after="0"/>
        <w:ind w:left="477" w:right="0" w:hanging="358"/>
        <w:jc w:val="left"/>
        <w:rPr>
          <w:i/>
          <w:sz w:val="24"/>
        </w:rPr>
      </w:pPr>
      <w:r>
        <w:rPr>
          <w:i/>
          <w:sz w:val="24"/>
        </w:rPr>
        <w:t>Biomarkers</w:t>
      </w:r>
    </w:p>
    <w:p>
      <w:pPr>
        <w:pStyle w:val="BodyText"/>
        <w:rPr>
          <w:i/>
        </w:rPr>
      </w:pPr>
    </w:p>
    <w:p>
      <w:pPr>
        <w:pStyle w:val="BodyText"/>
        <w:spacing w:line="480" w:lineRule="auto" w:before="161"/>
        <w:ind w:left="120" w:right="691" w:firstLine="706"/>
      </w:pPr>
      <w:r>
        <w:rPr/>
        <w:t>Biomarkers are fossil molecules preserved in the sediments and hydrocarbons, derived</w:t>
      </w:r>
      <w:r>
        <w:rPr>
          <w:spacing w:val="1"/>
        </w:rPr>
        <w:t> </w:t>
      </w:r>
      <w:r>
        <w:rPr/>
        <w:t>from precursor molecules found in the organisms that lived at the time of deposition. Using</w:t>
      </w:r>
      <w:r>
        <w:rPr>
          <w:spacing w:val="1"/>
        </w:rPr>
        <w:t> </w:t>
      </w:r>
      <w:r>
        <w:rPr/>
        <w:t>biomarkers, the environment of deposition can be determined; they also can provide</w:t>
      </w:r>
      <w:r>
        <w:rPr>
          <w:spacing w:val="1"/>
        </w:rPr>
        <w:t> </w:t>
      </w:r>
      <w:r>
        <w:rPr/>
        <w:t>information on diagenesis, thermal maturation, biodegradation, and sediment source</w:t>
      </w:r>
      <w:r>
        <w:rPr>
          <w:spacing w:val="1"/>
        </w:rPr>
        <w:t> </w:t>
      </w:r>
      <w:r>
        <w:rPr/>
        <w:t>(Eganhouse, 1997; Farrimond et al., 1998). The utilization of biomarkers is also vital for</w:t>
      </w:r>
      <w:r>
        <w:rPr>
          <w:spacing w:val="1"/>
        </w:rPr>
        <w:t> </w:t>
      </w:r>
      <w:r>
        <w:rPr/>
        <w:t>industry. For example, biomarkers that indicate oxic or anoxic bottom water conditions can be</w:t>
      </w:r>
      <w:r>
        <w:rPr>
          <w:spacing w:val="1"/>
        </w:rPr>
        <w:t> </w:t>
      </w:r>
      <w:r>
        <w:rPr/>
        <w:t>used to evaluate the viability of potential gas-shale plays (Slatt and Rodriguez, 2012; Philp and</w:t>
      </w:r>
      <w:r>
        <w:rPr>
          <w:spacing w:val="1"/>
        </w:rPr>
        <w:t> </w:t>
      </w:r>
      <w:r>
        <w:rPr/>
        <w:t>DeGarmo,</w:t>
      </w:r>
      <w:r>
        <w:rPr>
          <w:spacing w:val="-5"/>
        </w:rPr>
        <w:t> </w:t>
      </w:r>
      <w:r>
        <w:rPr/>
        <w:t>2020).</w:t>
      </w:r>
      <w:r>
        <w:rPr>
          <w:spacing w:val="-3"/>
        </w:rPr>
        <w:t> </w:t>
      </w:r>
      <w:r>
        <w:rPr/>
        <w:t>Biomarkers</w:t>
      </w:r>
      <w:r>
        <w:rPr>
          <w:spacing w:val="-3"/>
        </w:rPr>
        <w:t> </w:t>
      </w:r>
      <w:r>
        <w:rPr/>
        <w:t>generally</w:t>
      </w:r>
      <w:r>
        <w:rPr>
          <w:spacing w:val="-5"/>
        </w:rPr>
        <w:t> </w:t>
      </w:r>
      <w:r>
        <w:rPr/>
        <w:t>retain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molecular</w:t>
      </w:r>
      <w:r>
        <w:rPr>
          <w:spacing w:val="-3"/>
        </w:rPr>
        <w:t> </w:t>
      </w:r>
      <w:r>
        <w:rPr/>
        <w:t>structure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their biological</w:t>
      </w:r>
      <w:r>
        <w:rPr>
          <w:spacing w:val="-3"/>
        </w:rPr>
        <w:t> </w:t>
      </w:r>
      <w:r>
        <w:rPr/>
        <w:t>source,</w:t>
      </w:r>
      <w:r>
        <w:rPr>
          <w:spacing w:val="-51"/>
        </w:rPr>
        <w:t> </w:t>
      </w:r>
      <w:r>
        <w:rPr/>
        <w:t>even</w:t>
      </w:r>
      <w:r>
        <w:rPr>
          <w:spacing w:val="1"/>
        </w:rPr>
        <w:t> </w:t>
      </w:r>
      <w:r>
        <w:rPr/>
        <w:t>after</w:t>
      </w:r>
      <w:r>
        <w:rPr>
          <w:spacing w:val="-3"/>
        </w:rPr>
        <w:t> </w:t>
      </w:r>
      <w:r>
        <w:rPr/>
        <w:t>experiencing</w:t>
      </w:r>
      <w:r>
        <w:rPr>
          <w:spacing w:val="-4"/>
        </w:rPr>
        <w:t> </w:t>
      </w:r>
      <w:r>
        <w:rPr/>
        <w:t>biodegradation,</w:t>
      </w:r>
      <w:r>
        <w:rPr>
          <w:spacing w:val="-2"/>
        </w:rPr>
        <w:t> </w:t>
      </w:r>
      <w:r>
        <w:rPr/>
        <w:t>early</w:t>
      </w:r>
      <w:r>
        <w:rPr>
          <w:spacing w:val="-6"/>
        </w:rPr>
        <w:t> </w:t>
      </w:r>
      <w:r>
        <w:rPr/>
        <w:t>diagenesis,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catagenesis.</w:t>
      </w:r>
      <w:r>
        <w:rPr>
          <w:spacing w:val="-4"/>
        </w:rPr>
        <w:t> </w:t>
      </w:r>
      <w:r>
        <w:rPr/>
        <w:t>Using this</w:t>
      </w:r>
      <w:r>
        <w:rPr>
          <w:spacing w:val="-3"/>
        </w:rPr>
        <w:t> </w:t>
      </w:r>
      <w:r>
        <w:rPr/>
        <w:t>preserved</w:t>
      </w:r>
      <w:r>
        <w:rPr>
          <w:spacing w:val="-51"/>
        </w:rPr>
        <w:t> </w:t>
      </w:r>
      <w:r>
        <w:rPr/>
        <w:t>structure, it can be determined if the source of the molecule is a bacterial, algal, vascular plant,</w:t>
      </w:r>
      <w:r>
        <w:rPr>
          <w:spacing w:val="-52"/>
        </w:rPr>
        <w:t> </w:t>
      </w:r>
      <w:r>
        <w:rPr/>
        <w:t>or animal source. The determination of the source can then be used to infer variations in the</w:t>
      </w:r>
      <w:r>
        <w:rPr>
          <w:spacing w:val="1"/>
        </w:rPr>
        <w:t> </w:t>
      </w:r>
      <w:r>
        <w:rPr/>
        <w:t>biosphere, chemosphere, geosphere, and atmosphere. The optimal preservation of these</w:t>
      </w:r>
      <w:r>
        <w:rPr>
          <w:spacing w:val="1"/>
        </w:rPr>
        <w:t> </w:t>
      </w:r>
      <w:r>
        <w:rPr/>
        <w:t>biomarkers during and after deposition requires anoxic conditions to prevent them from being</w:t>
      </w:r>
      <w:r>
        <w:rPr>
          <w:spacing w:val="1"/>
        </w:rPr>
        <w:t> </w:t>
      </w:r>
      <w:r>
        <w:rPr/>
        <w:t>consumed</w:t>
      </w:r>
      <w:r>
        <w:rPr>
          <w:spacing w:val="2"/>
        </w:rPr>
        <w:t> </w:t>
      </w:r>
      <w:r>
        <w:rPr/>
        <w:t>or</w:t>
      </w:r>
      <w:r>
        <w:rPr>
          <w:spacing w:val="-3"/>
        </w:rPr>
        <w:t> </w:t>
      </w:r>
      <w:r>
        <w:rPr/>
        <w:t>degraded</w:t>
      </w:r>
      <w:r>
        <w:rPr>
          <w:spacing w:val="-2"/>
        </w:rPr>
        <w:t> </w:t>
      </w:r>
      <w:r>
        <w:rPr/>
        <w:t>by</w:t>
      </w:r>
      <w:r>
        <w:rPr>
          <w:spacing w:val="-1"/>
        </w:rPr>
        <w:t> </w:t>
      </w:r>
      <w:r>
        <w:rPr/>
        <w:t>oxygenation.</w:t>
      </w:r>
    </w:p>
    <w:p>
      <w:pPr>
        <w:pStyle w:val="BodyText"/>
        <w:spacing w:line="480" w:lineRule="auto" w:before="158"/>
        <w:ind w:left="120" w:right="660" w:firstLine="706"/>
      </w:pPr>
      <w:r>
        <w:rPr/>
        <w:t>Carotenoids are pigment molecules synthesized in many different photosynthetic</w:t>
      </w:r>
      <w:r>
        <w:rPr>
          <w:spacing w:val="1"/>
        </w:rPr>
        <w:t> </w:t>
      </w:r>
      <w:r>
        <w:rPr/>
        <w:t>organisms</w:t>
      </w:r>
      <w:r>
        <w:rPr>
          <w:spacing w:val="-3"/>
        </w:rPr>
        <w:t> </w:t>
      </w:r>
      <w:r>
        <w:rPr/>
        <w:t>(Hartgers</w:t>
      </w:r>
      <w:r>
        <w:rPr>
          <w:spacing w:val="-3"/>
        </w:rPr>
        <w:t> </w:t>
      </w:r>
      <w:r>
        <w:rPr/>
        <w:t>et</w:t>
      </w:r>
      <w:r>
        <w:rPr>
          <w:spacing w:val="1"/>
        </w:rPr>
        <w:t> </w:t>
      </w:r>
      <w:r>
        <w:rPr/>
        <w:t>al.,</w:t>
      </w:r>
      <w:r>
        <w:rPr>
          <w:spacing w:val="-3"/>
        </w:rPr>
        <w:t> </w:t>
      </w:r>
      <w:r>
        <w:rPr/>
        <w:t>1994).</w:t>
      </w:r>
      <w:r>
        <w:rPr>
          <w:spacing w:val="-4"/>
        </w:rPr>
        <w:t> </w:t>
      </w:r>
      <w:r>
        <w:rPr/>
        <w:t>Some</w:t>
      </w:r>
      <w:r>
        <w:rPr>
          <w:spacing w:val="-3"/>
        </w:rPr>
        <w:t> </w:t>
      </w:r>
      <w:r>
        <w:rPr/>
        <w:t>carotenoids</w:t>
      </w:r>
      <w:r>
        <w:rPr>
          <w:spacing w:val="-2"/>
        </w:rPr>
        <w:t> </w:t>
      </w:r>
      <w:r>
        <w:rPr/>
        <w:t>are</w:t>
      </w:r>
      <w:r>
        <w:rPr>
          <w:spacing w:val="-3"/>
        </w:rPr>
        <w:t> </w:t>
      </w:r>
      <w:r>
        <w:rPr/>
        <w:t>unique</w:t>
      </w:r>
      <w:r>
        <w:rPr>
          <w:spacing w:val="-3"/>
        </w:rPr>
        <w:t> </w:t>
      </w:r>
      <w:r>
        <w:rPr/>
        <w:t>to specific</w:t>
      </w:r>
      <w:r>
        <w:rPr>
          <w:spacing w:val="-4"/>
        </w:rPr>
        <w:t> </w:t>
      </w:r>
      <w:r>
        <w:rPr/>
        <w:t>organisms,</w:t>
      </w:r>
      <w:r>
        <w:rPr>
          <w:spacing w:val="-3"/>
        </w:rPr>
        <w:t> </w:t>
      </w:r>
      <w:r>
        <w:rPr/>
        <w:t>making</w:t>
      </w:r>
      <w:r>
        <w:rPr>
          <w:spacing w:val="-51"/>
        </w:rPr>
        <w:t> </w:t>
      </w:r>
      <w:r>
        <w:rPr/>
        <w:t>them useful as biomarkers and paleoenvironmental proxies (Grice and Brocks, 2011). In the</w:t>
      </w:r>
      <w:r>
        <w:rPr>
          <w:spacing w:val="1"/>
        </w:rPr>
        <w:t> </w:t>
      </w:r>
      <w:r>
        <w:rPr/>
        <w:t>Woodford</w:t>
      </w:r>
      <w:r>
        <w:rPr>
          <w:spacing w:val="-3"/>
        </w:rPr>
        <w:t> </w:t>
      </w:r>
      <w:r>
        <w:rPr/>
        <w:t>Shale</w:t>
      </w:r>
      <w:r>
        <w:rPr>
          <w:spacing w:val="2"/>
        </w:rPr>
        <w:t> </w:t>
      </w:r>
      <w:r>
        <w:rPr/>
        <w:t>and</w:t>
      </w:r>
      <w:r>
        <w:rPr>
          <w:spacing w:val="-1"/>
        </w:rPr>
        <w:t> </w:t>
      </w:r>
      <w:r>
        <w:rPr/>
        <w:t>for</w:t>
      </w:r>
      <w:r>
        <w:rPr>
          <w:spacing w:val="-5"/>
        </w:rPr>
        <w:t> </w:t>
      </w:r>
      <w:r>
        <w:rPr/>
        <w:t>this</w:t>
      </w:r>
      <w:r>
        <w:rPr>
          <w:spacing w:val="-1"/>
        </w:rPr>
        <w:t> </w:t>
      </w:r>
      <w:r>
        <w:rPr/>
        <w:t>study,</w:t>
      </w:r>
      <w:r>
        <w:rPr>
          <w:spacing w:val="-2"/>
        </w:rPr>
        <w:t> </w:t>
      </w:r>
      <w:r>
        <w:rPr/>
        <w:t>the</w:t>
      </w:r>
      <w:r>
        <w:rPr>
          <w:spacing w:val="2"/>
        </w:rPr>
        <w:t> </w:t>
      </w:r>
      <w:r>
        <w:rPr/>
        <w:t>carotenoids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interest</w:t>
      </w:r>
      <w:r>
        <w:rPr>
          <w:spacing w:val="2"/>
        </w:rPr>
        <w:t> </w:t>
      </w:r>
      <w:r>
        <w:rPr/>
        <w:t>come</w:t>
      </w:r>
      <w:r>
        <w:rPr>
          <w:spacing w:val="-1"/>
        </w:rPr>
        <w:t> </w:t>
      </w:r>
      <w:r>
        <w:rPr/>
        <w:t>from</w:t>
      </w:r>
      <w:r>
        <w:rPr>
          <w:spacing w:val="-2"/>
        </w:rPr>
        <w:t> </w:t>
      </w:r>
      <w:r>
        <w:rPr/>
        <w:t>the</w:t>
      </w:r>
    </w:p>
    <w:p>
      <w:pPr>
        <w:pStyle w:val="BodyText"/>
        <w:spacing w:line="480" w:lineRule="auto"/>
        <w:ind w:left="120" w:right="717"/>
        <w:jc w:val="both"/>
      </w:pPr>
      <w:r>
        <w:rPr/>
        <w:t>family </w:t>
      </w:r>
      <w:r>
        <w:rPr>
          <w:i/>
        </w:rPr>
        <w:t>Chlorobiaceae </w:t>
      </w:r>
      <w:r>
        <w:rPr/>
        <w:t>in the phylum </w:t>
      </w:r>
      <w:r>
        <w:rPr>
          <w:i/>
        </w:rPr>
        <w:t>Chlorobi </w:t>
      </w:r>
      <w:r>
        <w:rPr/>
        <w:t>(Koopmans et al., 1996a). </w:t>
      </w:r>
      <w:r>
        <w:rPr>
          <w:i/>
        </w:rPr>
        <w:t>Chlorobiaceae </w:t>
      </w:r>
      <w:r>
        <w:rPr/>
        <w:t>are often</w:t>
      </w:r>
      <w:r>
        <w:rPr>
          <w:spacing w:val="-52"/>
        </w:rPr>
        <w:t> </w:t>
      </w:r>
      <w:r>
        <w:rPr/>
        <w:t>referred</w:t>
      </w:r>
      <w:r>
        <w:rPr>
          <w:spacing w:val="-1"/>
        </w:rPr>
        <w:t> </w:t>
      </w:r>
      <w:r>
        <w:rPr/>
        <w:t>to</w:t>
      </w:r>
      <w:r>
        <w:rPr>
          <w:spacing w:val="-4"/>
        </w:rPr>
        <w:t> </w:t>
      </w:r>
      <w:r>
        <w:rPr/>
        <w:t>as</w:t>
      </w:r>
      <w:r>
        <w:rPr>
          <w:spacing w:val="-3"/>
        </w:rPr>
        <w:t> </w:t>
      </w:r>
      <w:r>
        <w:rPr/>
        <w:t>green</w:t>
      </w:r>
      <w:r>
        <w:rPr>
          <w:spacing w:val="1"/>
        </w:rPr>
        <w:t> </w:t>
      </w:r>
      <w:r>
        <w:rPr/>
        <w:t>sulfur</w:t>
      </w:r>
      <w:r>
        <w:rPr>
          <w:spacing w:val="-3"/>
        </w:rPr>
        <w:t> </w:t>
      </w:r>
      <w:r>
        <w:rPr/>
        <w:t>bacteria</w:t>
      </w:r>
      <w:r>
        <w:rPr>
          <w:spacing w:val="-5"/>
        </w:rPr>
        <w:t> </w:t>
      </w:r>
      <w:r>
        <w:rPr/>
        <w:t>(GSB);</w:t>
      </w:r>
      <w:r>
        <w:rPr>
          <w:spacing w:val="-4"/>
        </w:rPr>
        <w:t> </w:t>
      </w:r>
      <w:r>
        <w:rPr/>
        <w:t>these bacteria</w:t>
      </w:r>
      <w:r>
        <w:rPr>
          <w:spacing w:val="-5"/>
        </w:rPr>
        <w:t> </w:t>
      </w:r>
      <w:r>
        <w:rPr/>
        <w:t>are</w:t>
      </w:r>
      <w:r>
        <w:rPr>
          <w:spacing w:val="-3"/>
        </w:rPr>
        <w:t> </w:t>
      </w:r>
      <w:r>
        <w:rPr/>
        <w:t>obligate</w:t>
      </w:r>
      <w:r>
        <w:rPr>
          <w:spacing w:val="-1"/>
        </w:rPr>
        <w:t> </w:t>
      </w:r>
      <w:r>
        <w:rPr/>
        <w:t>phototrophs and</w:t>
      </w:r>
      <w:r>
        <w:rPr>
          <w:spacing w:val="-3"/>
        </w:rPr>
        <w:t> </w:t>
      </w:r>
      <w:r>
        <w:rPr/>
        <w:t>obligate</w:t>
      </w:r>
      <w:r>
        <w:rPr>
          <w:spacing w:val="-52"/>
        </w:rPr>
        <w:t> </w:t>
      </w:r>
      <w:r>
        <w:rPr/>
        <w:t>autotroph</w:t>
      </w:r>
      <w:r>
        <w:rPr>
          <w:spacing w:val="-4"/>
        </w:rPr>
        <w:t> </w:t>
      </w:r>
      <w:r>
        <w:rPr/>
        <w:t>anaerobes</w:t>
      </w:r>
      <w:r>
        <w:rPr>
          <w:spacing w:val="-4"/>
        </w:rPr>
        <w:t> </w:t>
      </w:r>
      <w:r>
        <w:rPr/>
        <w:t>(Frigaard</w:t>
      </w:r>
      <w:r>
        <w:rPr>
          <w:spacing w:val="2"/>
        </w:rPr>
        <w:t> </w:t>
      </w:r>
      <w:r>
        <w:rPr/>
        <w:t>and</w:t>
      </w:r>
      <w:r>
        <w:rPr>
          <w:spacing w:val="1"/>
        </w:rPr>
        <w:t> </w:t>
      </w:r>
      <w:r>
        <w:rPr/>
        <w:t>Bryant,</w:t>
      </w:r>
      <w:r>
        <w:rPr>
          <w:spacing w:val="-1"/>
        </w:rPr>
        <w:t> </w:t>
      </w:r>
      <w:r>
        <w:rPr/>
        <w:t>2004; Frigaard</w:t>
      </w:r>
      <w:r>
        <w:rPr>
          <w:spacing w:val="-3"/>
        </w:rPr>
        <w:t> </w:t>
      </w:r>
      <w:r>
        <w:rPr/>
        <w:t>et</w:t>
      </w:r>
      <w:r>
        <w:rPr>
          <w:spacing w:val="-2"/>
        </w:rPr>
        <w:t> </w:t>
      </w:r>
      <w:r>
        <w:rPr/>
        <w:t>al.,</w:t>
      </w:r>
      <w:r>
        <w:rPr>
          <w:spacing w:val="-2"/>
        </w:rPr>
        <w:t> </w:t>
      </w:r>
      <w:r>
        <w:rPr/>
        <w:t>2004).</w:t>
      </w:r>
      <w:r>
        <w:rPr>
          <w:spacing w:val="-3"/>
        </w:rPr>
        <w:t> </w:t>
      </w:r>
      <w:r>
        <w:rPr/>
        <w:t>The</w:t>
      </w:r>
      <w:r>
        <w:rPr>
          <w:spacing w:val="2"/>
        </w:rPr>
        <w:t> </w:t>
      </w:r>
      <w:r>
        <w:rPr/>
        <w:t>GSB</w:t>
      </w:r>
      <w:r>
        <w:rPr>
          <w:spacing w:val="-3"/>
        </w:rPr>
        <w:t> </w:t>
      </w:r>
      <w:r>
        <w:rPr/>
        <w:t>produce</w:t>
      </w:r>
      <w:r>
        <w:rPr>
          <w:spacing w:val="-4"/>
        </w:rPr>
        <w:t> </w:t>
      </w:r>
      <w:r>
        <w:rPr/>
        <w:t>the</w:t>
      </w:r>
    </w:p>
    <w:p>
      <w:pPr>
        <w:spacing w:after="0" w:line="480" w:lineRule="auto"/>
        <w:jc w:val="both"/>
        <w:sectPr>
          <w:pgSz w:w="12240" w:h="15840"/>
          <w:pgMar w:header="0" w:footer="1014" w:top="1400" w:bottom="1200" w:left="1320" w:right="820"/>
        </w:sectPr>
      </w:pPr>
    </w:p>
    <w:p>
      <w:pPr>
        <w:pStyle w:val="BodyText"/>
        <w:spacing w:line="480" w:lineRule="auto" w:before="39"/>
        <w:ind w:left="120" w:right="648"/>
      </w:pPr>
      <w:r>
        <w:rPr/>
        <w:t>carotenoids isorenieratene, chlorobactene, paleorenieratane (</w:t>
      </w:r>
      <w:r>
        <w:rPr>
          <w:b/>
        </w:rPr>
        <w:t>II</w:t>
      </w:r>
      <w:r>
        <w:rPr/>
        <w:t>), and possess a unique</w:t>
      </w:r>
      <w:r>
        <w:rPr>
          <w:spacing w:val="1"/>
        </w:rPr>
        <w:t> </w:t>
      </w:r>
      <w:r>
        <w:rPr/>
        <w:t>organelle, the chlorosome, which contains bacteriochlorophyll (BChl) </w:t>
      </w:r>
      <w:r>
        <w:rPr>
          <w:i/>
        </w:rPr>
        <w:t>c, d, </w:t>
      </w:r>
      <w:r>
        <w:rPr/>
        <w:t>and </w:t>
      </w:r>
      <w:r>
        <w:rPr>
          <w:i/>
        </w:rPr>
        <w:t>e </w:t>
      </w:r>
      <w:r>
        <w:rPr/>
        <w:t>(Hartgers et al.,</w:t>
      </w:r>
      <w:r>
        <w:rPr>
          <w:spacing w:val="-53"/>
        </w:rPr>
        <w:t> </w:t>
      </w:r>
      <w:r>
        <w:rPr/>
        <w:t>1994; Koopmans et al., 1996a; Frigaard and Bryant, 2004; Frigaard et al., 2004; French et al.,</w:t>
      </w:r>
      <w:r>
        <w:rPr>
          <w:spacing w:val="1"/>
        </w:rPr>
        <w:t> </w:t>
      </w:r>
      <w:r>
        <w:rPr/>
        <w:t>2015). The chlorosome allows GSB to inhabit deeper in the water column in the photic zone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low</w:t>
      </w:r>
      <w:r>
        <w:rPr>
          <w:spacing w:val="2"/>
        </w:rPr>
        <w:t> </w:t>
      </w:r>
      <w:r>
        <w:rPr/>
        <w:t>light</w:t>
      </w:r>
      <w:r>
        <w:rPr>
          <w:spacing w:val="1"/>
        </w:rPr>
        <w:t> </w:t>
      </w:r>
      <w:r>
        <w:rPr/>
        <w:t>intensities</w:t>
      </w:r>
      <w:r>
        <w:rPr>
          <w:spacing w:val="-1"/>
        </w:rPr>
        <w:t> </w:t>
      </w:r>
      <w:r>
        <w:rPr/>
        <w:t>than</w:t>
      </w:r>
      <w:r>
        <w:rPr>
          <w:spacing w:val="5"/>
        </w:rPr>
        <w:t> </w:t>
      </w:r>
      <w:r>
        <w:rPr/>
        <w:t>it</w:t>
      </w:r>
      <w:r>
        <w:rPr>
          <w:spacing w:val="1"/>
        </w:rPr>
        <w:t> </w:t>
      </w:r>
      <w:r>
        <w:rPr/>
        <w:t>would</w:t>
      </w:r>
      <w:r>
        <w:rPr>
          <w:spacing w:val="1"/>
        </w:rPr>
        <w:t> </w:t>
      </w:r>
      <w:r>
        <w:rPr/>
        <w:t>otherwise</w:t>
      </w:r>
      <w:r>
        <w:rPr>
          <w:spacing w:val="-1"/>
        </w:rPr>
        <w:t> </w:t>
      </w:r>
      <w:r>
        <w:rPr/>
        <w:t>be</w:t>
      </w:r>
      <w:r>
        <w:rPr>
          <w:spacing w:val="1"/>
        </w:rPr>
        <w:t> </w:t>
      </w:r>
      <w:r>
        <w:rPr/>
        <w:t>able</w:t>
      </w:r>
      <w:r>
        <w:rPr>
          <w:spacing w:val="4"/>
        </w:rPr>
        <w:t> </w:t>
      </w:r>
      <w:r>
        <w:rPr/>
        <w:t>to</w:t>
      </w:r>
      <w:r>
        <w:rPr>
          <w:spacing w:val="1"/>
        </w:rPr>
        <w:t> </w:t>
      </w:r>
      <w:r>
        <w:rPr/>
        <w:t>(Frigaard</w:t>
      </w:r>
      <w:r>
        <w:rPr>
          <w:spacing w:val="2"/>
        </w:rPr>
        <w:t> </w:t>
      </w:r>
      <w:r>
        <w:rPr/>
        <w:t>et al.,</w:t>
      </w:r>
      <w:r>
        <w:rPr>
          <w:spacing w:val="2"/>
        </w:rPr>
        <w:t> </w:t>
      </w:r>
      <w:r>
        <w:rPr/>
        <w:t>2003).</w:t>
      </w:r>
      <w:r>
        <w:rPr>
          <w:spacing w:val="1"/>
        </w:rPr>
        <w:t> </w:t>
      </w:r>
      <w:r>
        <w:rPr/>
        <w:t>In</w:t>
      </w:r>
      <w:r>
        <w:rPr>
          <w:spacing w:val="2"/>
        </w:rPr>
        <w:t> </w:t>
      </w:r>
      <w:r>
        <w:rPr/>
        <w:t>addition</w:t>
      </w:r>
      <w:r>
        <w:rPr>
          <w:spacing w:val="1"/>
        </w:rPr>
        <w:t> </w:t>
      </w:r>
      <w:r>
        <w:rPr>
          <w:position w:val="2"/>
        </w:rPr>
        <w:t>to light, GSB also require hydrogen sulfide (H</w:t>
      </w:r>
      <w:r>
        <w:rPr>
          <w:sz w:val="16"/>
        </w:rPr>
        <w:t>2</w:t>
      </w:r>
      <w:r>
        <w:rPr>
          <w:position w:val="2"/>
        </w:rPr>
        <w:t>S) as an electron donor for its metabolic function</w:t>
      </w:r>
      <w:r>
        <w:rPr>
          <w:spacing w:val="1"/>
          <w:position w:val="2"/>
        </w:rPr>
        <w:t> </w:t>
      </w:r>
      <w:r>
        <w:rPr/>
        <w:t>(van Gemerden, 1983; Frigaard and Bryant, 2004). The GSB incorporate carbon using the</w:t>
      </w:r>
      <w:r>
        <w:rPr>
          <w:spacing w:val="1"/>
        </w:rPr>
        <w:t> </w:t>
      </w:r>
      <w:r>
        <w:rPr/>
        <w:t>reversed tricarboxylic acid cycle (TCA), which results in the significant enrichment of </w:t>
      </w:r>
      <w:r>
        <w:rPr>
          <w:vertAlign w:val="superscript"/>
        </w:rPr>
        <w:t>13</w:t>
      </w:r>
      <w:r>
        <w:rPr>
          <w:vertAlign w:val="baseline"/>
        </w:rPr>
        <w:t>C in the</w:t>
      </w:r>
      <w:r>
        <w:rPr>
          <w:spacing w:val="1"/>
          <w:vertAlign w:val="baseline"/>
        </w:rPr>
        <w:t> </w:t>
      </w:r>
      <w:r>
        <w:rPr>
          <w:vertAlign w:val="baseline"/>
        </w:rPr>
        <w:t>biomass (Kohnen et al., 1992; van der Meer et al., 1998; Grice and Brocks, 2011). This isotopic</w:t>
      </w:r>
      <w:r>
        <w:rPr>
          <w:spacing w:val="1"/>
          <w:vertAlign w:val="baseline"/>
        </w:rPr>
        <w:t> </w:t>
      </w:r>
      <w:r>
        <w:rPr>
          <w:vertAlign w:val="baseline"/>
        </w:rPr>
        <w:t>signature is retained regardless of any structural changes during burial and diagenesis (Grice et</w:t>
      </w:r>
      <w:r>
        <w:rPr>
          <w:spacing w:val="1"/>
          <w:vertAlign w:val="baseline"/>
        </w:rPr>
        <w:t> </w:t>
      </w:r>
      <w:r>
        <w:rPr>
          <w:vertAlign w:val="baseline"/>
        </w:rPr>
        <w:t>al., 1996; Koopmans et al., 1996b). As a result of these unique attributes possessed by GSB,</w:t>
      </w:r>
      <w:r>
        <w:rPr>
          <w:spacing w:val="1"/>
          <w:vertAlign w:val="baseline"/>
        </w:rPr>
        <w:t> </w:t>
      </w:r>
      <w:r>
        <w:rPr>
          <w:vertAlign w:val="baseline"/>
        </w:rPr>
        <w:t>analyzing biomarkers indicating their presence provides compelling evidence of environmental</w:t>
      </w:r>
      <w:r>
        <w:rPr>
          <w:spacing w:val="1"/>
          <w:vertAlign w:val="baseline"/>
        </w:rPr>
        <w:t> </w:t>
      </w:r>
      <w:r>
        <w:rPr>
          <w:vertAlign w:val="baseline"/>
        </w:rPr>
        <w:t>conditions present at the time of deposition. Since they require hydrogen sulfide, light, and the</w:t>
      </w:r>
      <w:r>
        <w:rPr>
          <w:spacing w:val="1"/>
          <w:vertAlign w:val="baseline"/>
        </w:rPr>
        <w:t> </w:t>
      </w:r>
      <w:r>
        <w:rPr>
          <w:vertAlign w:val="baseline"/>
        </w:rPr>
        <w:t>lack of oxygen, finding evidence of their presence indicates that anoxia and sulfidic waters were</w:t>
      </w:r>
      <w:r>
        <w:rPr>
          <w:spacing w:val="-52"/>
          <w:vertAlign w:val="baseline"/>
        </w:rPr>
        <w:t> </w:t>
      </w:r>
      <w:r>
        <w:rPr>
          <w:vertAlign w:val="baseline"/>
        </w:rPr>
        <w:t>shallow</w:t>
      </w:r>
      <w:r>
        <w:rPr>
          <w:spacing w:val="-3"/>
          <w:vertAlign w:val="baseline"/>
        </w:rPr>
        <w:t> </w:t>
      </w:r>
      <w:r>
        <w:rPr>
          <w:vertAlign w:val="baseline"/>
        </w:rPr>
        <w:t>enough</w:t>
      </w:r>
      <w:r>
        <w:rPr>
          <w:spacing w:val="-2"/>
          <w:vertAlign w:val="baseline"/>
        </w:rPr>
        <w:t> </w:t>
      </w:r>
      <w:r>
        <w:rPr>
          <w:vertAlign w:val="baseline"/>
        </w:rPr>
        <w:t>to</w:t>
      </w:r>
      <w:r>
        <w:rPr>
          <w:spacing w:val="2"/>
          <w:vertAlign w:val="baseline"/>
        </w:rPr>
        <w:t> </w:t>
      </w:r>
      <w:r>
        <w:rPr>
          <w:vertAlign w:val="baseline"/>
        </w:rPr>
        <w:t>be</w:t>
      </w:r>
      <w:r>
        <w:rPr>
          <w:spacing w:val="-1"/>
          <w:vertAlign w:val="baseline"/>
        </w:rPr>
        <w:t> </w:t>
      </w:r>
      <w:r>
        <w:rPr>
          <w:vertAlign w:val="baseline"/>
        </w:rPr>
        <w:t>in</w:t>
      </w:r>
      <w:r>
        <w:rPr>
          <w:spacing w:val="-3"/>
          <w:vertAlign w:val="baseline"/>
        </w:rPr>
        <w:t> </w:t>
      </w:r>
      <w:r>
        <w:rPr>
          <w:vertAlign w:val="baseline"/>
        </w:rPr>
        <w:t>the</w:t>
      </w:r>
      <w:r>
        <w:rPr>
          <w:spacing w:val="-2"/>
          <w:vertAlign w:val="baseline"/>
        </w:rPr>
        <w:t> </w:t>
      </w:r>
      <w:r>
        <w:rPr>
          <w:vertAlign w:val="baseline"/>
        </w:rPr>
        <w:t>photic zone</w:t>
      </w:r>
      <w:r>
        <w:rPr>
          <w:spacing w:val="2"/>
          <w:vertAlign w:val="baseline"/>
        </w:rPr>
        <w:t> </w:t>
      </w:r>
      <w:r>
        <w:rPr>
          <w:vertAlign w:val="baseline"/>
        </w:rPr>
        <w:t>and</w:t>
      </w:r>
      <w:r>
        <w:rPr>
          <w:spacing w:val="-2"/>
          <w:vertAlign w:val="baseline"/>
        </w:rPr>
        <w:t> </w:t>
      </w:r>
      <w:r>
        <w:rPr>
          <w:vertAlign w:val="baseline"/>
        </w:rPr>
        <w:t>thus</w:t>
      </w:r>
      <w:r>
        <w:rPr>
          <w:spacing w:val="-3"/>
          <w:vertAlign w:val="baseline"/>
        </w:rPr>
        <w:t> </w:t>
      </w:r>
      <w:r>
        <w:rPr>
          <w:vertAlign w:val="baseline"/>
        </w:rPr>
        <w:t>indicate</w:t>
      </w:r>
      <w:r>
        <w:rPr>
          <w:spacing w:val="-2"/>
          <w:vertAlign w:val="baseline"/>
        </w:rPr>
        <w:t> </w:t>
      </w:r>
      <w:r>
        <w:rPr>
          <w:vertAlign w:val="baseline"/>
        </w:rPr>
        <w:t>photic</w:t>
      </w:r>
      <w:r>
        <w:rPr>
          <w:spacing w:val="-4"/>
          <w:vertAlign w:val="baseline"/>
        </w:rPr>
        <w:t> </w:t>
      </w:r>
      <w:r>
        <w:rPr>
          <w:vertAlign w:val="baseline"/>
        </w:rPr>
        <w:t>zone</w:t>
      </w:r>
      <w:r>
        <w:rPr>
          <w:spacing w:val="-1"/>
          <w:vertAlign w:val="baseline"/>
        </w:rPr>
        <w:t> </w:t>
      </w:r>
      <w:r>
        <w:rPr>
          <w:vertAlign w:val="baseline"/>
        </w:rPr>
        <w:t>euxinia</w:t>
      </w:r>
      <w:r>
        <w:rPr>
          <w:spacing w:val="1"/>
          <w:vertAlign w:val="baseline"/>
        </w:rPr>
        <w:t> </w:t>
      </w:r>
      <w:r>
        <w:rPr>
          <w:vertAlign w:val="baseline"/>
        </w:rPr>
        <w:t>(PZE).</w:t>
      </w:r>
    </w:p>
    <w:p>
      <w:pPr>
        <w:pStyle w:val="BodyText"/>
        <w:spacing w:line="480" w:lineRule="auto" w:before="161"/>
        <w:ind w:left="120" w:right="660" w:firstLine="720"/>
      </w:pPr>
      <w:r>
        <w:rPr>
          <w:color w:val="0E0F1A"/>
        </w:rPr>
        <w:t>An important biomarker this study analyzes is isorenieratane(</w:t>
      </w:r>
      <w:r>
        <w:rPr>
          <w:b/>
          <w:color w:val="0E0F1A"/>
        </w:rPr>
        <w:t>I</w:t>
      </w:r>
      <w:r>
        <w:rPr>
          <w:color w:val="0E0F1A"/>
        </w:rPr>
        <w:t>). This biomarker is</w:t>
      </w:r>
      <w:r>
        <w:rPr>
          <w:color w:val="0E0F1A"/>
          <w:spacing w:val="1"/>
        </w:rPr>
        <w:t> </w:t>
      </w:r>
      <w:r>
        <w:rPr>
          <w:color w:val="0E0F1A"/>
        </w:rPr>
        <w:t>produced by the hydrogenation of the double bonds found along the isorenieratene chain</w:t>
      </w:r>
      <w:r>
        <w:rPr>
          <w:color w:val="0E0F1A"/>
          <w:spacing w:val="1"/>
        </w:rPr>
        <w:t> </w:t>
      </w:r>
      <w:r>
        <w:rPr/>
        <w:t>(Hartgers et al., 1994)</w:t>
      </w:r>
      <w:r>
        <w:rPr>
          <w:color w:val="0E0F1A"/>
        </w:rPr>
        <w:t>. There are two types of GSB, the brown and the green versions. The</w:t>
      </w:r>
      <w:r>
        <w:rPr>
          <w:color w:val="0E0F1A"/>
          <w:spacing w:val="1"/>
        </w:rPr>
        <w:t> </w:t>
      </w:r>
      <w:r>
        <w:rPr>
          <w:color w:val="0E0F1A"/>
        </w:rPr>
        <w:t>brown version can live in low light conditions at depths up to 100 m, while the green versions</w:t>
      </w:r>
      <w:r>
        <w:rPr>
          <w:color w:val="0E0F1A"/>
          <w:spacing w:val="1"/>
        </w:rPr>
        <w:t> </w:t>
      </w:r>
      <w:r>
        <w:rPr>
          <w:color w:val="0E0F1A"/>
        </w:rPr>
        <w:t>are</w:t>
      </w:r>
      <w:r>
        <w:rPr>
          <w:color w:val="0E0F1A"/>
          <w:spacing w:val="1"/>
        </w:rPr>
        <w:t> </w:t>
      </w:r>
      <w:r>
        <w:rPr>
          <w:color w:val="0E0F1A"/>
        </w:rPr>
        <w:t>restricted to</w:t>
      </w:r>
      <w:r>
        <w:rPr>
          <w:color w:val="0E0F1A"/>
          <w:spacing w:val="-2"/>
        </w:rPr>
        <w:t> </w:t>
      </w:r>
      <w:r>
        <w:rPr>
          <w:color w:val="0E0F1A"/>
        </w:rPr>
        <w:t>shallower</w:t>
      </w:r>
      <w:r>
        <w:rPr>
          <w:color w:val="0E0F1A"/>
          <w:spacing w:val="-2"/>
        </w:rPr>
        <w:t> </w:t>
      </w:r>
      <w:r>
        <w:rPr>
          <w:color w:val="0E0F1A"/>
        </w:rPr>
        <w:t>waters</w:t>
      </w:r>
      <w:r>
        <w:rPr>
          <w:color w:val="0E0F1A"/>
          <w:spacing w:val="-4"/>
        </w:rPr>
        <w:t> </w:t>
      </w:r>
      <w:r>
        <w:rPr>
          <w:color w:val="0E0F1A"/>
        </w:rPr>
        <w:t>at</w:t>
      </w:r>
      <w:r>
        <w:rPr>
          <w:color w:val="0E0F1A"/>
          <w:spacing w:val="-3"/>
        </w:rPr>
        <w:t> </w:t>
      </w:r>
      <w:r>
        <w:rPr>
          <w:color w:val="0E0F1A"/>
        </w:rPr>
        <w:t>depths</w:t>
      </w:r>
      <w:r>
        <w:rPr>
          <w:color w:val="0E0F1A"/>
          <w:spacing w:val="-3"/>
        </w:rPr>
        <w:t> </w:t>
      </w:r>
      <w:r>
        <w:rPr>
          <w:color w:val="0E0F1A"/>
        </w:rPr>
        <w:t>up</w:t>
      </w:r>
      <w:r>
        <w:rPr>
          <w:color w:val="0E0F1A"/>
          <w:spacing w:val="-3"/>
        </w:rPr>
        <w:t> </w:t>
      </w:r>
      <w:r>
        <w:rPr>
          <w:color w:val="0E0F1A"/>
        </w:rPr>
        <w:t>to</w:t>
      </w:r>
      <w:r>
        <w:rPr>
          <w:color w:val="0E0F1A"/>
          <w:spacing w:val="1"/>
        </w:rPr>
        <w:t> </w:t>
      </w:r>
      <w:r>
        <w:rPr>
          <w:color w:val="0E0F1A"/>
        </w:rPr>
        <w:t>15</w:t>
      </w:r>
      <w:r>
        <w:rPr>
          <w:color w:val="0E0F1A"/>
          <w:spacing w:val="-3"/>
        </w:rPr>
        <w:t> </w:t>
      </w:r>
      <w:r>
        <w:rPr>
          <w:color w:val="0E0F1A"/>
        </w:rPr>
        <w:t>m</w:t>
      </w:r>
      <w:r>
        <w:rPr>
          <w:color w:val="0E0F1A"/>
          <w:spacing w:val="8"/>
        </w:rPr>
        <w:t> </w:t>
      </w:r>
      <w:r>
        <w:rPr/>
        <w:t>(Sousa</w:t>
      </w:r>
      <w:r>
        <w:rPr>
          <w:spacing w:val="-2"/>
        </w:rPr>
        <w:t> </w:t>
      </w:r>
      <w:r>
        <w:rPr/>
        <w:t>Júnior</w:t>
      </w:r>
      <w:r>
        <w:rPr>
          <w:spacing w:val="-4"/>
        </w:rPr>
        <w:t> </w:t>
      </w:r>
      <w:r>
        <w:rPr/>
        <w:t>et</w:t>
      </w:r>
      <w:r>
        <w:rPr>
          <w:spacing w:val="-2"/>
        </w:rPr>
        <w:t> </w:t>
      </w:r>
      <w:r>
        <w:rPr/>
        <w:t>al.,</w:t>
      </w:r>
      <w:r>
        <w:rPr>
          <w:spacing w:val="-2"/>
        </w:rPr>
        <w:t> </w:t>
      </w:r>
      <w:r>
        <w:rPr/>
        <w:t>2013;</w:t>
      </w:r>
      <w:r>
        <w:rPr>
          <w:spacing w:val="-2"/>
        </w:rPr>
        <w:t> </w:t>
      </w:r>
      <w:r>
        <w:rPr/>
        <w:t>French</w:t>
      </w:r>
      <w:r>
        <w:rPr>
          <w:spacing w:val="-3"/>
        </w:rPr>
        <w:t> </w:t>
      </w:r>
      <w:r>
        <w:rPr/>
        <w:t>et</w:t>
      </w:r>
      <w:r>
        <w:rPr>
          <w:spacing w:val="-2"/>
        </w:rPr>
        <w:t> </w:t>
      </w:r>
      <w:r>
        <w:rPr/>
        <w:t>al.,</w:t>
      </w:r>
      <w:r>
        <w:rPr>
          <w:spacing w:val="-51"/>
        </w:rPr>
        <w:t> </w:t>
      </w:r>
      <w:r>
        <w:rPr/>
        <w:t>2015)</w:t>
      </w:r>
      <w:r>
        <w:rPr>
          <w:color w:val="0E0F1A"/>
        </w:rPr>
        <w:t>;</w:t>
      </w:r>
      <w:r>
        <w:rPr>
          <w:color w:val="0E0F1A"/>
          <w:spacing w:val="-2"/>
        </w:rPr>
        <w:t> </w:t>
      </w:r>
      <w:r>
        <w:rPr>
          <w:color w:val="0E0F1A"/>
        </w:rPr>
        <w:t>(Figure</w:t>
      </w:r>
      <w:r>
        <w:rPr>
          <w:color w:val="0E0F1A"/>
          <w:spacing w:val="-2"/>
        </w:rPr>
        <w:t> </w:t>
      </w:r>
      <w:r>
        <w:rPr>
          <w:color w:val="0E0F1A"/>
        </w:rPr>
        <w:t>9).</w:t>
      </w:r>
    </w:p>
    <w:p>
      <w:pPr>
        <w:spacing w:after="0" w:line="480" w:lineRule="auto"/>
        <w:sectPr>
          <w:pgSz w:w="12240" w:h="15840"/>
          <w:pgMar w:header="0" w:footer="1014" w:top="1400" w:bottom="1200" w:left="1320" w:right="820"/>
        </w:sectPr>
      </w:pPr>
    </w:p>
    <w:p>
      <w:pPr>
        <w:pStyle w:val="BodyText"/>
        <w:ind w:left="115"/>
        <w:rPr>
          <w:sz w:val="20"/>
        </w:rPr>
      </w:pPr>
      <w:r>
        <w:rPr>
          <w:sz w:val="20"/>
        </w:rPr>
        <w:drawing>
          <wp:inline distT="0" distB="0" distL="0" distR="0">
            <wp:extent cx="5948568" cy="4523232"/>
            <wp:effectExtent l="0" t="0" r="0" b="0"/>
            <wp:docPr id="17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9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8568" cy="4523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3"/>
        <w:rPr>
          <w:sz w:val="9"/>
        </w:rPr>
      </w:pPr>
    </w:p>
    <w:p>
      <w:pPr>
        <w:spacing w:before="56"/>
        <w:ind w:left="120" w:right="660" w:firstLine="0"/>
        <w:jc w:val="left"/>
        <w:rPr>
          <w:sz w:val="22"/>
        </w:rPr>
      </w:pPr>
      <w:r>
        <w:rPr>
          <w:sz w:val="22"/>
        </w:rPr>
        <w:t>Figure</w:t>
      </w:r>
      <w:r>
        <w:rPr>
          <w:spacing w:val="-1"/>
          <w:sz w:val="22"/>
        </w:rPr>
        <w:t> </w:t>
      </w:r>
      <w:r>
        <w:rPr>
          <w:sz w:val="22"/>
        </w:rPr>
        <w:t>9.</w:t>
      </w:r>
      <w:r>
        <w:rPr>
          <w:spacing w:val="-3"/>
          <w:sz w:val="22"/>
        </w:rPr>
        <w:t> </w:t>
      </w:r>
      <w:r>
        <w:rPr>
          <w:sz w:val="22"/>
        </w:rPr>
        <w:t>Water</w:t>
      </w:r>
      <w:r>
        <w:rPr>
          <w:spacing w:val="-4"/>
          <w:sz w:val="22"/>
        </w:rPr>
        <w:t> </w:t>
      </w:r>
      <w:r>
        <w:rPr>
          <w:sz w:val="22"/>
        </w:rPr>
        <w:t>column</w:t>
      </w:r>
      <w:r>
        <w:rPr>
          <w:spacing w:val="-3"/>
          <w:sz w:val="22"/>
        </w:rPr>
        <w:t> </w:t>
      </w:r>
      <w:r>
        <w:rPr>
          <w:sz w:val="22"/>
        </w:rPr>
        <w:t>structure and</w:t>
      </w:r>
      <w:r>
        <w:rPr>
          <w:spacing w:val="-3"/>
          <w:sz w:val="22"/>
        </w:rPr>
        <w:t> </w:t>
      </w:r>
      <w:r>
        <w:rPr>
          <w:sz w:val="22"/>
        </w:rPr>
        <w:t>biology</w:t>
      </w:r>
      <w:r>
        <w:rPr>
          <w:spacing w:val="-3"/>
          <w:sz w:val="22"/>
        </w:rPr>
        <w:t> </w:t>
      </w:r>
      <w:r>
        <w:rPr>
          <w:sz w:val="22"/>
        </w:rPr>
        <w:t>during</w:t>
      </w:r>
      <w:r>
        <w:rPr>
          <w:spacing w:val="-1"/>
          <w:sz w:val="22"/>
        </w:rPr>
        <w:t> </w:t>
      </w:r>
      <w:r>
        <w:rPr>
          <w:sz w:val="22"/>
        </w:rPr>
        <w:t>times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euxinia.</w:t>
      </w:r>
      <w:r>
        <w:rPr>
          <w:spacing w:val="-4"/>
          <w:sz w:val="22"/>
        </w:rPr>
        <w:t> </w:t>
      </w:r>
      <w:r>
        <w:rPr>
          <w:sz w:val="22"/>
        </w:rPr>
        <w:t>Marker</w:t>
      </w:r>
      <w:r>
        <w:rPr>
          <w:spacing w:val="-5"/>
          <w:sz w:val="22"/>
        </w:rPr>
        <w:t> </w:t>
      </w:r>
      <w:r>
        <w:rPr>
          <w:sz w:val="22"/>
        </w:rPr>
        <w:t>molecule for</w:t>
      </w:r>
      <w:r>
        <w:rPr>
          <w:spacing w:val="-1"/>
          <w:sz w:val="22"/>
        </w:rPr>
        <w:t> </w:t>
      </w:r>
      <w:r>
        <w:rPr>
          <w:sz w:val="22"/>
        </w:rPr>
        <w:t>each</w:t>
      </w:r>
      <w:r>
        <w:rPr>
          <w:spacing w:val="-3"/>
          <w:sz w:val="22"/>
        </w:rPr>
        <w:t> </w:t>
      </w:r>
      <w:r>
        <w:rPr>
          <w:sz w:val="22"/>
        </w:rPr>
        <w:t>sulfur</w:t>
      </w:r>
      <w:r>
        <w:rPr>
          <w:spacing w:val="-46"/>
          <w:sz w:val="22"/>
        </w:rPr>
        <w:t> </w:t>
      </w:r>
      <w:r>
        <w:rPr>
          <w:sz w:val="22"/>
        </w:rPr>
        <w:t>bacteria</w:t>
      </w:r>
      <w:r>
        <w:rPr>
          <w:spacing w:val="-1"/>
          <w:sz w:val="22"/>
        </w:rPr>
        <w:t> </w:t>
      </w:r>
      <w:r>
        <w:rPr>
          <w:sz w:val="22"/>
        </w:rPr>
        <w:t>is</w:t>
      </w:r>
      <w:r>
        <w:rPr>
          <w:spacing w:val="-3"/>
          <w:sz w:val="22"/>
        </w:rPr>
        <w:t> </w:t>
      </w:r>
      <w:r>
        <w:rPr>
          <w:sz w:val="22"/>
        </w:rPr>
        <w:t>shown beside</w:t>
      </w:r>
      <w:r>
        <w:rPr>
          <w:spacing w:val="-2"/>
          <w:sz w:val="22"/>
        </w:rPr>
        <w:t> </w:t>
      </w:r>
      <w:r>
        <w:rPr>
          <w:sz w:val="22"/>
        </w:rPr>
        <w:t>it.</w:t>
      </w:r>
      <w:r>
        <w:rPr>
          <w:spacing w:val="-3"/>
          <w:sz w:val="22"/>
        </w:rPr>
        <w:t> </w:t>
      </w:r>
      <w:r>
        <w:rPr>
          <w:sz w:val="22"/>
        </w:rPr>
        <w:t>(Sousa Júnior</w:t>
      </w:r>
      <w:r>
        <w:rPr>
          <w:spacing w:val="-2"/>
          <w:sz w:val="22"/>
        </w:rPr>
        <w:t> </w:t>
      </w:r>
      <w:r>
        <w:rPr>
          <w:sz w:val="22"/>
        </w:rPr>
        <w:t>et</w:t>
      </w:r>
      <w:r>
        <w:rPr>
          <w:spacing w:val="-4"/>
          <w:sz w:val="22"/>
        </w:rPr>
        <w:t> </w:t>
      </w:r>
      <w:r>
        <w:rPr>
          <w:sz w:val="22"/>
        </w:rPr>
        <w:t>al.,</w:t>
      </w:r>
      <w:r>
        <w:rPr>
          <w:spacing w:val="-2"/>
          <w:sz w:val="22"/>
        </w:rPr>
        <w:t> </w:t>
      </w:r>
      <w:r>
        <w:rPr>
          <w:sz w:val="22"/>
        </w:rPr>
        <w:t>2013)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4"/>
        <w:rPr>
          <w:sz w:val="20"/>
        </w:rPr>
      </w:pPr>
    </w:p>
    <w:p>
      <w:pPr>
        <w:pStyle w:val="BodyText"/>
        <w:spacing w:line="480" w:lineRule="auto"/>
        <w:ind w:left="120" w:right="638"/>
      </w:pPr>
      <w:r>
        <w:rPr>
          <w:color w:val="0E0F1A"/>
        </w:rPr>
        <w:t>Isorenieratene</w:t>
      </w:r>
      <w:r>
        <w:rPr>
          <w:color w:val="0E0F1A"/>
          <w:spacing w:val="-2"/>
        </w:rPr>
        <w:t> </w:t>
      </w:r>
      <w:r>
        <w:rPr>
          <w:color w:val="0E0F1A"/>
        </w:rPr>
        <w:t>is</w:t>
      </w:r>
      <w:r>
        <w:rPr>
          <w:color w:val="0E0F1A"/>
          <w:spacing w:val="-3"/>
        </w:rPr>
        <w:t> </w:t>
      </w:r>
      <w:r>
        <w:rPr>
          <w:color w:val="0E0F1A"/>
        </w:rPr>
        <w:t>almost</w:t>
      </w:r>
      <w:r>
        <w:rPr>
          <w:color w:val="0E0F1A"/>
          <w:spacing w:val="-3"/>
        </w:rPr>
        <w:t> </w:t>
      </w:r>
      <w:r>
        <w:rPr>
          <w:color w:val="0E0F1A"/>
        </w:rPr>
        <w:t>exclusively</w:t>
      </w:r>
      <w:r>
        <w:rPr>
          <w:color w:val="0E0F1A"/>
          <w:spacing w:val="-2"/>
        </w:rPr>
        <w:t> </w:t>
      </w:r>
      <w:r>
        <w:rPr>
          <w:color w:val="0E0F1A"/>
        </w:rPr>
        <w:t>produced</w:t>
      </w:r>
      <w:r>
        <w:rPr>
          <w:color w:val="0E0F1A"/>
          <w:spacing w:val="-3"/>
        </w:rPr>
        <w:t> </w:t>
      </w:r>
      <w:r>
        <w:rPr>
          <w:color w:val="0E0F1A"/>
        </w:rPr>
        <w:t>by</w:t>
      </w:r>
      <w:r>
        <w:rPr>
          <w:color w:val="0E0F1A"/>
          <w:spacing w:val="-4"/>
        </w:rPr>
        <w:t> </w:t>
      </w:r>
      <w:r>
        <w:rPr>
          <w:color w:val="0E0F1A"/>
        </w:rPr>
        <w:t>the</w:t>
      </w:r>
      <w:r>
        <w:rPr>
          <w:color w:val="0E0F1A"/>
          <w:spacing w:val="-3"/>
        </w:rPr>
        <w:t> </w:t>
      </w:r>
      <w:r>
        <w:rPr>
          <w:color w:val="0E0F1A"/>
        </w:rPr>
        <w:t>brown</w:t>
      </w:r>
      <w:r>
        <w:rPr>
          <w:color w:val="0E0F1A"/>
          <w:spacing w:val="-3"/>
        </w:rPr>
        <w:t> </w:t>
      </w:r>
      <w:r>
        <w:rPr>
          <w:color w:val="0E0F1A"/>
        </w:rPr>
        <w:t>version</w:t>
      </w:r>
      <w:r>
        <w:rPr>
          <w:color w:val="0E0F1A"/>
          <w:spacing w:val="3"/>
        </w:rPr>
        <w:t> </w:t>
      </w:r>
      <w:r>
        <w:rPr>
          <w:color w:val="0E0F1A"/>
        </w:rPr>
        <w:t>of</w:t>
      </w:r>
      <w:r>
        <w:rPr>
          <w:color w:val="0E0F1A"/>
          <w:spacing w:val="-2"/>
        </w:rPr>
        <w:t> </w:t>
      </w:r>
      <w:r>
        <w:rPr>
          <w:color w:val="0E0F1A"/>
        </w:rPr>
        <w:t>GSB,</w:t>
      </w:r>
      <w:r>
        <w:rPr>
          <w:color w:val="0E0F1A"/>
          <w:spacing w:val="-2"/>
        </w:rPr>
        <w:t> </w:t>
      </w:r>
      <w:r>
        <w:rPr>
          <w:color w:val="0E0F1A"/>
        </w:rPr>
        <w:t>while</w:t>
      </w:r>
      <w:r>
        <w:rPr>
          <w:color w:val="0E0F1A"/>
          <w:spacing w:val="-2"/>
        </w:rPr>
        <w:t> </w:t>
      </w:r>
      <w:r>
        <w:rPr>
          <w:color w:val="0E0F1A"/>
        </w:rPr>
        <w:t>the</w:t>
      </w:r>
      <w:r>
        <w:rPr>
          <w:color w:val="0E0F1A"/>
          <w:spacing w:val="1"/>
        </w:rPr>
        <w:t> </w:t>
      </w:r>
      <w:r>
        <w:rPr>
          <w:color w:val="0E0F1A"/>
        </w:rPr>
        <w:t>green</w:t>
      </w:r>
      <w:r>
        <w:rPr>
          <w:color w:val="0E0F1A"/>
          <w:spacing w:val="-2"/>
        </w:rPr>
        <w:t> </w:t>
      </w:r>
      <w:r>
        <w:rPr>
          <w:color w:val="0E0F1A"/>
        </w:rPr>
        <w:t>GSB</w:t>
      </w:r>
      <w:r>
        <w:rPr>
          <w:color w:val="0E0F1A"/>
          <w:spacing w:val="-52"/>
        </w:rPr>
        <w:t> </w:t>
      </w:r>
      <w:r>
        <w:rPr>
          <w:color w:val="0E0F1A"/>
        </w:rPr>
        <w:t>produces predominantly chlorobactene </w:t>
      </w:r>
      <w:r>
        <w:rPr/>
        <w:t>(van Breugel et al., 2005)</w:t>
      </w:r>
      <w:r>
        <w:rPr>
          <w:color w:val="0E0F1A"/>
        </w:rPr>
        <w:t>. Therefore, the detection of</w:t>
      </w:r>
      <w:r>
        <w:rPr>
          <w:color w:val="0E0F1A"/>
          <w:spacing w:val="1"/>
        </w:rPr>
        <w:t> </w:t>
      </w:r>
      <w:r>
        <w:rPr>
          <w:color w:val="0E0F1A"/>
        </w:rPr>
        <w:t>isorenieratane(</w:t>
      </w:r>
      <w:r>
        <w:rPr>
          <w:b/>
          <w:color w:val="0E0F1A"/>
        </w:rPr>
        <w:t>I</w:t>
      </w:r>
      <w:r>
        <w:rPr>
          <w:color w:val="0E0F1A"/>
        </w:rPr>
        <w:t>) can provide information about the depth of the chemocline and redox</w:t>
      </w:r>
      <w:r>
        <w:rPr>
          <w:color w:val="0E0F1A"/>
          <w:spacing w:val="1"/>
        </w:rPr>
        <w:t> </w:t>
      </w:r>
      <w:r>
        <w:rPr>
          <w:color w:val="0E0F1A"/>
        </w:rPr>
        <w:t>conditions</w:t>
      </w:r>
      <w:r>
        <w:rPr>
          <w:color w:val="0E0F1A"/>
          <w:spacing w:val="-2"/>
        </w:rPr>
        <w:t> </w:t>
      </w:r>
      <w:r>
        <w:rPr>
          <w:color w:val="0E0F1A"/>
        </w:rPr>
        <w:t>present</w:t>
      </w:r>
      <w:r>
        <w:rPr>
          <w:color w:val="0E0F1A"/>
          <w:spacing w:val="1"/>
        </w:rPr>
        <w:t> </w:t>
      </w:r>
      <w:r>
        <w:rPr>
          <w:color w:val="0E0F1A"/>
        </w:rPr>
        <w:t>at deposition</w:t>
      </w:r>
      <w:r>
        <w:rPr>
          <w:color w:val="0E0F1A"/>
          <w:spacing w:val="8"/>
        </w:rPr>
        <w:t> </w:t>
      </w:r>
      <w:r>
        <w:rPr/>
        <w:t>(Brocks</w:t>
      </w:r>
      <w:r>
        <w:rPr>
          <w:spacing w:val="2"/>
        </w:rPr>
        <w:t> </w:t>
      </w:r>
      <w:r>
        <w:rPr/>
        <w:t>and</w:t>
      </w:r>
      <w:r>
        <w:rPr>
          <w:spacing w:val="5"/>
        </w:rPr>
        <w:t> </w:t>
      </w:r>
      <w:r>
        <w:rPr/>
        <w:t>Schaeffer,</w:t>
      </w:r>
      <w:r>
        <w:rPr>
          <w:spacing w:val="2"/>
        </w:rPr>
        <w:t> </w:t>
      </w:r>
      <w:r>
        <w:rPr/>
        <w:t>2008;</w:t>
      </w:r>
      <w:r>
        <w:rPr>
          <w:spacing w:val="1"/>
        </w:rPr>
        <w:t> </w:t>
      </w:r>
      <w:r>
        <w:rPr/>
        <w:t>Meyer</w:t>
      </w:r>
      <w:r>
        <w:rPr>
          <w:spacing w:val="6"/>
        </w:rPr>
        <w:t> </w:t>
      </w:r>
      <w:r>
        <w:rPr/>
        <w:t>and</w:t>
      </w:r>
      <w:r>
        <w:rPr>
          <w:spacing w:val="-1"/>
        </w:rPr>
        <w:t> </w:t>
      </w:r>
      <w:r>
        <w:rPr/>
        <w:t>Kump, 2008;</w:t>
      </w:r>
      <w:r>
        <w:rPr>
          <w:spacing w:val="4"/>
        </w:rPr>
        <w:t> </w:t>
      </w:r>
      <w:r>
        <w:rPr/>
        <w:t>French</w:t>
      </w:r>
      <w:r>
        <w:rPr>
          <w:spacing w:val="1"/>
        </w:rPr>
        <w:t> </w:t>
      </w:r>
      <w:r>
        <w:rPr/>
        <w:t>et al., 2015)</w:t>
      </w:r>
      <w:r>
        <w:rPr>
          <w:color w:val="0E0F1A"/>
        </w:rPr>
        <w:t>. This study also looks at paleorenieratane (</w:t>
      </w:r>
      <w:r>
        <w:rPr>
          <w:b/>
          <w:color w:val="0E0F1A"/>
        </w:rPr>
        <w:t>II</w:t>
      </w:r>
      <w:r>
        <w:rPr>
          <w:color w:val="0E0F1A"/>
        </w:rPr>
        <w:t>), a 2,3,6-/3,4,5-trimethyl substituted</w:t>
      </w:r>
      <w:r>
        <w:rPr>
          <w:color w:val="0E0F1A"/>
          <w:spacing w:val="1"/>
        </w:rPr>
        <w:t> </w:t>
      </w:r>
      <w:r>
        <w:rPr>
          <w:color w:val="0E0F1A"/>
        </w:rPr>
        <w:t>C40 diaromatic carotenoid </w:t>
      </w:r>
      <w:r>
        <w:rPr/>
        <w:t>(French et al., 2015)</w:t>
      </w:r>
      <w:r>
        <w:rPr>
          <w:color w:val="0E0F1A"/>
        </w:rPr>
        <w:t>. First identified by Hartgers et al. (1993), it is</w:t>
      </w:r>
      <w:r>
        <w:rPr>
          <w:color w:val="0E0F1A"/>
          <w:spacing w:val="1"/>
        </w:rPr>
        <w:t> </w:t>
      </w:r>
      <w:r>
        <w:rPr>
          <w:color w:val="0E0F1A"/>
        </w:rPr>
        <w:t>thought</w:t>
      </w:r>
      <w:r>
        <w:rPr>
          <w:color w:val="0E0F1A"/>
          <w:spacing w:val="2"/>
        </w:rPr>
        <w:t> </w:t>
      </w:r>
      <w:r>
        <w:rPr>
          <w:color w:val="0E0F1A"/>
        </w:rPr>
        <w:t>to</w:t>
      </w:r>
      <w:r>
        <w:rPr>
          <w:color w:val="0E0F1A"/>
          <w:spacing w:val="-3"/>
        </w:rPr>
        <w:t> </w:t>
      </w:r>
      <w:r>
        <w:rPr>
          <w:color w:val="0E0F1A"/>
        </w:rPr>
        <w:t>have</w:t>
      </w:r>
      <w:r>
        <w:rPr>
          <w:color w:val="0E0F1A"/>
          <w:spacing w:val="-3"/>
        </w:rPr>
        <w:t> </w:t>
      </w:r>
      <w:r>
        <w:rPr>
          <w:color w:val="0E0F1A"/>
        </w:rPr>
        <w:t>been</w:t>
      </w:r>
      <w:r>
        <w:rPr>
          <w:color w:val="0E0F1A"/>
          <w:spacing w:val="-2"/>
        </w:rPr>
        <w:t> </w:t>
      </w:r>
      <w:r>
        <w:rPr>
          <w:color w:val="0E0F1A"/>
        </w:rPr>
        <w:t>produced</w:t>
      </w:r>
      <w:r>
        <w:rPr>
          <w:color w:val="0E0F1A"/>
          <w:spacing w:val="2"/>
        </w:rPr>
        <w:t> </w:t>
      </w:r>
      <w:r>
        <w:rPr>
          <w:color w:val="0E0F1A"/>
        </w:rPr>
        <w:t>by</w:t>
      </w:r>
      <w:r>
        <w:rPr>
          <w:color w:val="0E0F1A"/>
          <w:spacing w:val="-5"/>
        </w:rPr>
        <w:t> </w:t>
      </w:r>
      <w:r>
        <w:rPr>
          <w:color w:val="0E0F1A"/>
        </w:rPr>
        <w:t>a</w:t>
      </w:r>
      <w:r>
        <w:rPr>
          <w:color w:val="0E0F1A"/>
          <w:spacing w:val="2"/>
        </w:rPr>
        <w:t> </w:t>
      </w:r>
      <w:r>
        <w:rPr>
          <w:color w:val="0E0F1A"/>
        </w:rPr>
        <w:t>now</w:t>
      </w:r>
      <w:r>
        <w:rPr>
          <w:color w:val="0E0F1A"/>
          <w:spacing w:val="-3"/>
        </w:rPr>
        <w:t> </w:t>
      </w:r>
      <w:r>
        <w:rPr>
          <w:color w:val="0E0F1A"/>
        </w:rPr>
        <w:t>extinct</w:t>
      </w:r>
      <w:r>
        <w:rPr>
          <w:color w:val="0E0F1A"/>
          <w:spacing w:val="-3"/>
        </w:rPr>
        <w:t> </w:t>
      </w:r>
      <w:r>
        <w:rPr>
          <w:color w:val="0E0F1A"/>
        </w:rPr>
        <w:t>species</w:t>
      </w:r>
      <w:r>
        <w:rPr>
          <w:color w:val="0E0F1A"/>
          <w:spacing w:val="-3"/>
        </w:rPr>
        <w:t> </w:t>
      </w:r>
      <w:r>
        <w:rPr>
          <w:color w:val="0E0F1A"/>
        </w:rPr>
        <w:t>of</w:t>
      </w:r>
      <w:r>
        <w:rPr>
          <w:color w:val="0E0F1A"/>
          <w:spacing w:val="7"/>
        </w:rPr>
        <w:t> </w:t>
      </w:r>
      <w:r>
        <w:rPr>
          <w:i/>
          <w:color w:val="0E0F1A"/>
        </w:rPr>
        <w:t>Chlorobiaceae</w:t>
      </w:r>
      <w:r>
        <w:rPr>
          <w:i/>
          <w:color w:val="0E0F1A"/>
          <w:spacing w:val="5"/>
        </w:rPr>
        <w:t> </w:t>
      </w:r>
      <w:r>
        <w:rPr/>
        <w:t>(Hartgers</w:t>
      </w:r>
      <w:r>
        <w:rPr>
          <w:spacing w:val="-2"/>
        </w:rPr>
        <w:t> </w:t>
      </w:r>
      <w:r>
        <w:rPr/>
        <w:t>et</w:t>
      </w:r>
      <w:r>
        <w:rPr>
          <w:spacing w:val="-2"/>
        </w:rPr>
        <w:t> </w:t>
      </w:r>
      <w:r>
        <w:rPr/>
        <w:t>al.,</w:t>
      </w:r>
    </w:p>
    <w:p>
      <w:pPr>
        <w:spacing w:after="0" w:line="480" w:lineRule="auto"/>
        <w:sectPr>
          <w:footerReference w:type="default" r:id="rId25"/>
          <w:pgSz w:w="12240" w:h="15840"/>
          <w:pgMar w:footer="1014" w:header="0" w:top="1440" w:bottom="1200" w:left="1320" w:right="820"/>
        </w:sectPr>
      </w:pPr>
    </w:p>
    <w:p>
      <w:pPr>
        <w:pStyle w:val="BodyText"/>
        <w:spacing w:line="480" w:lineRule="auto" w:before="39"/>
        <w:ind w:left="120" w:right="630"/>
      </w:pPr>
      <w:r>
        <w:rPr/>
        <w:t>1993, 1994; Koopmans et al., 1996a; Clifford et al., 1998; French et al., 2015; Aderoju and Bend,</w:t>
      </w:r>
      <w:r>
        <w:rPr>
          <w:spacing w:val="-52"/>
        </w:rPr>
        <w:t> </w:t>
      </w:r>
      <w:r>
        <w:rPr/>
        <w:t>2018)</w:t>
      </w:r>
      <w:r>
        <w:rPr>
          <w:color w:val="0E0F1A"/>
        </w:rPr>
        <w:t>. It is also enriched in </w:t>
      </w:r>
      <w:r>
        <w:rPr>
          <w:color w:val="0E0F1A"/>
          <w:vertAlign w:val="superscript"/>
        </w:rPr>
        <w:t>13</w:t>
      </w:r>
      <w:r>
        <w:rPr>
          <w:color w:val="0E0F1A"/>
          <w:vertAlign w:val="baseline"/>
        </w:rPr>
        <w:t>C </w:t>
      </w:r>
      <w:r>
        <w:rPr>
          <w:vertAlign w:val="baseline"/>
        </w:rPr>
        <w:t>(Hartgers et al., 1993)</w:t>
      </w:r>
      <w:r>
        <w:rPr>
          <w:color w:val="0E0F1A"/>
          <w:vertAlign w:val="baseline"/>
        </w:rPr>
        <w:t>, much like isorenieratene </w:t>
      </w:r>
      <w:r>
        <w:rPr>
          <w:vertAlign w:val="baseline"/>
        </w:rPr>
        <w:t>(van Breugel et</w:t>
      </w:r>
      <w:r>
        <w:rPr>
          <w:spacing w:val="1"/>
          <w:vertAlign w:val="baseline"/>
        </w:rPr>
        <w:t> </w:t>
      </w:r>
      <w:r>
        <w:rPr>
          <w:vertAlign w:val="baseline"/>
        </w:rPr>
        <w:t>al., 2005, 2006)</w:t>
      </w:r>
      <w:r>
        <w:rPr>
          <w:color w:val="0E0F1A"/>
          <w:vertAlign w:val="baseline"/>
        </w:rPr>
        <w:t>, supporting the idea that it comes from photosynthetic GSB and is therefore an</w:t>
      </w:r>
      <w:r>
        <w:rPr>
          <w:color w:val="0E0F1A"/>
          <w:spacing w:val="1"/>
          <w:vertAlign w:val="baseline"/>
        </w:rPr>
        <w:t> </w:t>
      </w:r>
      <w:r>
        <w:rPr>
          <w:color w:val="0E0F1A"/>
          <w:vertAlign w:val="baseline"/>
        </w:rPr>
        <w:t>indicator of PZE. The GSB producing paleorenieratane (</w:t>
      </w:r>
      <w:r>
        <w:rPr>
          <w:b/>
          <w:color w:val="0E0F1A"/>
          <w:vertAlign w:val="baseline"/>
        </w:rPr>
        <w:t>II</w:t>
      </w:r>
      <w:r>
        <w:rPr>
          <w:color w:val="0E0F1A"/>
          <w:vertAlign w:val="baseline"/>
        </w:rPr>
        <w:t>) likely inhabited a shallower region</w:t>
      </w:r>
      <w:r>
        <w:rPr>
          <w:color w:val="0E0F1A"/>
          <w:spacing w:val="1"/>
          <w:vertAlign w:val="baseline"/>
        </w:rPr>
        <w:t> </w:t>
      </w:r>
      <w:r>
        <w:rPr>
          <w:color w:val="0E0F1A"/>
          <w:vertAlign w:val="baseline"/>
        </w:rPr>
        <w:t>than the isorenieratene producing GSB </w:t>
      </w:r>
      <w:r>
        <w:rPr>
          <w:vertAlign w:val="baseline"/>
        </w:rPr>
        <w:t>(Connock, 2015)</w:t>
      </w:r>
      <w:r>
        <w:rPr>
          <w:color w:val="0E0F1A"/>
          <w:vertAlign w:val="baseline"/>
        </w:rPr>
        <w:t>. Paleorenieratane (</w:t>
      </w:r>
      <w:r>
        <w:rPr>
          <w:b/>
          <w:color w:val="0E0F1A"/>
          <w:vertAlign w:val="baseline"/>
        </w:rPr>
        <w:t>II</w:t>
      </w:r>
      <w:r>
        <w:rPr>
          <w:color w:val="0E0F1A"/>
          <w:vertAlign w:val="baseline"/>
        </w:rPr>
        <w:t>) is also valuable</w:t>
      </w:r>
      <w:r>
        <w:rPr>
          <w:color w:val="0E0F1A"/>
          <w:spacing w:val="1"/>
          <w:vertAlign w:val="baseline"/>
        </w:rPr>
        <w:t> </w:t>
      </w:r>
      <w:r>
        <w:rPr>
          <w:color w:val="0E0F1A"/>
          <w:vertAlign w:val="baseline"/>
        </w:rPr>
        <w:t>for age dating, it is limited to being found between the Neoproterozoic and the Early Triassic,</w:t>
      </w:r>
      <w:r>
        <w:rPr>
          <w:color w:val="0E0F1A"/>
          <w:spacing w:val="1"/>
          <w:vertAlign w:val="baseline"/>
        </w:rPr>
        <w:t> </w:t>
      </w:r>
      <w:r>
        <w:rPr>
          <w:color w:val="0E0F1A"/>
          <w:vertAlign w:val="baseline"/>
        </w:rPr>
        <w:t>but</w:t>
      </w:r>
      <w:r>
        <w:rPr>
          <w:color w:val="0E0F1A"/>
          <w:spacing w:val="-4"/>
          <w:vertAlign w:val="baseline"/>
        </w:rPr>
        <w:t> </w:t>
      </w:r>
      <w:r>
        <w:rPr>
          <w:color w:val="0E0F1A"/>
          <w:vertAlign w:val="baseline"/>
        </w:rPr>
        <w:t>the relatively</w:t>
      </w:r>
      <w:r>
        <w:rPr>
          <w:color w:val="0E0F1A"/>
          <w:spacing w:val="-2"/>
          <w:vertAlign w:val="baseline"/>
        </w:rPr>
        <w:t> </w:t>
      </w:r>
      <w:r>
        <w:rPr>
          <w:color w:val="0E0F1A"/>
          <w:vertAlign w:val="baseline"/>
        </w:rPr>
        <w:t>high</w:t>
      </w:r>
      <w:r>
        <w:rPr>
          <w:color w:val="0E0F1A"/>
          <w:spacing w:val="-2"/>
          <w:vertAlign w:val="baseline"/>
        </w:rPr>
        <w:t> </w:t>
      </w:r>
      <w:r>
        <w:rPr>
          <w:color w:val="0E0F1A"/>
          <w:vertAlign w:val="baseline"/>
        </w:rPr>
        <w:t>concentrations</w:t>
      </w:r>
      <w:r>
        <w:rPr>
          <w:color w:val="0E0F1A"/>
          <w:spacing w:val="1"/>
          <w:vertAlign w:val="baseline"/>
        </w:rPr>
        <w:t> </w:t>
      </w:r>
      <w:r>
        <w:rPr>
          <w:color w:val="0E0F1A"/>
          <w:vertAlign w:val="baseline"/>
        </w:rPr>
        <w:t>occur</w:t>
      </w:r>
      <w:r>
        <w:rPr>
          <w:color w:val="0E0F1A"/>
          <w:spacing w:val="-4"/>
          <w:vertAlign w:val="baseline"/>
        </w:rPr>
        <w:t> </w:t>
      </w:r>
      <w:r>
        <w:rPr>
          <w:color w:val="0E0F1A"/>
          <w:vertAlign w:val="baseline"/>
        </w:rPr>
        <w:t>in</w:t>
      </w:r>
      <w:r>
        <w:rPr>
          <w:color w:val="0E0F1A"/>
          <w:spacing w:val="-4"/>
          <w:vertAlign w:val="baseline"/>
        </w:rPr>
        <w:t> </w:t>
      </w:r>
      <w:r>
        <w:rPr>
          <w:color w:val="0E0F1A"/>
          <w:vertAlign w:val="baseline"/>
        </w:rPr>
        <w:t>the</w:t>
      </w:r>
      <w:r>
        <w:rPr>
          <w:color w:val="0E0F1A"/>
          <w:spacing w:val="-2"/>
          <w:vertAlign w:val="baseline"/>
        </w:rPr>
        <w:t> </w:t>
      </w:r>
      <w:r>
        <w:rPr>
          <w:color w:val="0E0F1A"/>
          <w:vertAlign w:val="baseline"/>
        </w:rPr>
        <w:t>Devonian</w:t>
      </w:r>
      <w:r>
        <w:rPr>
          <w:color w:val="0E0F1A"/>
          <w:spacing w:val="6"/>
          <w:vertAlign w:val="baseline"/>
        </w:rPr>
        <w:t> </w:t>
      </w:r>
      <w:r>
        <w:rPr>
          <w:vertAlign w:val="baseline"/>
        </w:rPr>
        <w:t>(Hartgers</w:t>
      </w:r>
      <w:r>
        <w:rPr>
          <w:spacing w:val="-3"/>
          <w:vertAlign w:val="baseline"/>
        </w:rPr>
        <w:t> </w:t>
      </w:r>
      <w:r>
        <w:rPr>
          <w:vertAlign w:val="baseline"/>
        </w:rPr>
        <w:t>et</w:t>
      </w:r>
      <w:r>
        <w:rPr>
          <w:spacing w:val="1"/>
          <w:vertAlign w:val="baseline"/>
        </w:rPr>
        <w:t> </w:t>
      </w:r>
      <w:r>
        <w:rPr>
          <w:vertAlign w:val="baseline"/>
        </w:rPr>
        <w:t>al.,</w:t>
      </w:r>
      <w:r>
        <w:rPr>
          <w:spacing w:val="-3"/>
          <w:vertAlign w:val="baseline"/>
        </w:rPr>
        <w:t> </w:t>
      </w:r>
      <w:r>
        <w:rPr>
          <w:vertAlign w:val="baseline"/>
        </w:rPr>
        <w:t>1994;</w:t>
      </w:r>
      <w:r>
        <w:rPr>
          <w:spacing w:val="-2"/>
          <w:vertAlign w:val="baseline"/>
        </w:rPr>
        <w:t> </w:t>
      </w:r>
      <w:r>
        <w:rPr>
          <w:vertAlign w:val="baseline"/>
        </w:rPr>
        <w:t>French</w:t>
      </w:r>
      <w:r>
        <w:rPr>
          <w:spacing w:val="-3"/>
          <w:vertAlign w:val="baseline"/>
        </w:rPr>
        <w:t> </w:t>
      </w:r>
      <w:r>
        <w:rPr>
          <w:vertAlign w:val="baseline"/>
        </w:rPr>
        <w:t>et</w:t>
      </w:r>
      <w:r>
        <w:rPr>
          <w:spacing w:val="-3"/>
          <w:vertAlign w:val="baseline"/>
        </w:rPr>
        <w:t> </w:t>
      </w:r>
      <w:r>
        <w:rPr>
          <w:vertAlign w:val="baseline"/>
        </w:rPr>
        <w:t>al.,</w:t>
      </w:r>
      <w:r>
        <w:rPr>
          <w:spacing w:val="-51"/>
          <w:vertAlign w:val="baseline"/>
        </w:rPr>
        <w:t> </w:t>
      </w:r>
      <w:r>
        <w:rPr>
          <w:vertAlign w:val="baseline"/>
        </w:rPr>
        <w:t>2015)</w:t>
      </w:r>
      <w:r>
        <w:rPr>
          <w:color w:val="0E0F1A"/>
          <w:vertAlign w:val="baseline"/>
        </w:rPr>
        <w:t>. The Woodford Shale contains both isorenieratane(</w:t>
      </w:r>
      <w:r>
        <w:rPr>
          <w:b/>
          <w:color w:val="0E0F1A"/>
          <w:vertAlign w:val="baseline"/>
        </w:rPr>
        <w:t>I</w:t>
      </w:r>
      <w:r>
        <w:rPr>
          <w:color w:val="0E0F1A"/>
          <w:vertAlign w:val="baseline"/>
        </w:rPr>
        <w:t>) and paleorenieratane (</w:t>
      </w:r>
      <w:r>
        <w:rPr>
          <w:b/>
          <w:color w:val="0E0F1A"/>
          <w:vertAlign w:val="baseline"/>
        </w:rPr>
        <w:t>II</w:t>
      </w:r>
      <w:r>
        <w:rPr>
          <w:color w:val="0E0F1A"/>
          <w:vertAlign w:val="baseline"/>
        </w:rPr>
        <w:t>) in high</w:t>
      </w:r>
      <w:r>
        <w:rPr>
          <w:color w:val="0E0F1A"/>
          <w:spacing w:val="1"/>
          <w:vertAlign w:val="baseline"/>
        </w:rPr>
        <w:t> </w:t>
      </w:r>
      <w:r>
        <w:rPr>
          <w:color w:val="0E0F1A"/>
          <w:vertAlign w:val="baseline"/>
        </w:rPr>
        <w:t>concentrations, with paleorenieratane (</w:t>
      </w:r>
      <w:r>
        <w:rPr>
          <w:b/>
          <w:color w:val="0E0F1A"/>
          <w:vertAlign w:val="baseline"/>
        </w:rPr>
        <w:t>II</w:t>
      </w:r>
      <w:r>
        <w:rPr>
          <w:color w:val="0E0F1A"/>
          <w:vertAlign w:val="baseline"/>
        </w:rPr>
        <w:t>) being dominant and isorenieratane(</w:t>
      </w:r>
      <w:r>
        <w:rPr>
          <w:b/>
          <w:color w:val="0E0F1A"/>
          <w:vertAlign w:val="baseline"/>
        </w:rPr>
        <w:t>I</w:t>
      </w:r>
      <w:r>
        <w:rPr>
          <w:color w:val="0E0F1A"/>
          <w:vertAlign w:val="baseline"/>
        </w:rPr>
        <w:t>) being the</w:t>
      </w:r>
      <w:r>
        <w:rPr>
          <w:color w:val="0E0F1A"/>
          <w:spacing w:val="1"/>
          <w:vertAlign w:val="baseline"/>
        </w:rPr>
        <w:t> </w:t>
      </w:r>
      <w:r>
        <w:rPr>
          <w:color w:val="0E0F1A"/>
          <w:vertAlign w:val="baseline"/>
        </w:rPr>
        <w:t>second most</w:t>
      </w:r>
      <w:r>
        <w:rPr>
          <w:color w:val="0E0F1A"/>
          <w:spacing w:val="-2"/>
          <w:vertAlign w:val="baseline"/>
        </w:rPr>
        <w:t> </w:t>
      </w:r>
      <w:r>
        <w:rPr>
          <w:color w:val="0E0F1A"/>
          <w:vertAlign w:val="baseline"/>
        </w:rPr>
        <w:t>abundant</w:t>
      </w:r>
      <w:r>
        <w:rPr>
          <w:color w:val="0E0F1A"/>
          <w:spacing w:val="5"/>
          <w:vertAlign w:val="baseline"/>
        </w:rPr>
        <w:t> </w:t>
      </w:r>
      <w:r>
        <w:rPr>
          <w:vertAlign w:val="baseline"/>
        </w:rPr>
        <w:t>(Connock,</w:t>
      </w:r>
      <w:r>
        <w:rPr>
          <w:spacing w:val="-1"/>
          <w:vertAlign w:val="baseline"/>
        </w:rPr>
        <w:t> </w:t>
      </w:r>
      <w:r>
        <w:rPr>
          <w:vertAlign w:val="baseline"/>
        </w:rPr>
        <w:t>2015)</w:t>
      </w:r>
      <w:r>
        <w:rPr>
          <w:color w:val="0E0F1A"/>
          <w:vertAlign w:val="baseline"/>
        </w:rPr>
        <w:t>.</w:t>
      </w:r>
    </w:p>
    <w:p>
      <w:pPr>
        <w:pStyle w:val="BodyText"/>
        <w:spacing w:line="480" w:lineRule="auto"/>
        <w:ind w:left="120" w:right="632" w:firstLine="706"/>
      </w:pPr>
      <w:r>
        <w:rPr>
          <w:color w:val="0E0F1A"/>
        </w:rPr>
        <w:t>Porphyrins were the first biomarkers identified in sedimentary organic matter </w:t>
      </w:r>
      <w:r>
        <w:rPr/>
        <w:t>(Treibs,</w:t>
      </w:r>
      <w:r>
        <w:rPr>
          <w:spacing w:val="1"/>
        </w:rPr>
        <w:t> </w:t>
      </w:r>
      <w:r>
        <w:rPr/>
        <w:t>1936)</w:t>
      </w:r>
      <w:r>
        <w:rPr>
          <w:color w:val="0E0F1A"/>
        </w:rPr>
        <w:t>. They are molecular fossils resulting from the degradation of pigments such as</w:t>
      </w:r>
      <w:r>
        <w:rPr>
          <w:color w:val="0E0F1A"/>
          <w:spacing w:val="1"/>
        </w:rPr>
        <w:t> </w:t>
      </w:r>
      <w:r>
        <w:rPr>
          <w:color w:val="0E0F1A"/>
        </w:rPr>
        <w:t>chlorophyll, bacteriochlorophylls, and hemes </w:t>
      </w:r>
      <w:r>
        <w:rPr/>
        <w:t>(Huseby et al., 1996; Junium et al., 2008, 2015)</w:t>
      </w:r>
      <w:r>
        <w:rPr>
          <w:color w:val="0E0F1A"/>
        </w:rPr>
        <w:t>.</w:t>
      </w:r>
      <w:r>
        <w:rPr>
          <w:color w:val="0E0F1A"/>
          <w:spacing w:val="1"/>
        </w:rPr>
        <w:t> </w:t>
      </w:r>
      <w:r>
        <w:rPr>
          <w:color w:val="0E0F1A"/>
        </w:rPr>
        <w:t>They help determine paleoenvironmental data such as water column redox state, biological</w:t>
      </w:r>
      <w:r>
        <w:rPr>
          <w:color w:val="0E0F1A"/>
          <w:spacing w:val="1"/>
        </w:rPr>
        <w:t> </w:t>
      </w:r>
      <w:r>
        <w:rPr>
          <w:color w:val="0E0F1A"/>
        </w:rPr>
        <w:t>activity, sedimentary geochemical conditions, and geologic age </w:t>
      </w:r>
      <w:r>
        <w:rPr/>
        <w:t>(Junium et al., 2008)</w:t>
      </w:r>
      <w:r>
        <w:rPr>
          <w:color w:val="0E0F1A"/>
        </w:rPr>
        <w:t>. Porphyrins</w:t>
      </w:r>
      <w:r>
        <w:rPr>
          <w:color w:val="0E0F1A"/>
          <w:spacing w:val="-52"/>
        </w:rPr>
        <w:t> </w:t>
      </w:r>
      <w:r>
        <w:rPr>
          <w:color w:val="0E0F1A"/>
        </w:rPr>
        <w:t>can also be indicators of organic matter source, diagenetic history, and petroleum thermal</w:t>
      </w:r>
      <w:r>
        <w:rPr>
          <w:color w:val="0E0F1A"/>
          <w:spacing w:val="1"/>
        </w:rPr>
        <w:t> </w:t>
      </w:r>
      <w:r>
        <w:rPr>
          <w:color w:val="0E0F1A"/>
        </w:rPr>
        <w:t>maturity</w:t>
      </w:r>
      <w:r>
        <w:rPr>
          <w:color w:val="0E0F1A"/>
          <w:spacing w:val="4"/>
        </w:rPr>
        <w:t> </w:t>
      </w:r>
      <w:r>
        <w:rPr/>
        <w:t>(Huseby</w:t>
      </w:r>
      <w:r>
        <w:rPr>
          <w:spacing w:val="-1"/>
        </w:rPr>
        <w:t> </w:t>
      </w:r>
      <w:r>
        <w:rPr/>
        <w:t>et al.,</w:t>
      </w:r>
      <w:r>
        <w:rPr>
          <w:spacing w:val="1"/>
        </w:rPr>
        <w:t> </w:t>
      </w:r>
      <w:r>
        <w:rPr/>
        <w:t>1996; Marín</w:t>
      </w:r>
      <w:r>
        <w:rPr>
          <w:spacing w:val="1"/>
        </w:rPr>
        <w:t> </w:t>
      </w:r>
      <w:r>
        <w:rPr/>
        <w:t>et</w:t>
      </w:r>
      <w:r>
        <w:rPr>
          <w:spacing w:val="1"/>
        </w:rPr>
        <w:t> </w:t>
      </w:r>
      <w:r>
        <w:rPr/>
        <w:t>al.,</w:t>
      </w:r>
      <w:r>
        <w:rPr>
          <w:spacing w:val="1"/>
        </w:rPr>
        <w:t> </w:t>
      </w:r>
      <w:r>
        <w:rPr/>
        <w:t>2014;</w:t>
      </w:r>
      <w:r>
        <w:rPr>
          <w:spacing w:val="-1"/>
        </w:rPr>
        <w:t> </w:t>
      </w:r>
      <w:r>
        <w:rPr/>
        <w:t>Junium</w:t>
      </w:r>
      <w:r>
        <w:rPr>
          <w:spacing w:val="1"/>
        </w:rPr>
        <w:t> </w:t>
      </w:r>
      <w:r>
        <w:rPr/>
        <w:t>et</w:t>
      </w:r>
      <w:r>
        <w:rPr>
          <w:spacing w:val="6"/>
        </w:rPr>
        <w:t> </w:t>
      </w:r>
      <w:r>
        <w:rPr/>
        <w:t>al., 2015)</w:t>
      </w:r>
      <w:r>
        <w:rPr>
          <w:color w:val="0E0F1A"/>
        </w:rPr>
        <w:t>.</w:t>
      </w:r>
      <w:r>
        <w:rPr>
          <w:color w:val="0E0F1A"/>
          <w:spacing w:val="1"/>
        </w:rPr>
        <w:t> </w:t>
      </w:r>
      <w:r>
        <w:rPr>
          <w:color w:val="0E0F1A"/>
        </w:rPr>
        <w:t>Three</w:t>
      </w:r>
      <w:r>
        <w:rPr>
          <w:color w:val="0E0F1A"/>
          <w:spacing w:val="2"/>
        </w:rPr>
        <w:t> </w:t>
      </w:r>
      <w:r>
        <w:rPr>
          <w:color w:val="0E0F1A"/>
        </w:rPr>
        <w:t>classes</w:t>
      </w:r>
      <w:r>
        <w:rPr>
          <w:color w:val="0E0F1A"/>
          <w:spacing w:val="1"/>
        </w:rPr>
        <w:t> </w:t>
      </w:r>
      <w:r>
        <w:rPr>
          <w:color w:val="0E0F1A"/>
        </w:rPr>
        <w:t>of</w:t>
      </w:r>
      <w:r>
        <w:rPr>
          <w:color w:val="0E0F1A"/>
          <w:spacing w:val="1"/>
        </w:rPr>
        <w:t> </w:t>
      </w:r>
      <w:r>
        <w:rPr>
          <w:color w:val="0E0F1A"/>
        </w:rPr>
        <w:t>porphyrin were detected in this study, deoxophylloerythroetioporphyrin (DPEP), etioporphyrin</w:t>
      </w:r>
      <w:r>
        <w:rPr>
          <w:color w:val="0E0F1A"/>
          <w:spacing w:val="1"/>
        </w:rPr>
        <w:t> </w:t>
      </w:r>
      <w:r>
        <w:rPr>
          <w:color w:val="0E0F1A"/>
        </w:rPr>
        <w:t>(ETIO), and bicycloalkanoporphyrin (BiCAP). They can be produced by the diagenetic alteration</w:t>
      </w:r>
      <w:r>
        <w:rPr>
          <w:color w:val="0E0F1A"/>
          <w:spacing w:val="1"/>
        </w:rPr>
        <w:t> </w:t>
      </w:r>
      <w:r>
        <w:rPr>
          <w:color w:val="0E0F1A"/>
        </w:rPr>
        <w:t>of chlorophyll and bacteriochlorophyll </w:t>
      </w:r>
      <w:r>
        <w:rPr/>
        <w:t>(Ohkouchi et al., 2010; Fulton et al., 2018; Gueneli et al.,</w:t>
      </w:r>
      <w:r>
        <w:rPr>
          <w:spacing w:val="1"/>
        </w:rPr>
        <w:t> </w:t>
      </w:r>
      <w:r>
        <w:rPr/>
        <w:t>2018)</w:t>
      </w:r>
      <w:r>
        <w:rPr>
          <w:color w:val="0E0F1A"/>
        </w:rPr>
        <w:t>. The process of alteration begins first by losing the Mg, phytol, and the carbomethoxy</w:t>
      </w:r>
      <w:r>
        <w:rPr>
          <w:color w:val="0E0F1A"/>
          <w:spacing w:val="1"/>
        </w:rPr>
        <w:t> </w:t>
      </w:r>
      <w:r>
        <w:rPr>
          <w:color w:val="0E0F1A"/>
        </w:rPr>
        <w:t>moiety;</w:t>
      </w:r>
      <w:r>
        <w:rPr>
          <w:color w:val="0E0F1A"/>
          <w:spacing w:val="-5"/>
        </w:rPr>
        <w:t> </w:t>
      </w:r>
      <w:r>
        <w:rPr>
          <w:color w:val="0E0F1A"/>
        </w:rPr>
        <w:t>it</w:t>
      </w:r>
      <w:r>
        <w:rPr>
          <w:color w:val="0E0F1A"/>
          <w:spacing w:val="-3"/>
        </w:rPr>
        <w:t> </w:t>
      </w:r>
      <w:r>
        <w:rPr>
          <w:color w:val="0E0F1A"/>
        </w:rPr>
        <w:t>then</w:t>
      </w:r>
      <w:r>
        <w:rPr>
          <w:color w:val="0E0F1A"/>
          <w:spacing w:val="-2"/>
        </w:rPr>
        <w:t> </w:t>
      </w:r>
      <w:r>
        <w:rPr>
          <w:color w:val="0E0F1A"/>
        </w:rPr>
        <w:t>undergoes</w:t>
      </w:r>
      <w:r>
        <w:rPr>
          <w:color w:val="0E0F1A"/>
          <w:spacing w:val="-3"/>
        </w:rPr>
        <w:t> </w:t>
      </w:r>
      <w:r>
        <w:rPr>
          <w:color w:val="0E0F1A"/>
        </w:rPr>
        <w:t>keto</w:t>
      </w:r>
      <w:r>
        <w:rPr>
          <w:color w:val="0E0F1A"/>
          <w:spacing w:val="-4"/>
        </w:rPr>
        <w:t> </w:t>
      </w:r>
      <w:r>
        <w:rPr>
          <w:color w:val="0E0F1A"/>
        </w:rPr>
        <w:t>reduction/dehydration/reduction;</w:t>
      </w:r>
      <w:r>
        <w:rPr>
          <w:color w:val="0E0F1A"/>
          <w:spacing w:val="-4"/>
        </w:rPr>
        <w:t> </w:t>
      </w:r>
      <w:r>
        <w:rPr>
          <w:color w:val="0E0F1A"/>
        </w:rPr>
        <w:t>and is</w:t>
      </w:r>
      <w:r>
        <w:rPr>
          <w:color w:val="0E0F1A"/>
          <w:spacing w:val="-4"/>
        </w:rPr>
        <w:t> </w:t>
      </w:r>
      <w:r>
        <w:rPr>
          <w:color w:val="0E0F1A"/>
        </w:rPr>
        <w:t>finally</w:t>
      </w:r>
      <w:r>
        <w:rPr>
          <w:color w:val="0E0F1A"/>
          <w:spacing w:val="-3"/>
        </w:rPr>
        <w:t> </w:t>
      </w:r>
      <w:r>
        <w:rPr>
          <w:color w:val="0E0F1A"/>
        </w:rPr>
        <w:t>decarboxylated</w:t>
      </w:r>
    </w:p>
    <w:p>
      <w:pPr>
        <w:spacing w:after="0" w:line="480" w:lineRule="auto"/>
        <w:sectPr>
          <w:footerReference w:type="default" r:id="rId27"/>
          <w:pgSz w:w="12240" w:h="15840"/>
          <w:pgMar w:footer="1014" w:header="0" w:top="1400" w:bottom="1200" w:left="1320" w:right="820"/>
          <w:pgNumType w:start="1"/>
        </w:sectPr>
      </w:pPr>
    </w:p>
    <w:p>
      <w:pPr>
        <w:pStyle w:val="BodyText"/>
        <w:spacing w:line="480" w:lineRule="auto" w:before="39"/>
        <w:ind w:left="120" w:right="601"/>
      </w:pPr>
      <w:r>
        <w:rPr>
          <w:color w:val="0E0F1A"/>
        </w:rPr>
        <w:t>to DPEP </w:t>
      </w:r>
      <w:r>
        <w:rPr/>
        <w:t>(Louda et al., 2000, 2011; Fulton et al., 2018)</w:t>
      </w:r>
      <w:r>
        <w:rPr>
          <w:color w:val="0E0F1A"/>
        </w:rPr>
        <w:t>, then a cyclization of the C-17 propionic</w:t>
      </w:r>
      <w:r>
        <w:rPr>
          <w:color w:val="0E0F1A"/>
          <w:spacing w:val="1"/>
        </w:rPr>
        <w:t> </w:t>
      </w:r>
      <w:r>
        <w:rPr>
          <w:color w:val="0E0F1A"/>
        </w:rPr>
        <w:t>acid substituent to form the seven-member ring for BiCAP </w:t>
      </w:r>
      <w:r>
        <w:rPr/>
        <w:t>(Junium et al., 2008)</w:t>
      </w:r>
      <w:r>
        <w:rPr>
          <w:color w:val="0E0F1A"/>
        </w:rPr>
        <w:t>. The ETIO in</w:t>
      </w:r>
      <w:r>
        <w:rPr>
          <w:color w:val="0E0F1A"/>
          <w:spacing w:val="1"/>
        </w:rPr>
        <w:t> </w:t>
      </w:r>
      <w:r>
        <w:rPr>
          <w:color w:val="0E0F1A"/>
        </w:rPr>
        <w:t>immature sediments is produced</w:t>
      </w:r>
      <w:r>
        <w:rPr>
          <w:color w:val="0E0F1A"/>
          <w:spacing w:val="1"/>
        </w:rPr>
        <w:t> </w:t>
      </w:r>
      <w:r>
        <w:rPr>
          <w:color w:val="0E0F1A"/>
        </w:rPr>
        <w:t>by oxidative cleavage of the isocyclic ring </w:t>
      </w:r>
      <w:r>
        <w:rPr/>
        <w:t>(Baker and Louda,</w:t>
      </w:r>
      <w:r>
        <w:rPr>
          <w:spacing w:val="1"/>
        </w:rPr>
        <w:t> </w:t>
      </w:r>
      <w:r>
        <w:rPr/>
        <w:t>1983; Barwise and Roberts, 1984; Louda et al., 2011)</w:t>
      </w:r>
      <w:r>
        <w:rPr>
          <w:color w:val="0E0F1A"/>
        </w:rPr>
        <w:t>. The DPEP/ETIO ratio can indicate the</w:t>
      </w:r>
      <w:r>
        <w:rPr>
          <w:color w:val="0E0F1A"/>
          <w:spacing w:val="1"/>
        </w:rPr>
        <w:t> </w:t>
      </w:r>
      <w:r>
        <w:rPr>
          <w:color w:val="0E0F1A"/>
        </w:rPr>
        <w:t>thermal maturity of oils, where a decrease in the DPEP/ETIO ratio correlates to an increase in</w:t>
      </w:r>
      <w:r>
        <w:rPr>
          <w:color w:val="0E0F1A"/>
          <w:spacing w:val="1"/>
        </w:rPr>
        <w:t> </w:t>
      </w:r>
      <w:r>
        <w:rPr>
          <w:color w:val="0E0F1A"/>
        </w:rPr>
        <w:t>the maturity of the samples </w:t>
      </w:r>
      <w:r>
        <w:rPr/>
        <w:t>(Huseby et al., 1996; Marín et al., 2014)</w:t>
      </w:r>
      <w:r>
        <w:rPr>
          <w:color w:val="0E0F1A"/>
        </w:rPr>
        <w:t>. These porphyrins can form</w:t>
      </w:r>
      <w:r>
        <w:rPr>
          <w:color w:val="0E0F1A"/>
          <w:spacing w:val="-52"/>
        </w:rPr>
        <w:t> </w:t>
      </w:r>
      <w:r>
        <w:rPr>
          <w:color w:val="0E0F1A"/>
        </w:rPr>
        <w:t>metallic complexes with many different available metal ions. Once these molecules have</w:t>
      </w:r>
      <w:r>
        <w:rPr>
          <w:color w:val="0E0F1A"/>
          <w:spacing w:val="1"/>
        </w:rPr>
        <w:t> </w:t>
      </w:r>
      <w:r>
        <w:rPr>
          <w:color w:val="0E0F1A"/>
        </w:rPr>
        <w:t>bonded with a metal, it flattens the porphyrin structure, significantly reducing its reactivity and</w:t>
      </w:r>
      <w:r>
        <w:rPr>
          <w:color w:val="0E0F1A"/>
          <w:spacing w:val="1"/>
        </w:rPr>
        <w:t> </w:t>
      </w:r>
      <w:r>
        <w:rPr>
          <w:color w:val="0E0F1A"/>
        </w:rPr>
        <w:t>making it geologically stable </w:t>
      </w:r>
      <w:r>
        <w:rPr/>
        <w:t>(Junium et al., 2015)</w:t>
      </w:r>
      <w:r>
        <w:rPr>
          <w:color w:val="0E0F1A"/>
        </w:rPr>
        <w:t>. This study will focus on analyzing the nickel</w:t>
      </w:r>
      <w:r>
        <w:rPr>
          <w:color w:val="0E0F1A"/>
          <w:spacing w:val="1"/>
        </w:rPr>
        <w:t> </w:t>
      </w:r>
      <w:r>
        <w:rPr>
          <w:color w:val="0E0F1A"/>
        </w:rPr>
        <w:t>(Ni </w:t>
      </w:r>
      <w:r>
        <w:rPr>
          <w:color w:val="0E0F1A"/>
          <w:vertAlign w:val="superscript"/>
        </w:rPr>
        <w:t>2+</w:t>
      </w:r>
      <w:r>
        <w:rPr>
          <w:color w:val="0E0F1A"/>
          <w:vertAlign w:val="baseline"/>
        </w:rPr>
        <w:t>) and vanadyl (VO</w:t>
      </w:r>
      <w:r>
        <w:rPr>
          <w:color w:val="0E0F1A"/>
          <w:vertAlign w:val="superscript"/>
        </w:rPr>
        <w:t>2+</w:t>
      </w:r>
      <w:r>
        <w:rPr>
          <w:color w:val="0E0F1A"/>
          <w:vertAlign w:val="baseline"/>
        </w:rPr>
        <w:t>) complexes. The relative proportions of nickel (Ni</w:t>
      </w:r>
      <w:r>
        <w:rPr>
          <w:color w:val="0E0F1A"/>
          <w:vertAlign w:val="superscript"/>
        </w:rPr>
        <w:t>2+</w:t>
      </w:r>
      <w:r>
        <w:rPr>
          <w:color w:val="0E0F1A"/>
          <w:vertAlign w:val="baseline"/>
        </w:rPr>
        <w:t>) and vanadyl (VO</w:t>
      </w:r>
      <w:r>
        <w:rPr>
          <w:color w:val="0E0F1A"/>
          <w:vertAlign w:val="superscript"/>
        </w:rPr>
        <w:t>2+</w:t>
      </w:r>
      <w:r>
        <w:rPr>
          <w:color w:val="0E0F1A"/>
          <w:vertAlign w:val="baseline"/>
        </w:rPr>
        <w:t>)</w:t>
      </w:r>
      <w:r>
        <w:rPr>
          <w:color w:val="0E0F1A"/>
          <w:spacing w:val="-52"/>
          <w:vertAlign w:val="baseline"/>
        </w:rPr>
        <w:t> </w:t>
      </w:r>
      <w:r>
        <w:rPr>
          <w:color w:val="0E0F1A"/>
          <w:vertAlign w:val="baseline"/>
        </w:rPr>
        <w:t>indicate the Eh/Ph of deposition. The prominence of VO species is indicative of anoxic or euxinic</w:t>
      </w:r>
      <w:r>
        <w:rPr>
          <w:color w:val="0E0F1A"/>
          <w:spacing w:val="-53"/>
          <w:vertAlign w:val="baseline"/>
        </w:rPr>
        <w:t> </w:t>
      </w:r>
      <w:r>
        <w:rPr>
          <w:color w:val="0E0F1A"/>
          <w:vertAlign w:val="baseline"/>
        </w:rPr>
        <w:t>conditions; this is due to sulfide-reducing bacteria producing hydrogen sulfide, which causes Ni</w:t>
      </w:r>
      <w:r>
        <w:rPr>
          <w:color w:val="0E0F1A"/>
          <w:spacing w:val="1"/>
          <w:vertAlign w:val="baseline"/>
        </w:rPr>
        <w:t> </w:t>
      </w:r>
      <w:r>
        <w:rPr>
          <w:color w:val="0E0F1A"/>
          <w:vertAlign w:val="baseline"/>
        </w:rPr>
        <w:t>to precipitate as nickel sulfide </w:t>
      </w:r>
      <w:r>
        <w:rPr>
          <w:vertAlign w:val="baseline"/>
        </w:rPr>
        <w:t>(Lewan and Maynard, 1982; Lewan, 1984; Huseby et al., 1996;</w:t>
      </w:r>
      <w:r>
        <w:rPr>
          <w:spacing w:val="1"/>
          <w:vertAlign w:val="baseline"/>
        </w:rPr>
        <w:t> </w:t>
      </w:r>
      <w:r>
        <w:rPr>
          <w:vertAlign w:val="baseline"/>
        </w:rPr>
        <w:t>Junium</w:t>
      </w:r>
      <w:r>
        <w:rPr>
          <w:spacing w:val="-1"/>
          <w:vertAlign w:val="baseline"/>
        </w:rPr>
        <w:t> </w:t>
      </w:r>
      <w:r>
        <w:rPr>
          <w:vertAlign w:val="baseline"/>
        </w:rPr>
        <w:t>et</w:t>
      </w:r>
      <w:r>
        <w:rPr>
          <w:spacing w:val="-1"/>
          <w:vertAlign w:val="baseline"/>
        </w:rPr>
        <w:t> </w:t>
      </w:r>
      <w:r>
        <w:rPr>
          <w:vertAlign w:val="baseline"/>
        </w:rPr>
        <w:t>al.,</w:t>
      </w:r>
      <w:r>
        <w:rPr>
          <w:spacing w:val="-3"/>
          <w:vertAlign w:val="baseline"/>
        </w:rPr>
        <w:t> </w:t>
      </w:r>
      <w:r>
        <w:rPr>
          <w:vertAlign w:val="baseline"/>
        </w:rPr>
        <w:t>2008,</w:t>
      </w:r>
      <w:r>
        <w:rPr>
          <w:spacing w:val="-2"/>
          <w:vertAlign w:val="baseline"/>
        </w:rPr>
        <w:t> </w:t>
      </w:r>
      <w:r>
        <w:rPr>
          <w:vertAlign w:val="baseline"/>
        </w:rPr>
        <w:t>2015)</w:t>
      </w:r>
      <w:r>
        <w:rPr>
          <w:color w:val="0E0F1A"/>
          <w:vertAlign w:val="baseline"/>
        </w:rPr>
        <w:t>.</w:t>
      </w:r>
    </w:p>
    <w:p>
      <w:pPr>
        <w:pStyle w:val="BodyText"/>
        <w:spacing w:line="480" w:lineRule="auto"/>
        <w:ind w:left="120" w:right="688" w:firstLine="704"/>
      </w:pPr>
      <w:r>
        <w:rPr>
          <w:color w:val="0E0F1A"/>
        </w:rPr>
        <w:t>Methyltrimethyltridecylchromans (MTTCs) are a class of biomarkers that closely</w:t>
      </w:r>
      <w:r>
        <w:rPr>
          <w:color w:val="0E0F1A"/>
          <w:spacing w:val="1"/>
        </w:rPr>
        <w:t> </w:t>
      </w:r>
      <w:r>
        <w:rPr>
          <w:color w:val="0E0F1A"/>
        </w:rPr>
        <w:t>resemble vitamin E with the hydroxyl group in tocopherol at position six replaced by a</w:t>
      </w:r>
      <w:r>
        <w:rPr>
          <w:color w:val="0E0F1A"/>
          <w:spacing w:val="1"/>
        </w:rPr>
        <w:t> </w:t>
      </w:r>
      <w:r>
        <w:rPr>
          <w:color w:val="0E0F1A"/>
        </w:rPr>
        <w:t>hydrogen </w:t>
      </w:r>
      <w:r>
        <w:rPr/>
        <w:t>(Shanfa et al., 1989; Dutta et al., 2013)</w:t>
      </w:r>
      <w:r>
        <w:rPr>
          <w:color w:val="0E0F1A"/>
        </w:rPr>
        <w:t>. The MTTCs were first identified in geologic</w:t>
      </w:r>
      <w:r>
        <w:rPr>
          <w:color w:val="0E0F1A"/>
          <w:spacing w:val="1"/>
        </w:rPr>
        <w:t> </w:t>
      </w:r>
      <w:r>
        <w:rPr>
          <w:color w:val="0E0F1A"/>
        </w:rPr>
        <w:t>samples by </w:t>
      </w:r>
      <w:r>
        <w:rPr/>
        <w:t>(Sinninghe Damste et al., 1987) </w:t>
      </w:r>
      <w:r>
        <w:rPr>
          <w:color w:val="0E0F1A"/>
        </w:rPr>
        <w:t>and are found in many sediments and crude oils.</w:t>
      </w:r>
      <w:r>
        <w:rPr>
          <w:color w:val="0E0F1A"/>
          <w:spacing w:val="1"/>
        </w:rPr>
        <w:t> </w:t>
      </w:r>
      <w:r>
        <w:rPr>
          <w:color w:val="0E0F1A"/>
        </w:rPr>
        <w:t>The MTTCs have the structure of methylated 2-methyl-2-(4, 8, 12-trimethyltridecyl) chromans</w:t>
      </w:r>
      <w:r>
        <w:rPr>
          <w:color w:val="0E0F1A"/>
          <w:spacing w:val="1"/>
        </w:rPr>
        <w:t> </w:t>
      </w:r>
      <w:r>
        <w:rPr>
          <w:color w:val="0E0F1A"/>
        </w:rPr>
        <w:t>and occur in distinct isomers of monomethyl (δ-MTTC), dimethyl (β-MTTC(</w:t>
      </w:r>
      <w:r>
        <w:rPr>
          <w:b/>
          <w:color w:val="0E0F1A"/>
        </w:rPr>
        <w:t>XIII</w:t>
      </w:r>
      <w:r>
        <w:rPr>
          <w:color w:val="0E0F1A"/>
        </w:rPr>
        <w:t>), γ-MTTC(</w:t>
      </w:r>
      <w:r>
        <w:rPr>
          <w:b/>
          <w:color w:val="0E0F1A"/>
        </w:rPr>
        <w:t>XIV</w:t>
      </w:r>
      <w:r>
        <w:rPr>
          <w:color w:val="0E0F1A"/>
        </w:rPr>
        <w:t>), ζ-</w:t>
      </w:r>
      <w:r>
        <w:rPr>
          <w:color w:val="0E0F1A"/>
          <w:spacing w:val="-52"/>
        </w:rPr>
        <w:t> </w:t>
      </w:r>
      <w:r>
        <w:rPr>
          <w:color w:val="0E0F1A"/>
        </w:rPr>
        <w:t>MTTC(</w:t>
      </w:r>
      <w:r>
        <w:rPr>
          <w:b/>
          <w:color w:val="0E0F1A"/>
        </w:rPr>
        <w:t>XV</w:t>
      </w:r>
      <w:r>
        <w:rPr>
          <w:color w:val="0E0F1A"/>
        </w:rPr>
        <w:t>)), and trimethyl (α-MTTC(</w:t>
      </w:r>
      <w:r>
        <w:rPr>
          <w:b/>
          <w:color w:val="0E0F1A"/>
        </w:rPr>
        <w:t>XVI</w:t>
      </w:r>
      <w:r>
        <w:rPr>
          <w:color w:val="0E0F1A"/>
        </w:rPr>
        <w:t>)) homologs </w:t>
      </w:r>
      <w:r>
        <w:rPr/>
        <w:t>(Sinninghe Damste et al., 1993; Jiang et al.,</w:t>
      </w:r>
      <w:r>
        <w:rPr>
          <w:spacing w:val="1"/>
        </w:rPr>
        <w:t> </w:t>
      </w:r>
      <w:r>
        <w:rPr/>
        <w:t>2018,</w:t>
      </w:r>
      <w:r>
        <w:rPr>
          <w:spacing w:val="-4"/>
        </w:rPr>
        <w:t> </w:t>
      </w:r>
      <w:r>
        <w:rPr/>
        <w:t>2019)</w:t>
      </w:r>
      <w:r>
        <w:rPr>
          <w:color w:val="0E0F1A"/>
        </w:rPr>
        <w:t>.</w:t>
      </w:r>
      <w:r>
        <w:rPr>
          <w:color w:val="0E0F1A"/>
          <w:spacing w:val="-2"/>
        </w:rPr>
        <w:t> </w:t>
      </w:r>
      <w:r>
        <w:rPr>
          <w:color w:val="0E0F1A"/>
        </w:rPr>
        <w:t>There</w:t>
      </w:r>
      <w:r>
        <w:rPr>
          <w:color w:val="0E0F1A"/>
          <w:spacing w:val="-1"/>
        </w:rPr>
        <w:t> </w:t>
      </w:r>
      <w:r>
        <w:rPr>
          <w:color w:val="0E0F1A"/>
        </w:rPr>
        <w:t>has</w:t>
      </w:r>
      <w:r>
        <w:rPr>
          <w:color w:val="0E0F1A"/>
          <w:spacing w:val="-1"/>
        </w:rPr>
        <w:t> </w:t>
      </w:r>
      <w:r>
        <w:rPr>
          <w:color w:val="0E0F1A"/>
        </w:rPr>
        <w:t>been</w:t>
      </w:r>
      <w:r>
        <w:rPr>
          <w:color w:val="0E0F1A"/>
          <w:spacing w:val="3"/>
        </w:rPr>
        <w:t> </w:t>
      </w:r>
      <w:r>
        <w:rPr>
          <w:color w:val="0E0F1A"/>
        </w:rPr>
        <w:t>much</w:t>
      </w:r>
      <w:r>
        <w:rPr>
          <w:color w:val="0E0F1A"/>
          <w:spacing w:val="-3"/>
        </w:rPr>
        <w:t> </w:t>
      </w:r>
      <w:r>
        <w:rPr>
          <w:color w:val="0E0F1A"/>
        </w:rPr>
        <w:t>research</w:t>
      </w:r>
      <w:r>
        <w:rPr>
          <w:color w:val="0E0F1A"/>
          <w:spacing w:val="-2"/>
        </w:rPr>
        <w:t> </w:t>
      </w:r>
      <w:r>
        <w:rPr>
          <w:color w:val="0E0F1A"/>
        </w:rPr>
        <w:t>on</w:t>
      </w:r>
      <w:r>
        <w:rPr>
          <w:color w:val="0E0F1A"/>
          <w:spacing w:val="-2"/>
        </w:rPr>
        <w:t> </w:t>
      </w:r>
      <w:r>
        <w:rPr>
          <w:color w:val="0E0F1A"/>
        </w:rPr>
        <w:t>the</w:t>
      </w:r>
      <w:r>
        <w:rPr>
          <w:color w:val="0E0F1A"/>
          <w:spacing w:val="-1"/>
        </w:rPr>
        <w:t> </w:t>
      </w:r>
      <w:r>
        <w:rPr>
          <w:color w:val="0E0F1A"/>
        </w:rPr>
        <w:t>origins</w:t>
      </w:r>
      <w:r>
        <w:rPr>
          <w:color w:val="0E0F1A"/>
          <w:spacing w:val="1"/>
        </w:rPr>
        <w:t> </w:t>
      </w:r>
      <w:r>
        <w:rPr>
          <w:color w:val="0E0F1A"/>
        </w:rPr>
        <w:t>of</w:t>
      </w:r>
      <w:r>
        <w:rPr>
          <w:color w:val="0E0F1A"/>
          <w:spacing w:val="3"/>
        </w:rPr>
        <w:t> </w:t>
      </w:r>
      <w:r>
        <w:rPr>
          <w:color w:val="0E0F1A"/>
        </w:rPr>
        <w:t>MTTCs,</w:t>
      </w:r>
      <w:r>
        <w:rPr>
          <w:color w:val="0E0F1A"/>
          <w:spacing w:val="-2"/>
        </w:rPr>
        <w:t> </w:t>
      </w:r>
      <w:r>
        <w:rPr>
          <w:color w:val="0E0F1A"/>
        </w:rPr>
        <w:t>but</w:t>
      </w:r>
      <w:r>
        <w:rPr>
          <w:color w:val="0E0F1A"/>
          <w:spacing w:val="-1"/>
        </w:rPr>
        <w:t> </w:t>
      </w:r>
      <w:r>
        <w:rPr>
          <w:color w:val="0E0F1A"/>
        </w:rPr>
        <w:t>it</w:t>
      </w:r>
      <w:r>
        <w:rPr>
          <w:color w:val="0E0F1A"/>
          <w:spacing w:val="-3"/>
        </w:rPr>
        <w:t> </w:t>
      </w:r>
      <w:r>
        <w:rPr>
          <w:color w:val="0E0F1A"/>
        </w:rPr>
        <w:t>has</w:t>
      </w:r>
      <w:r>
        <w:rPr>
          <w:color w:val="0E0F1A"/>
          <w:spacing w:val="-1"/>
        </w:rPr>
        <w:t> </w:t>
      </w:r>
      <w:r>
        <w:rPr>
          <w:color w:val="0E0F1A"/>
        </w:rPr>
        <w:t>all</w:t>
      </w:r>
      <w:r>
        <w:rPr>
          <w:color w:val="0E0F1A"/>
          <w:spacing w:val="-4"/>
        </w:rPr>
        <w:t> </w:t>
      </w:r>
      <w:r>
        <w:rPr>
          <w:color w:val="0E0F1A"/>
        </w:rPr>
        <w:t>been</w:t>
      </w:r>
    </w:p>
    <w:p>
      <w:pPr>
        <w:spacing w:after="0" w:line="480" w:lineRule="auto"/>
        <w:sectPr>
          <w:pgSz w:w="12240" w:h="15840"/>
          <w:pgMar w:header="0" w:footer="1014" w:top="1400" w:bottom="1200" w:left="1320" w:right="820"/>
        </w:sectPr>
      </w:pPr>
    </w:p>
    <w:p>
      <w:pPr>
        <w:pStyle w:val="BodyText"/>
        <w:spacing w:line="480" w:lineRule="auto" w:before="39"/>
        <w:ind w:left="120" w:right="858"/>
      </w:pPr>
      <w:r>
        <w:rPr>
          <w:color w:val="0E0F1A"/>
        </w:rPr>
        <w:t>inconclusive.</w:t>
      </w:r>
      <w:r>
        <w:rPr>
          <w:color w:val="0E0F1A"/>
          <w:spacing w:val="-4"/>
        </w:rPr>
        <w:t> </w:t>
      </w:r>
      <w:r>
        <w:rPr>
          <w:color w:val="0E0F1A"/>
        </w:rPr>
        <w:t>Many</w:t>
      </w:r>
      <w:r>
        <w:rPr>
          <w:color w:val="0E0F1A"/>
          <w:spacing w:val="-1"/>
        </w:rPr>
        <w:t> </w:t>
      </w:r>
      <w:r>
        <w:rPr>
          <w:color w:val="0E0F1A"/>
        </w:rPr>
        <w:t>believe</w:t>
      </w:r>
      <w:r>
        <w:rPr>
          <w:color w:val="0E0F1A"/>
          <w:spacing w:val="-2"/>
        </w:rPr>
        <w:t> </w:t>
      </w:r>
      <w:r>
        <w:rPr>
          <w:color w:val="0E0F1A"/>
        </w:rPr>
        <w:t>that</w:t>
      </w:r>
      <w:r>
        <w:rPr>
          <w:color w:val="0E0F1A"/>
          <w:spacing w:val="-2"/>
        </w:rPr>
        <w:t> </w:t>
      </w:r>
      <w:r>
        <w:rPr>
          <w:color w:val="0E0F1A"/>
        </w:rPr>
        <w:t>they</w:t>
      </w:r>
      <w:r>
        <w:rPr>
          <w:color w:val="0E0F1A"/>
          <w:spacing w:val="-2"/>
        </w:rPr>
        <w:t> </w:t>
      </w:r>
      <w:r>
        <w:rPr>
          <w:color w:val="0E0F1A"/>
        </w:rPr>
        <w:t>are</w:t>
      </w:r>
      <w:r>
        <w:rPr>
          <w:color w:val="0E0F1A"/>
          <w:spacing w:val="-3"/>
        </w:rPr>
        <w:t> </w:t>
      </w:r>
      <w:r>
        <w:rPr>
          <w:color w:val="0E0F1A"/>
        </w:rPr>
        <w:t>biosynthesized</w:t>
      </w:r>
      <w:r>
        <w:rPr>
          <w:color w:val="0E0F1A"/>
          <w:spacing w:val="-3"/>
        </w:rPr>
        <w:t> </w:t>
      </w:r>
      <w:r>
        <w:rPr>
          <w:color w:val="0E0F1A"/>
        </w:rPr>
        <w:t>by</w:t>
      </w:r>
      <w:r>
        <w:rPr>
          <w:color w:val="0E0F1A"/>
          <w:spacing w:val="-3"/>
        </w:rPr>
        <w:t> </w:t>
      </w:r>
      <w:r>
        <w:rPr>
          <w:color w:val="0E0F1A"/>
        </w:rPr>
        <w:t>primary</w:t>
      </w:r>
      <w:r>
        <w:rPr>
          <w:color w:val="0E0F1A"/>
          <w:spacing w:val="-3"/>
        </w:rPr>
        <w:t> </w:t>
      </w:r>
      <w:r>
        <w:rPr>
          <w:color w:val="0E0F1A"/>
        </w:rPr>
        <w:t>photosynthetic producers</w:t>
      </w:r>
      <w:r>
        <w:rPr>
          <w:color w:val="0E0F1A"/>
          <w:spacing w:val="-52"/>
        </w:rPr>
        <w:t> </w:t>
      </w:r>
      <w:r>
        <w:rPr/>
        <w:t>(Sinninghe Damste</w:t>
      </w:r>
      <w:r>
        <w:rPr>
          <w:spacing w:val="-1"/>
        </w:rPr>
        <w:t> </w:t>
      </w:r>
      <w:r>
        <w:rPr/>
        <w:t>et</w:t>
      </w:r>
      <w:r>
        <w:rPr>
          <w:spacing w:val="3"/>
        </w:rPr>
        <w:t> </w:t>
      </w:r>
      <w:r>
        <w:rPr/>
        <w:t>al.,</w:t>
      </w:r>
      <w:r>
        <w:rPr>
          <w:spacing w:val="-3"/>
        </w:rPr>
        <w:t> </w:t>
      </w:r>
      <w:r>
        <w:rPr/>
        <w:t>1993;</w:t>
      </w:r>
      <w:r>
        <w:rPr>
          <w:spacing w:val="-1"/>
        </w:rPr>
        <w:t> </w:t>
      </w:r>
      <w:r>
        <w:rPr/>
        <w:t>Jiang</w:t>
      </w:r>
      <w:r>
        <w:rPr>
          <w:spacing w:val="-2"/>
        </w:rPr>
        <w:t> </w:t>
      </w:r>
      <w:r>
        <w:rPr/>
        <w:t>et</w:t>
      </w:r>
      <w:r>
        <w:rPr>
          <w:spacing w:val="2"/>
        </w:rPr>
        <w:t> </w:t>
      </w:r>
      <w:r>
        <w:rPr/>
        <w:t>al.,</w:t>
      </w:r>
      <w:r>
        <w:rPr>
          <w:spacing w:val="-1"/>
        </w:rPr>
        <w:t> </w:t>
      </w:r>
      <w:r>
        <w:rPr/>
        <w:t>2018,</w:t>
      </w:r>
      <w:r>
        <w:rPr>
          <w:spacing w:val="-2"/>
        </w:rPr>
        <w:t> </w:t>
      </w:r>
      <w:r>
        <w:rPr/>
        <w:t>2019)</w:t>
      </w:r>
      <w:r>
        <w:rPr>
          <w:color w:val="0E0F1A"/>
        </w:rPr>
        <w:t>;</w:t>
      </w:r>
      <w:r>
        <w:rPr>
          <w:color w:val="0E0F1A"/>
          <w:spacing w:val="-2"/>
        </w:rPr>
        <w:t> </w:t>
      </w:r>
      <w:r>
        <w:rPr>
          <w:color w:val="0E0F1A"/>
        </w:rPr>
        <w:t>(Figure</w:t>
      </w:r>
      <w:r>
        <w:rPr>
          <w:color w:val="0E0F1A"/>
          <w:spacing w:val="-2"/>
        </w:rPr>
        <w:t> </w:t>
      </w:r>
      <w:r>
        <w:rPr>
          <w:color w:val="0E0F1A"/>
        </w:rPr>
        <w:t>10).</w:t>
      </w:r>
    </w:p>
    <w:p>
      <w:pPr>
        <w:pStyle w:val="BodyText"/>
        <w:spacing w:before="11"/>
        <w:rPr>
          <w:sz w:val="3"/>
        </w:rPr>
      </w:pPr>
      <w:r>
        <w:rPr/>
        <w:drawing>
          <wp:anchor distT="0" distB="0" distL="0" distR="0" allowOverlap="1" layoutInCell="1" locked="0" behindDoc="0" simplePos="0" relativeHeight="202">
            <wp:simplePos x="0" y="0"/>
            <wp:positionH relativeFrom="page">
              <wp:posOffset>984503</wp:posOffset>
            </wp:positionH>
            <wp:positionV relativeFrom="paragraph">
              <wp:posOffset>45926</wp:posOffset>
            </wp:positionV>
            <wp:extent cx="5754624" cy="2243328"/>
            <wp:effectExtent l="0" t="0" r="0" b="0"/>
            <wp:wrapTopAndBottom/>
            <wp:docPr id="19" name="image1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0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4624" cy="22433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spacing w:before="155"/>
        <w:ind w:left="120" w:right="660" w:firstLine="0"/>
        <w:jc w:val="left"/>
        <w:rPr>
          <w:sz w:val="22"/>
        </w:rPr>
      </w:pPr>
      <w:r>
        <w:rPr>
          <w:sz w:val="22"/>
        </w:rPr>
        <w:t>Figure</w:t>
      </w:r>
      <w:r>
        <w:rPr>
          <w:spacing w:val="-2"/>
          <w:sz w:val="22"/>
        </w:rPr>
        <w:t> </w:t>
      </w:r>
      <w:r>
        <w:rPr>
          <w:sz w:val="22"/>
        </w:rPr>
        <w:t>10.</w:t>
      </w:r>
      <w:r>
        <w:rPr>
          <w:spacing w:val="-1"/>
          <w:sz w:val="22"/>
        </w:rPr>
        <w:t> </w:t>
      </w:r>
      <w:r>
        <w:rPr>
          <w:sz w:val="22"/>
        </w:rPr>
        <w:t>A</w:t>
      </w:r>
      <w:r>
        <w:rPr>
          <w:spacing w:val="-5"/>
          <w:sz w:val="22"/>
        </w:rPr>
        <w:t> </w:t>
      </w:r>
      <w:r>
        <w:rPr>
          <w:sz w:val="22"/>
        </w:rPr>
        <w:t>conceptual</w:t>
      </w:r>
      <w:r>
        <w:rPr>
          <w:spacing w:val="-3"/>
          <w:sz w:val="22"/>
        </w:rPr>
        <w:t> </w:t>
      </w:r>
      <w:r>
        <w:rPr>
          <w:sz w:val="22"/>
        </w:rPr>
        <w:t>model</w:t>
      </w:r>
      <w:r>
        <w:rPr>
          <w:spacing w:val="-1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biosynthetic</w:t>
      </w:r>
      <w:r>
        <w:rPr>
          <w:spacing w:val="-3"/>
          <w:sz w:val="22"/>
        </w:rPr>
        <w:t> </w:t>
      </w:r>
      <w:r>
        <w:rPr>
          <w:sz w:val="22"/>
        </w:rPr>
        <w:t>origin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MTTCs.</w:t>
      </w:r>
      <w:r>
        <w:rPr>
          <w:spacing w:val="-2"/>
          <w:sz w:val="22"/>
        </w:rPr>
        <w:t> </w:t>
      </w:r>
      <w:r>
        <w:rPr>
          <w:sz w:val="22"/>
        </w:rPr>
        <w:t>MTTCs</w:t>
      </w:r>
      <w:r>
        <w:rPr>
          <w:spacing w:val="-4"/>
          <w:sz w:val="22"/>
        </w:rPr>
        <w:t> </w:t>
      </w:r>
      <w:r>
        <w:rPr>
          <w:sz w:val="22"/>
        </w:rPr>
        <w:t>are</w:t>
      </w:r>
      <w:r>
        <w:rPr>
          <w:spacing w:val="-1"/>
          <w:sz w:val="22"/>
        </w:rPr>
        <w:t> </w:t>
      </w:r>
      <w:r>
        <w:rPr>
          <w:sz w:val="22"/>
        </w:rPr>
        <w:t>suggested</w:t>
      </w:r>
      <w:r>
        <w:rPr>
          <w:spacing w:val="-1"/>
          <w:sz w:val="22"/>
        </w:rPr>
        <w:t> </w:t>
      </w:r>
      <w:r>
        <w:rPr>
          <w:sz w:val="22"/>
        </w:rPr>
        <w:t>to</w:t>
      </w:r>
      <w:r>
        <w:rPr>
          <w:spacing w:val="2"/>
          <w:sz w:val="22"/>
        </w:rPr>
        <w:t> </w:t>
      </w:r>
      <w:r>
        <w:rPr>
          <w:sz w:val="22"/>
        </w:rPr>
        <w:t>derive</w:t>
      </w:r>
      <w:r>
        <w:rPr>
          <w:spacing w:val="-1"/>
          <w:sz w:val="22"/>
        </w:rPr>
        <w:t> </w:t>
      </w:r>
      <w:r>
        <w:rPr>
          <w:sz w:val="22"/>
        </w:rPr>
        <w:t>from</w:t>
      </w:r>
      <w:r>
        <w:rPr>
          <w:spacing w:val="-47"/>
          <w:sz w:val="22"/>
        </w:rPr>
        <w:t> </w:t>
      </w:r>
      <w:r>
        <w:rPr>
          <w:sz w:val="22"/>
        </w:rPr>
        <w:t>photosynthetic</w:t>
      </w:r>
      <w:r>
        <w:rPr>
          <w:spacing w:val="-3"/>
          <w:sz w:val="22"/>
        </w:rPr>
        <w:t> </w:t>
      </w:r>
      <w:r>
        <w:rPr>
          <w:sz w:val="22"/>
        </w:rPr>
        <w:t>organisms</w:t>
      </w:r>
      <w:r>
        <w:rPr>
          <w:spacing w:val="-3"/>
          <w:sz w:val="22"/>
        </w:rPr>
        <w:t> </w:t>
      </w:r>
      <w:r>
        <w:rPr>
          <w:sz w:val="22"/>
        </w:rPr>
        <w:t>originating</w:t>
      </w:r>
      <w:r>
        <w:rPr>
          <w:spacing w:val="-3"/>
          <w:sz w:val="22"/>
        </w:rPr>
        <w:t> </w:t>
      </w:r>
      <w:r>
        <w:rPr>
          <w:sz w:val="22"/>
        </w:rPr>
        <w:t>in</w:t>
      </w:r>
      <w:r>
        <w:rPr>
          <w:spacing w:val="-1"/>
          <w:sz w:val="22"/>
        </w:rPr>
        <w:t> </w:t>
      </w:r>
      <w:r>
        <w:rPr>
          <w:sz w:val="22"/>
        </w:rPr>
        <w:t>euxinic</w:t>
      </w:r>
      <w:r>
        <w:rPr>
          <w:spacing w:val="-1"/>
          <w:sz w:val="22"/>
        </w:rPr>
        <w:t> </w:t>
      </w:r>
      <w:r>
        <w:rPr>
          <w:sz w:val="22"/>
        </w:rPr>
        <w:t>portions</w:t>
      </w:r>
      <w:r>
        <w:rPr>
          <w:spacing w:val="-1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photic zones</w:t>
      </w:r>
      <w:r>
        <w:rPr>
          <w:spacing w:val="-3"/>
          <w:sz w:val="22"/>
        </w:rPr>
        <w:t> </w:t>
      </w:r>
      <w:r>
        <w:rPr>
          <w:sz w:val="22"/>
        </w:rPr>
        <w:t>(PZE).</w:t>
      </w:r>
      <w:r>
        <w:rPr>
          <w:spacing w:val="-3"/>
          <w:sz w:val="22"/>
        </w:rPr>
        <w:t> </w:t>
      </w:r>
      <w:r>
        <w:rPr>
          <w:sz w:val="22"/>
        </w:rPr>
        <w:t>(Jiang</w:t>
      </w:r>
      <w:r>
        <w:rPr>
          <w:spacing w:val="-1"/>
          <w:sz w:val="22"/>
        </w:rPr>
        <w:t> </w:t>
      </w:r>
      <w:r>
        <w:rPr>
          <w:sz w:val="22"/>
        </w:rPr>
        <w:t>et</w:t>
      </w:r>
      <w:r>
        <w:rPr>
          <w:spacing w:val="1"/>
          <w:sz w:val="22"/>
        </w:rPr>
        <w:t> </w:t>
      </w:r>
      <w:r>
        <w:rPr>
          <w:sz w:val="22"/>
        </w:rPr>
        <w:t>al.,</w:t>
      </w:r>
      <w:r>
        <w:rPr>
          <w:spacing w:val="-2"/>
          <w:sz w:val="22"/>
        </w:rPr>
        <w:t> </w:t>
      </w:r>
      <w:r>
        <w:rPr>
          <w:sz w:val="22"/>
        </w:rPr>
        <w:t>2019)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4"/>
        <w:rPr>
          <w:sz w:val="20"/>
        </w:rPr>
      </w:pPr>
    </w:p>
    <w:p>
      <w:pPr>
        <w:pStyle w:val="BodyText"/>
        <w:spacing w:line="480" w:lineRule="auto"/>
        <w:ind w:left="120" w:right="651"/>
      </w:pPr>
      <w:r>
        <w:rPr>
          <w:color w:val="0E0F1A"/>
        </w:rPr>
        <w:t>However, </w:t>
      </w:r>
      <w:r>
        <w:rPr/>
        <w:t>Li et al. (1995) </w:t>
      </w:r>
      <w:r>
        <w:rPr>
          <w:color w:val="0E0F1A"/>
        </w:rPr>
        <w:t>suggested that MTTCs may be non-biosynthetic, produced by a</w:t>
      </w:r>
      <w:r>
        <w:rPr>
          <w:color w:val="0E0F1A"/>
          <w:spacing w:val="1"/>
        </w:rPr>
        <w:t> </w:t>
      </w:r>
      <w:r>
        <w:rPr>
          <w:color w:val="0E0F1A"/>
        </w:rPr>
        <w:t>condensation reaction of alkylated phenols with phytol during early diagenesis. The MTTCs are</w:t>
      </w:r>
      <w:r>
        <w:rPr>
          <w:color w:val="0E0F1A"/>
          <w:spacing w:val="1"/>
        </w:rPr>
        <w:t> </w:t>
      </w:r>
      <w:r>
        <w:rPr>
          <w:color w:val="0E0F1A"/>
        </w:rPr>
        <w:t>used as</w:t>
      </w:r>
      <w:r>
        <w:rPr>
          <w:color w:val="0E0F1A"/>
          <w:spacing w:val="2"/>
        </w:rPr>
        <w:t> </w:t>
      </w:r>
      <w:r>
        <w:rPr>
          <w:color w:val="0E0F1A"/>
        </w:rPr>
        <w:t>a</w:t>
      </w:r>
      <w:r>
        <w:rPr>
          <w:color w:val="0E0F1A"/>
          <w:spacing w:val="3"/>
        </w:rPr>
        <w:t> </w:t>
      </w:r>
      <w:r>
        <w:rPr>
          <w:color w:val="0E0F1A"/>
        </w:rPr>
        <w:t>biomarker to assess</w:t>
      </w:r>
      <w:r>
        <w:rPr>
          <w:color w:val="0E0F1A"/>
          <w:spacing w:val="2"/>
        </w:rPr>
        <w:t> </w:t>
      </w:r>
      <w:r>
        <w:rPr>
          <w:color w:val="0E0F1A"/>
        </w:rPr>
        <w:t>the paleosalinity</w:t>
      </w:r>
      <w:r>
        <w:rPr>
          <w:color w:val="0E0F1A"/>
          <w:spacing w:val="1"/>
        </w:rPr>
        <w:t> </w:t>
      </w:r>
      <w:r>
        <w:rPr>
          <w:color w:val="0E0F1A"/>
        </w:rPr>
        <w:t>by</w:t>
      </w:r>
      <w:r>
        <w:rPr>
          <w:color w:val="0E0F1A"/>
          <w:spacing w:val="1"/>
        </w:rPr>
        <w:t> </w:t>
      </w:r>
      <w:r>
        <w:rPr>
          <w:color w:val="0E0F1A"/>
        </w:rPr>
        <w:t>looking</w:t>
      </w:r>
      <w:r>
        <w:rPr>
          <w:color w:val="0E0F1A"/>
          <w:spacing w:val="5"/>
        </w:rPr>
        <w:t> </w:t>
      </w:r>
      <w:r>
        <w:rPr>
          <w:color w:val="0E0F1A"/>
        </w:rPr>
        <w:t>at</w:t>
      </w:r>
      <w:r>
        <w:rPr>
          <w:color w:val="0E0F1A"/>
          <w:spacing w:val="1"/>
        </w:rPr>
        <w:t> </w:t>
      </w:r>
      <w:r>
        <w:rPr>
          <w:color w:val="0E0F1A"/>
        </w:rPr>
        <w:t>the</w:t>
      </w:r>
      <w:r>
        <w:rPr>
          <w:color w:val="0E0F1A"/>
          <w:spacing w:val="2"/>
        </w:rPr>
        <w:t> </w:t>
      </w:r>
      <w:r>
        <w:rPr>
          <w:color w:val="0E0F1A"/>
        </w:rPr>
        <w:t>α/δ-MTTC</w:t>
      </w:r>
      <w:r>
        <w:rPr>
          <w:color w:val="0E0F1A"/>
          <w:spacing w:val="1"/>
        </w:rPr>
        <w:t> </w:t>
      </w:r>
      <w:r>
        <w:rPr>
          <w:color w:val="0E0F1A"/>
        </w:rPr>
        <w:t>ratio.</w:t>
      </w:r>
      <w:r>
        <w:rPr>
          <w:color w:val="0E0F1A"/>
          <w:spacing w:val="-1"/>
        </w:rPr>
        <w:t> </w:t>
      </w:r>
      <w:r>
        <w:rPr>
          <w:color w:val="0E0F1A"/>
        </w:rPr>
        <w:t>Low ratios</w:t>
      </w:r>
      <w:r>
        <w:rPr>
          <w:color w:val="0E0F1A"/>
          <w:spacing w:val="1"/>
        </w:rPr>
        <w:t> </w:t>
      </w:r>
      <w:r>
        <w:rPr>
          <w:color w:val="0E0F1A"/>
        </w:rPr>
        <w:t>(&lt;2)</w:t>
      </w:r>
      <w:r>
        <w:rPr>
          <w:color w:val="0E0F1A"/>
          <w:spacing w:val="-3"/>
        </w:rPr>
        <w:t> </w:t>
      </w:r>
      <w:r>
        <w:rPr>
          <w:color w:val="0E0F1A"/>
        </w:rPr>
        <w:t>indicate</w:t>
      </w:r>
      <w:r>
        <w:rPr>
          <w:color w:val="0E0F1A"/>
          <w:spacing w:val="-2"/>
        </w:rPr>
        <w:t> </w:t>
      </w:r>
      <w:r>
        <w:rPr>
          <w:color w:val="0E0F1A"/>
        </w:rPr>
        <w:t>high-salinity conditions,</w:t>
      </w:r>
      <w:r>
        <w:rPr>
          <w:color w:val="0E0F1A"/>
          <w:spacing w:val="-5"/>
        </w:rPr>
        <w:t> </w:t>
      </w:r>
      <w:r>
        <w:rPr>
          <w:color w:val="0E0F1A"/>
        </w:rPr>
        <w:t>whereas</w:t>
      </w:r>
      <w:r>
        <w:rPr>
          <w:color w:val="0E0F1A"/>
          <w:spacing w:val="-4"/>
        </w:rPr>
        <w:t> </w:t>
      </w:r>
      <w:r>
        <w:rPr>
          <w:color w:val="0E0F1A"/>
        </w:rPr>
        <w:t>high</w:t>
      </w:r>
      <w:r>
        <w:rPr>
          <w:color w:val="0E0F1A"/>
          <w:spacing w:val="-2"/>
        </w:rPr>
        <w:t> </w:t>
      </w:r>
      <w:r>
        <w:rPr>
          <w:color w:val="0E0F1A"/>
        </w:rPr>
        <w:t>α/δ-MTTC</w:t>
      </w:r>
      <w:r>
        <w:rPr>
          <w:color w:val="0E0F1A"/>
          <w:spacing w:val="-5"/>
        </w:rPr>
        <w:t> </w:t>
      </w:r>
      <w:r>
        <w:rPr>
          <w:color w:val="0E0F1A"/>
        </w:rPr>
        <w:t>ratios</w:t>
      </w:r>
      <w:r>
        <w:rPr>
          <w:color w:val="0E0F1A"/>
          <w:spacing w:val="-3"/>
        </w:rPr>
        <w:t> </w:t>
      </w:r>
      <w:r>
        <w:rPr>
          <w:color w:val="0E0F1A"/>
        </w:rPr>
        <w:t>(&gt;100)</w:t>
      </w:r>
      <w:r>
        <w:rPr>
          <w:color w:val="0E0F1A"/>
          <w:spacing w:val="-3"/>
        </w:rPr>
        <w:t> </w:t>
      </w:r>
      <w:r>
        <w:rPr>
          <w:color w:val="0E0F1A"/>
        </w:rPr>
        <w:t>reflect</w:t>
      </w:r>
      <w:r>
        <w:rPr>
          <w:color w:val="0E0F1A"/>
          <w:spacing w:val="-2"/>
        </w:rPr>
        <w:t> </w:t>
      </w:r>
      <w:r>
        <w:rPr>
          <w:color w:val="0E0F1A"/>
        </w:rPr>
        <w:t>relatively</w:t>
      </w:r>
      <w:r>
        <w:rPr>
          <w:color w:val="0E0F1A"/>
          <w:spacing w:val="-2"/>
        </w:rPr>
        <w:t> </w:t>
      </w:r>
      <w:r>
        <w:rPr>
          <w:color w:val="0E0F1A"/>
        </w:rPr>
        <w:t>low</w:t>
      </w:r>
      <w:r>
        <w:rPr>
          <w:color w:val="0E0F1A"/>
          <w:spacing w:val="-52"/>
        </w:rPr>
        <w:t> </w:t>
      </w:r>
      <w:r>
        <w:rPr>
          <w:color w:val="0E0F1A"/>
        </w:rPr>
        <w:t>salinity </w:t>
      </w:r>
      <w:r>
        <w:rPr/>
        <w:t>(Shanfa et al., 1989; Sinninghe Damste et al., 1993; Dutta et al., 2013; Jiang et al., 2018,</w:t>
      </w:r>
      <w:r>
        <w:rPr>
          <w:spacing w:val="1"/>
        </w:rPr>
        <w:t> </w:t>
      </w:r>
      <w:r>
        <w:rPr/>
        <w:t>2019)</w:t>
      </w:r>
      <w:r>
        <w:rPr>
          <w:color w:val="0E0F1A"/>
        </w:rPr>
        <w:t>. Another ratio used to indicate paleosalinty is the MTTCI (α-MTTC/total MTTCs), where</w:t>
      </w:r>
      <w:r>
        <w:rPr>
          <w:color w:val="0E0F1A"/>
          <w:spacing w:val="1"/>
        </w:rPr>
        <w:t> </w:t>
      </w:r>
      <w:r>
        <w:rPr>
          <w:color w:val="0E0F1A"/>
        </w:rPr>
        <w:t>MTTCI</w:t>
      </w:r>
      <w:r>
        <w:rPr>
          <w:color w:val="0E0F1A"/>
          <w:spacing w:val="-4"/>
        </w:rPr>
        <w:t> </w:t>
      </w:r>
      <w:r>
        <w:rPr>
          <w:color w:val="0E0F1A"/>
        </w:rPr>
        <w:t>values</w:t>
      </w:r>
      <w:r>
        <w:rPr>
          <w:color w:val="0E0F1A"/>
          <w:spacing w:val="-2"/>
        </w:rPr>
        <w:t> </w:t>
      </w:r>
      <w:r>
        <w:rPr>
          <w:color w:val="0E0F1A"/>
        </w:rPr>
        <w:t>less</w:t>
      </w:r>
      <w:r>
        <w:rPr>
          <w:color w:val="0E0F1A"/>
          <w:spacing w:val="-3"/>
        </w:rPr>
        <w:t> </w:t>
      </w:r>
      <w:r>
        <w:rPr>
          <w:color w:val="0E0F1A"/>
        </w:rPr>
        <w:t>than</w:t>
      </w:r>
      <w:r>
        <w:rPr>
          <w:color w:val="0E0F1A"/>
          <w:spacing w:val="-3"/>
        </w:rPr>
        <w:t> </w:t>
      </w:r>
      <w:r>
        <w:rPr>
          <w:color w:val="0E0F1A"/>
        </w:rPr>
        <w:t>0.5</w:t>
      </w:r>
      <w:r>
        <w:rPr>
          <w:color w:val="0E0F1A"/>
          <w:spacing w:val="-2"/>
        </w:rPr>
        <w:t> </w:t>
      </w:r>
      <w:r>
        <w:rPr>
          <w:color w:val="0E0F1A"/>
        </w:rPr>
        <w:t>or 0.4</w:t>
      </w:r>
      <w:r>
        <w:rPr>
          <w:color w:val="0E0F1A"/>
          <w:spacing w:val="-3"/>
        </w:rPr>
        <w:t> </w:t>
      </w:r>
      <w:r>
        <w:rPr>
          <w:color w:val="0E0F1A"/>
        </w:rPr>
        <w:t>indicate</w:t>
      </w:r>
      <w:r>
        <w:rPr>
          <w:color w:val="0E0F1A"/>
          <w:spacing w:val="-2"/>
        </w:rPr>
        <w:t> </w:t>
      </w:r>
      <w:r>
        <w:rPr>
          <w:color w:val="0E0F1A"/>
        </w:rPr>
        <w:t>high-salinity</w:t>
      </w:r>
      <w:r>
        <w:rPr>
          <w:color w:val="0E0F1A"/>
          <w:spacing w:val="-2"/>
        </w:rPr>
        <w:t> </w:t>
      </w:r>
      <w:r>
        <w:rPr>
          <w:color w:val="0E0F1A"/>
        </w:rPr>
        <w:t>conditions</w:t>
      </w:r>
      <w:r>
        <w:rPr>
          <w:color w:val="0E0F1A"/>
          <w:spacing w:val="-4"/>
        </w:rPr>
        <w:t> </w:t>
      </w:r>
      <w:r>
        <w:rPr>
          <w:color w:val="0E0F1A"/>
        </w:rPr>
        <w:t>and</w:t>
      </w:r>
      <w:r>
        <w:rPr>
          <w:color w:val="0E0F1A"/>
          <w:spacing w:val="2"/>
        </w:rPr>
        <w:t> </w:t>
      </w:r>
      <w:r>
        <w:rPr>
          <w:color w:val="0E0F1A"/>
        </w:rPr>
        <w:t>values</w:t>
      </w:r>
      <w:r>
        <w:rPr>
          <w:color w:val="0E0F1A"/>
          <w:spacing w:val="-2"/>
        </w:rPr>
        <w:t> </w:t>
      </w:r>
      <w:r>
        <w:rPr>
          <w:color w:val="0E0F1A"/>
        </w:rPr>
        <w:t>greater</w:t>
      </w:r>
      <w:r>
        <w:rPr>
          <w:color w:val="0E0F1A"/>
          <w:spacing w:val="-3"/>
        </w:rPr>
        <w:t> </w:t>
      </w:r>
      <w:r>
        <w:rPr>
          <w:color w:val="0E0F1A"/>
        </w:rPr>
        <w:t>than</w:t>
      </w:r>
      <w:r>
        <w:rPr>
          <w:color w:val="0E0F1A"/>
          <w:spacing w:val="-3"/>
        </w:rPr>
        <w:t> </w:t>
      </w:r>
      <w:r>
        <w:rPr>
          <w:color w:val="0E0F1A"/>
        </w:rPr>
        <w:t>0.5</w:t>
      </w:r>
      <w:r>
        <w:rPr>
          <w:color w:val="0E0F1A"/>
          <w:spacing w:val="-3"/>
        </w:rPr>
        <w:t> </w:t>
      </w:r>
      <w:r>
        <w:rPr>
          <w:color w:val="0E0F1A"/>
        </w:rPr>
        <w:t>or</w:t>
      </w:r>
    </w:p>
    <w:p>
      <w:pPr>
        <w:pStyle w:val="BodyText"/>
        <w:spacing w:line="480" w:lineRule="auto"/>
        <w:ind w:left="120" w:right="747"/>
      </w:pPr>
      <w:r>
        <w:rPr>
          <w:color w:val="0E0F1A"/>
        </w:rPr>
        <w:t>0.4 indicate low-salinity conditions </w:t>
      </w:r>
      <w:r>
        <w:rPr/>
        <w:t>(Jiang et al., 2018, 2019)</w:t>
      </w:r>
      <w:r>
        <w:rPr>
          <w:color w:val="0E0F1A"/>
        </w:rPr>
        <w:t>. Variation in abundance for</w:t>
      </w:r>
      <w:r>
        <w:rPr>
          <w:color w:val="0E0F1A"/>
          <w:spacing w:val="1"/>
        </w:rPr>
        <w:t> </w:t>
      </w:r>
      <w:r>
        <w:rPr>
          <w:color w:val="0E0F1A"/>
        </w:rPr>
        <w:t>dimethyl</w:t>
      </w:r>
      <w:r>
        <w:rPr>
          <w:color w:val="0E0F1A"/>
          <w:spacing w:val="-3"/>
        </w:rPr>
        <w:t> </w:t>
      </w:r>
      <w:r>
        <w:rPr>
          <w:color w:val="0E0F1A"/>
        </w:rPr>
        <w:t>MTTCs</w:t>
      </w:r>
      <w:r>
        <w:rPr>
          <w:color w:val="0E0F1A"/>
          <w:spacing w:val="-3"/>
        </w:rPr>
        <w:t> </w:t>
      </w:r>
      <w:r>
        <w:rPr>
          <w:color w:val="0E0F1A"/>
        </w:rPr>
        <w:t>remain</w:t>
      </w:r>
      <w:r>
        <w:rPr>
          <w:color w:val="0E0F1A"/>
          <w:spacing w:val="-4"/>
        </w:rPr>
        <w:t> </w:t>
      </w:r>
      <w:r>
        <w:rPr>
          <w:color w:val="0E0F1A"/>
        </w:rPr>
        <w:t>poorly</w:t>
      </w:r>
      <w:r>
        <w:rPr>
          <w:color w:val="0E0F1A"/>
          <w:spacing w:val="-4"/>
        </w:rPr>
        <w:t> </w:t>
      </w:r>
      <w:r>
        <w:rPr>
          <w:color w:val="0E0F1A"/>
        </w:rPr>
        <w:t>understood</w:t>
      </w:r>
      <w:r>
        <w:rPr>
          <w:color w:val="0E0F1A"/>
          <w:spacing w:val="-4"/>
        </w:rPr>
        <w:t> </w:t>
      </w:r>
      <w:r>
        <w:rPr>
          <w:color w:val="0E0F1A"/>
        </w:rPr>
        <w:t>and</w:t>
      </w:r>
      <w:r>
        <w:rPr>
          <w:color w:val="0E0F1A"/>
          <w:spacing w:val="-3"/>
        </w:rPr>
        <w:t> </w:t>
      </w:r>
      <w:r>
        <w:rPr>
          <w:color w:val="0E0F1A"/>
        </w:rPr>
        <w:t>do not</w:t>
      </w:r>
      <w:r>
        <w:rPr>
          <w:color w:val="0E0F1A"/>
          <w:spacing w:val="1"/>
        </w:rPr>
        <w:t> </w:t>
      </w:r>
      <w:r>
        <w:rPr>
          <w:color w:val="0E0F1A"/>
        </w:rPr>
        <w:t>seem</w:t>
      </w:r>
      <w:r>
        <w:rPr>
          <w:color w:val="0E0F1A"/>
          <w:spacing w:val="-4"/>
        </w:rPr>
        <w:t> </w:t>
      </w:r>
      <w:r>
        <w:rPr>
          <w:color w:val="0E0F1A"/>
        </w:rPr>
        <w:t>to correspond</w:t>
      </w:r>
      <w:r>
        <w:rPr>
          <w:color w:val="0E0F1A"/>
          <w:spacing w:val="1"/>
        </w:rPr>
        <w:t> </w:t>
      </w:r>
      <w:r>
        <w:rPr>
          <w:color w:val="0E0F1A"/>
        </w:rPr>
        <w:t>to</w:t>
      </w:r>
      <w:r>
        <w:rPr>
          <w:color w:val="0E0F1A"/>
          <w:spacing w:val="-3"/>
        </w:rPr>
        <w:t> </w:t>
      </w:r>
      <w:r>
        <w:rPr>
          <w:color w:val="0E0F1A"/>
        </w:rPr>
        <w:t>salinity</w:t>
      </w:r>
      <w:r>
        <w:rPr>
          <w:color w:val="0E0F1A"/>
          <w:spacing w:val="-3"/>
        </w:rPr>
        <w:t> </w:t>
      </w:r>
      <w:r>
        <w:rPr>
          <w:color w:val="0E0F1A"/>
        </w:rPr>
        <w:t>like</w:t>
      </w:r>
      <w:r>
        <w:rPr>
          <w:color w:val="0E0F1A"/>
          <w:spacing w:val="-2"/>
        </w:rPr>
        <w:t> </w:t>
      </w:r>
      <w:r>
        <w:rPr>
          <w:color w:val="0E0F1A"/>
        </w:rPr>
        <w:t>the</w:t>
      </w:r>
      <w:r>
        <w:rPr>
          <w:color w:val="0E0F1A"/>
          <w:spacing w:val="-52"/>
        </w:rPr>
        <w:t> </w:t>
      </w:r>
      <w:r>
        <w:rPr>
          <w:color w:val="0E0F1A"/>
        </w:rPr>
        <w:t>other</w:t>
      </w:r>
      <w:r>
        <w:rPr>
          <w:color w:val="0E0F1A"/>
          <w:spacing w:val="-2"/>
        </w:rPr>
        <w:t> </w:t>
      </w:r>
      <w:r>
        <w:rPr>
          <w:color w:val="0E0F1A"/>
        </w:rPr>
        <w:t>isomers</w:t>
      </w:r>
      <w:r>
        <w:rPr>
          <w:color w:val="0E0F1A"/>
          <w:spacing w:val="1"/>
        </w:rPr>
        <w:t> </w:t>
      </w:r>
      <w:r>
        <w:rPr/>
        <w:t>(Jiang et</w:t>
      </w:r>
      <w:r>
        <w:rPr>
          <w:spacing w:val="-3"/>
        </w:rPr>
        <w:t> </w:t>
      </w:r>
      <w:r>
        <w:rPr/>
        <w:t>al.,</w:t>
      </w:r>
      <w:r>
        <w:rPr>
          <w:spacing w:val="-1"/>
        </w:rPr>
        <w:t> </w:t>
      </w:r>
      <w:r>
        <w:rPr/>
        <w:t>2019)</w:t>
      </w:r>
      <w:r>
        <w:rPr>
          <w:color w:val="0E0F1A"/>
        </w:rPr>
        <w:t>.</w:t>
      </w:r>
      <w:r>
        <w:rPr>
          <w:color w:val="0E0F1A"/>
          <w:spacing w:val="-2"/>
        </w:rPr>
        <w:t> </w:t>
      </w:r>
      <w:r>
        <w:rPr>
          <w:color w:val="0E0F1A"/>
        </w:rPr>
        <w:t>However,</w:t>
      </w:r>
      <w:r>
        <w:rPr>
          <w:color w:val="0E0F1A"/>
          <w:spacing w:val="-3"/>
        </w:rPr>
        <w:t> </w:t>
      </w:r>
      <w:r>
        <w:rPr>
          <w:color w:val="0E0F1A"/>
        </w:rPr>
        <w:t>there</w:t>
      </w:r>
      <w:r>
        <w:rPr>
          <w:color w:val="0E0F1A"/>
          <w:spacing w:val="-5"/>
        </w:rPr>
        <w:t> </w:t>
      </w:r>
      <w:r>
        <w:rPr>
          <w:color w:val="0E0F1A"/>
        </w:rPr>
        <w:t>does</w:t>
      </w:r>
      <w:r>
        <w:rPr>
          <w:color w:val="0E0F1A"/>
          <w:spacing w:val="-1"/>
        </w:rPr>
        <w:t> </w:t>
      </w:r>
      <w:r>
        <w:rPr>
          <w:color w:val="0E0F1A"/>
        </w:rPr>
        <w:t>seem</w:t>
      </w:r>
      <w:r>
        <w:rPr>
          <w:color w:val="0E0F1A"/>
          <w:spacing w:val="-3"/>
        </w:rPr>
        <w:t> </w:t>
      </w:r>
      <w:r>
        <w:rPr>
          <w:color w:val="0E0F1A"/>
        </w:rPr>
        <w:t>to</w:t>
      </w:r>
      <w:r>
        <w:rPr>
          <w:color w:val="0E0F1A"/>
          <w:spacing w:val="1"/>
        </w:rPr>
        <w:t> </w:t>
      </w:r>
      <w:r>
        <w:rPr>
          <w:color w:val="0E0F1A"/>
        </w:rPr>
        <w:t>be</w:t>
      </w:r>
      <w:r>
        <w:rPr>
          <w:color w:val="0E0F1A"/>
          <w:spacing w:val="1"/>
        </w:rPr>
        <w:t> </w:t>
      </w:r>
      <w:r>
        <w:rPr>
          <w:color w:val="0E0F1A"/>
        </w:rPr>
        <w:t>a</w:t>
      </w:r>
      <w:r>
        <w:rPr>
          <w:color w:val="0E0F1A"/>
          <w:spacing w:val="-3"/>
        </w:rPr>
        <w:t> </w:t>
      </w:r>
      <w:r>
        <w:rPr>
          <w:color w:val="0E0F1A"/>
        </w:rPr>
        <w:t>positive</w:t>
      </w:r>
      <w:r>
        <w:rPr>
          <w:color w:val="0E0F1A"/>
          <w:spacing w:val="-2"/>
        </w:rPr>
        <w:t> </w:t>
      </w:r>
      <w:r>
        <w:rPr>
          <w:color w:val="0E0F1A"/>
        </w:rPr>
        <w:t>correlation</w:t>
      </w:r>
    </w:p>
    <w:p>
      <w:pPr>
        <w:spacing w:after="0" w:line="480" w:lineRule="auto"/>
        <w:sectPr>
          <w:pgSz w:w="12240" w:h="15840"/>
          <w:pgMar w:header="0" w:footer="1014" w:top="1400" w:bottom="1200" w:left="1320" w:right="820"/>
        </w:sectPr>
      </w:pPr>
    </w:p>
    <w:p>
      <w:pPr>
        <w:pStyle w:val="BodyText"/>
        <w:spacing w:line="480" w:lineRule="auto" w:before="39"/>
        <w:ind w:left="120" w:right="660"/>
      </w:pPr>
      <w:r>
        <w:rPr>
          <w:color w:val="0E0F1A"/>
        </w:rPr>
        <w:t>between</w:t>
      </w:r>
      <w:r>
        <w:rPr>
          <w:color w:val="0E0F1A"/>
          <w:spacing w:val="-2"/>
        </w:rPr>
        <w:t> </w:t>
      </w:r>
      <w:r>
        <w:rPr>
          <w:color w:val="0E0F1A"/>
        </w:rPr>
        <w:t>the</w:t>
      </w:r>
      <w:r>
        <w:rPr>
          <w:color w:val="0E0F1A"/>
          <w:spacing w:val="-3"/>
        </w:rPr>
        <w:t> </w:t>
      </w:r>
      <w:r>
        <w:rPr>
          <w:color w:val="0E0F1A"/>
        </w:rPr>
        <w:t>abundances</w:t>
      </w:r>
      <w:r>
        <w:rPr>
          <w:color w:val="0E0F1A"/>
          <w:spacing w:val="-3"/>
        </w:rPr>
        <w:t> </w:t>
      </w:r>
      <w:r>
        <w:rPr>
          <w:color w:val="0E0F1A"/>
        </w:rPr>
        <w:t>of δ-MTTC</w:t>
      </w:r>
      <w:r>
        <w:rPr>
          <w:color w:val="0E0F1A"/>
          <w:spacing w:val="-4"/>
        </w:rPr>
        <w:t> </w:t>
      </w:r>
      <w:r>
        <w:rPr>
          <w:color w:val="0E0F1A"/>
        </w:rPr>
        <w:t>and</w:t>
      </w:r>
      <w:r>
        <w:rPr>
          <w:color w:val="0E0F1A"/>
          <w:spacing w:val="-3"/>
        </w:rPr>
        <w:t> </w:t>
      </w:r>
      <w:r>
        <w:rPr>
          <w:color w:val="0E0F1A"/>
        </w:rPr>
        <w:t>(β+γ)-MTTC</w:t>
      </w:r>
      <w:r>
        <w:rPr>
          <w:color w:val="0E0F1A"/>
          <w:spacing w:val="-4"/>
        </w:rPr>
        <w:t> </w:t>
      </w:r>
      <w:r>
        <w:rPr>
          <w:color w:val="0E0F1A"/>
        </w:rPr>
        <w:t>and a</w:t>
      </w:r>
      <w:r>
        <w:rPr>
          <w:color w:val="0E0F1A"/>
          <w:spacing w:val="-4"/>
        </w:rPr>
        <w:t> </w:t>
      </w:r>
      <w:r>
        <w:rPr>
          <w:color w:val="0E0F1A"/>
        </w:rPr>
        <w:t>negative</w:t>
      </w:r>
      <w:r>
        <w:rPr>
          <w:color w:val="0E0F1A"/>
          <w:spacing w:val="-3"/>
        </w:rPr>
        <w:t> </w:t>
      </w:r>
      <w:r>
        <w:rPr>
          <w:color w:val="0E0F1A"/>
        </w:rPr>
        <w:t>correlation</w:t>
      </w:r>
      <w:r>
        <w:rPr>
          <w:color w:val="0E0F1A"/>
          <w:spacing w:val="-4"/>
        </w:rPr>
        <w:t> </w:t>
      </w:r>
      <w:r>
        <w:rPr>
          <w:color w:val="0E0F1A"/>
        </w:rPr>
        <w:t>between</w:t>
      </w:r>
      <w:r>
        <w:rPr>
          <w:color w:val="0E0F1A"/>
          <w:spacing w:val="-3"/>
        </w:rPr>
        <w:t> </w:t>
      </w:r>
      <w:r>
        <w:rPr>
          <w:color w:val="0E0F1A"/>
        </w:rPr>
        <w:t>the</w:t>
      </w:r>
      <w:r>
        <w:rPr>
          <w:color w:val="0E0F1A"/>
          <w:spacing w:val="-52"/>
        </w:rPr>
        <w:t> </w:t>
      </w:r>
      <w:r>
        <w:rPr>
          <w:color w:val="0E0F1A"/>
        </w:rPr>
        <w:t>abundance</w:t>
      </w:r>
      <w:r>
        <w:rPr>
          <w:color w:val="0E0F1A"/>
          <w:spacing w:val="-4"/>
        </w:rPr>
        <w:t> </w:t>
      </w:r>
      <w:r>
        <w:rPr>
          <w:color w:val="0E0F1A"/>
        </w:rPr>
        <w:t>of</w:t>
      </w:r>
      <w:r>
        <w:rPr>
          <w:color w:val="0E0F1A"/>
          <w:spacing w:val="2"/>
        </w:rPr>
        <w:t> </w:t>
      </w:r>
      <w:r>
        <w:rPr>
          <w:color w:val="0E0F1A"/>
        </w:rPr>
        <w:t>α-MTTC</w:t>
      </w:r>
      <w:r>
        <w:rPr>
          <w:color w:val="0E0F1A"/>
          <w:spacing w:val="-3"/>
        </w:rPr>
        <w:t> </w:t>
      </w:r>
      <w:r>
        <w:rPr>
          <w:color w:val="0E0F1A"/>
        </w:rPr>
        <w:t>and the</w:t>
      </w:r>
      <w:r>
        <w:rPr>
          <w:color w:val="0E0F1A"/>
          <w:spacing w:val="2"/>
        </w:rPr>
        <w:t> </w:t>
      </w:r>
      <w:r>
        <w:rPr>
          <w:color w:val="0E0F1A"/>
        </w:rPr>
        <w:t>abundances</w:t>
      </w:r>
      <w:r>
        <w:rPr>
          <w:color w:val="0E0F1A"/>
          <w:spacing w:val="-5"/>
        </w:rPr>
        <w:t> </w:t>
      </w:r>
      <w:r>
        <w:rPr>
          <w:color w:val="0E0F1A"/>
        </w:rPr>
        <w:t>of</w:t>
      </w:r>
      <w:r>
        <w:rPr>
          <w:color w:val="0E0F1A"/>
          <w:spacing w:val="-3"/>
        </w:rPr>
        <w:t> </w:t>
      </w:r>
      <w:r>
        <w:rPr>
          <w:color w:val="0E0F1A"/>
        </w:rPr>
        <w:t>δ-MTTC</w:t>
      </w:r>
      <w:r>
        <w:rPr>
          <w:color w:val="0E0F1A"/>
          <w:spacing w:val="-2"/>
        </w:rPr>
        <w:t> </w:t>
      </w:r>
      <w:r>
        <w:rPr>
          <w:color w:val="0E0F1A"/>
        </w:rPr>
        <w:t>and</w:t>
      </w:r>
      <w:r>
        <w:rPr>
          <w:color w:val="0E0F1A"/>
          <w:spacing w:val="1"/>
        </w:rPr>
        <w:t> </w:t>
      </w:r>
      <w:r>
        <w:rPr>
          <w:color w:val="0E0F1A"/>
        </w:rPr>
        <w:t>(β+γ)-MTTC</w:t>
      </w:r>
      <w:r>
        <w:rPr>
          <w:color w:val="0E0F1A"/>
          <w:spacing w:val="7"/>
        </w:rPr>
        <w:t> </w:t>
      </w:r>
      <w:r>
        <w:rPr/>
        <w:t>(Jiang</w:t>
      </w:r>
      <w:r>
        <w:rPr>
          <w:spacing w:val="-3"/>
        </w:rPr>
        <w:t> </w:t>
      </w:r>
      <w:r>
        <w:rPr/>
        <w:t>et</w:t>
      </w:r>
      <w:r>
        <w:rPr>
          <w:spacing w:val="2"/>
        </w:rPr>
        <w:t> </w:t>
      </w:r>
      <w:r>
        <w:rPr/>
        <w:t>al.,</w:t>
      </w:r>
      <w:r>
        <w:rPr>
          <w:spacing w:val="-4"/>
        </w:rPr>
        <w:t> </w:t>
      </w:r>
      <w:r>
        <w:rPr/>
        <w:t>2018)</w:t>
      </w:r>
      <w:r>
        <w:rPr>
          <w:color w:val="0E0F1A"/>
        </w:rPr>
        <w:t>.</w:t>
      </w:r>
    </w:p>
    <w:p>
      <w:pPr>
        <w:pStyle w:val="BodyText"/>
        <w:spacing w:line="480" w:lineRule="auto"/>
        <w:ind w:left="120" w:right="904" w:firstLine="487"/>
      </w:pPr>
      <w:r>
        <w:rPr/>
        <w:t>Trimethylphytylbenzoquinone (TMPBQ(</w:t>
      </w:r>
      <w:r>
        <w:rPr>
          <w:b/>
        </w:rPr>
        <w:t>XVII</w:t>
      </w:r>
      <w:r>
        <w:rPr/>
        <w:t>)) is a novel compound tentatively identified</w:t>
      </w:r>
      <w:r>
        <w:rPr>
          <w:spacing w:val="-52"/>
        </w:rPr>
        <w:t> </w:t>
      </w:r>
      <w:r>
        <w:rPr/>
        <w:t>by Connock (2021). Isomers of TMPBQ are also detected in the Woodford Shale. Individual</w:t>
      </w:r>
      <w:r>
        <w:rPr>
          <w:spacing w:val="1"/>
        </w:rPr>
        <w:t> </w:t>
      </w:r>
      <w:r>
        <w:rPr/>
        <w:t>isomers have not yet shown any potential for indicating anything significant. However, the</w:t>
      </w:r>
      <w:r>
        <w:rPr>
          <w:spacing w:val="1"/>
        </w:rPr>
        <w:t> </w:t>
      </w:r>
      <w:r>
        <w:rPr/>
        <w:t>TMPBQ/α-MTTC</w:t>
      </w:r>
      <w:r>
        <w:rPr>
          <w:spacing w:val="-5"/>
        </w:rPr>
        <w:t> </w:t>
      </w:r>
      <w:r>
        <w:rPr/>
        <w:t>ratio</w:t>
      </w:r>
      <w:r>
        <w:rPr>
          <w:spacing w:val="-1"/>
        </w:rPr>
        <w:t> </w:t>
      </w:r>
      <w:r>
        <w:rPr/>
        <w:t>has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potential</w:t>
      </w:r>
      <w:r>
        <w:rPr>
          <w:spacing w:val="-3"/>
        </w:rPr>
        <w:t> </w:t>
      </w:r>
      <w:r>
        <w:rPr/>
        <w:t>to</w:t>
      </w:r>
      <w:r>
        <w:rPr>
          <w:spacing w:val="3"/>
        </w:rPr>
        <w:t> </w:t>
      </w:r>
      <w:r>
        <w:rPr/>
        <w:t>be</w:t>
      </w:r>
      <w:r>
        <w:rPr>
          <w:spacing w:val="-2"/>
        </w:rPr>
        <w:t> </w:t>
      </w:r>
      <w:r>
        <w:rPr/>
        <w:t>used</w:t>
      </w:r>
      <w:r>
        <w:rPr>
          <w:spacing w:val="-1"/>
        </w:rPr>
        <w:t> </w:t>
      </w:r>
      <w:r>
        <w:rPr/>
        <w:t>as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redox</w:t>
      </w:r>
      <w:r>
        <w:rPr>
          <w:spacing w:val="1"/>
        </w:rPr>
        <w:t> </w:t>
      </w:r>
      <w:r>
        <w:rPr/>
        <w:t>proxy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26"/>
        </w:rPr>
      </w:pPr>
    </w:p>
    <w:p>
      <w:pPr>
        <w:pStyle w:val="ListParagraph"/>
        <w:numPr>
          <w:ilvl w:val="1"/>
          <w:numId w:val="4"/>
        </w:numPr>
        <w:tabs>
          <w:tab w:pos="478" w:val="left" w:leader="none"/>
        </w:tabs>
        <w:spacing w:line="240" w:lineRule="auto" w:before="0" w:after="0"/>
        <w:ind w:left="477" w:right="0" w:hanging="358"/>
        <w:jc w:val="left"/>
        <w:rPr>
          <w:i/>
          <w:sz w:val="24"/>
        </w:rPr>
      </w:pPr>
      <w:r>
        <w:rPr>
          <w:i/>
          <w:sz w:val="24"/>
        </w:rPr>
        <w:t>Objectives</w:t>
      </w:r>
    </w:p>
    <w:p>
      <w:pPr>
        <w:pStyle w:val="BodyText"/>
        <w:rPr>
          <w:i/>
        </w:rPr>
      </w:pPr>
    </w:p>
    <w:p>
      <w:pPr>
        <w:pStyle w:val="BodyText"/>
        <w:spacing w:line="480" w:lineRule="auto" w:before="161"/>
        <w:ind w:left="120" w:right="660" w:firstLine="706"/>
      </w:pPr>
      <w:r>
        <w:rPr/>
        <w:t>There have been many biomarker studies performed on the Woodford Shale, but all are</w:t>
      </w:r>
      <w:r>
        <w:rPr>
          <w:spacing w:val="-52"/>
        </w:rPr>
        <w:t> </w:t>
      </w:r>
      <w:r>
        <w:rPr/>
        <w:t>restricted to conventional GCMS based analysis. This study applies a novel LCMS method</w:t>
      </w:r>
      <w:r>
        <w:rPr>
          <w:spacing w:val="1"/>
        </w:rPr>
        <w:t> </w:t>
      </w:r>
      <w:r>
        <w:rPr/>
        <w:t>targeted on the polar biomarkers that are not amenable to GCMS.</w:t>
      </w:r>
      <w:r>
        <w:rPr>
          <w:spacing w:val="1"/>
        </w:rPr>
        <w:t> </w:t>
      </w:r>
      <w:r>
        <w:rPr/>
        <w:t>Aromatic carotenoids, such</w:t>
      </w:r>
      <w:r>
        <w:rPr>
          <w:spacing w:val="1"/>
        </w:rPr>
        <w:t> </w:t>
      </w:r>
      <w:r>
        <w:rPr/>
        <w:t>as isorenieratane(</w:t>
      </w:r>
      <w:r>
        <w:rPr>
          <w:b/>
        </w:rPr>
        <w:t>I</w:t>
      </w:r>
      <w:r>
        <w:rPr/>
        <w:t>) and paleorenieratane (</w:t>
      </w:r>
      <w:r>
        <w:rPr>
          <w:b/>
        </w:rPr>
        <w:t>II</w:t>
      </w:r>
      <w:r>
        <w:rPr/>
        <w:t>), are the most significant biomarkers recently</w:t>
      </w:r>
      <w:r>
        <w:rPr>
          <w:spacing w:val="1"/>
        </w:rPr>
        <w:t> </w:t>
      </w:r>
      <w:r>
        <w:rPr/>
        <w:t>studied in the Woodford Shale (Connock et al., 2018), and they can also be analyzed with the</w:t>
      </w:r>
      <w:r>
        <w:rPr>
          <w:spacing w:val="1"/>
        </w:rPr>
        <w:t> </w:t>
      </w:r>
      <w:r>
        <w:rPr/>
        <w:t>LCMS method. The samples studied by Connock et al. (2018) were reanalyzed to compare</w:t>
      </w:r>
      <w:r>
        <w:rPr>
          <w:spacing w:val="1"/>
        </w:rPr>
        <w:t> </w:t>
      </w:r>
      <w:r>
        <w:rPr/>
        <w:t>results generated with GCMS and LCMS. This allows assessment of the feasibility of this new</w:t>
      </w:r>
      <w:r>
        <w:rPr>
          <w:spacing w:val="1"/>
        </w:rPr>
        <w:t> </w:t>
      </w:r>
      <w:r>
        <w:rPr/>
        <w:t>method. This study will also expand the fidelity of isorenieratane(</w:t>
      </w:r>
      <w:r>
        <w:rPr>
          <w:b/>
        </w:rPr>
        <w:t>I</w:t>
      </w:r>
      <w:r>
        <w:rPr/>
        <w:t>) and paleorenieratane (</w:t>
      </w:r>
      <w:r>
        <w:rPr>
          <w:b/>
        </w:rPr>
        <w:t>II</w:t>
      </w:r>
      <w:r>
        <w:rPr/>
        <w:t>) in</w:t>
      </w:r>
      <w:r>
        <w:rPr>
          <w:spacing w:val="1"/>
        </w:rPr>
        <w:t> </w:t>
      </w:r>
      <w:r>
        <w:rPr/>
        <w:t>the Middle and Upper Woodford Shales, with new samples taken from the Wyche-1 core. This</w:t>
      </w:r>
      <w:r>
        <w:rPr>
          <w:spacing w:val="1"/>
        </w:rPr>
        <w:t> </w:t>
      </w:r>
      <w:r>
        <w:rPr/>
        <w:t>study also detects metalloporphyrins and attempt to use them to glean information on primary</w:t>
      </w:r>
      <w:r>
        <w:rPr>
          <w:spacing w:val="-52"/>
        </w:rPr>
        <w:t> </w:t>
      </w:r>
      <w:r>
        <w:rPr/>
        <w:t>productivity,</w:t>
      </w:r>
      <w:r>
        <w:rPr>
          <w:spacing w:val="-6"/>
        </w:rPr>
        <w:t> </w:t>
      </w:r>
      <w:r>
        <w:rPr/>
        <w:t>redox</w:t>
      </w:r>
      <w:r>
        <w:rPr>
          <w:spacing w:val="-3"/>
        </w:rPr>
        <w:t> </w:t>
      </w:r>
      <w:r>
        <w:rPr/>
        <w:t>potential,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thermal</w:t>
      </w:r>
      <w:r>
        <w:rPr>
          <w:spacing w:val="-2"/>
        </w:rPr>
        <w:t> </w:t>
      </w:r>
      <w:r>
        <w:rPr/>
        <w:t>maturity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the</w:t>
      </w:r>
      <w:r>
        <w:rPr>
          <w:spacing w:val="1"/>
        </w:rPr>
        <w:t> </w:t>
      </w:r>
      <w:r>
        <w:rPr/>
        <w:t>core.</w:t>
      </w:r>
      <w:r>
        <w:rPr>
          <w:spacing w:val="-2"/>
        </w:rPr>
        <w:t> </w:t>
      </w:r>
      <w:r>
        <w:rPr/>
        <w:t>Analyses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MTTCs</w:t>
      </w:r>
      <w:r>
        <w:rPr>
          <w:spacing w:val="-3"/>
        </w:rPr>
        <w:t> </w:t>
      </w:r>
      <w:r>
        <w:rPr/>
        <w:t>will</w:t>
      </w:r>
      <w:r>
        <w:rPr>
          <w:spacing w:val="-3"/>
        </w:rPr>
        <w:t> </w:t>
      </w:r>
      <w:r>
        <w:rPr/>
        <w:t>provide</w:t>
      </w:r>
      <w:r>
        <w:rPr>
          <w:spacing w:val="-52"/>
        </w:rPr>
        <w:t> </w:t>
      </w:r>
      <w:r>
        <w:rPr/>
        <w:t>information on salinity and primary productivity. Furthermore, a novel compound TMPBQ is</w:t>
      </w:r>
      <w:r>
        <w:rPr>
          <w:spacing w:val="1"/>
        </w:rPr>
        <w:t> </w:t>
      </w:r>
      <w:r>
        <w:rPr/>
        <w:t>measured</w:t>
      </w:r>
      <w:r>
        <w:rPr>
          <w:spacing w:val="1"/>
        </w:rPr>
        <w:t> </w:t>
      </w:r>
      <w:r>
        <w:rPr/>
        <w:t>and</w:t>
      </w:r>
      <w:r>
        <w:rPr>
          <w:spacing w:val="2"/>
        </w:rPr>
        <w:t> </w:t>
      </w:r>
      <w:r>
        <w:rPr/>
        <w:t>compared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other</w:t>
      </w:r>
      <w:r>
        <w:rPr>
          <w:spacing w:val="-3"/>
        </w:rPr>
        <w:t> </w:t>
      </w:r>
      <w:r>
        <w:rPr/>
        <w:t>biomarkers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an</w:t>
      </w:r>
      <w:r>
        <w:rPr>
          <w:spacing w:val="-2"/>
        </w:rPr>
        <w:t> </w:t>
      </w:r>
      <w:r>
        <w:rPr/>
        <w:t>attempt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investigate</w:t>
      </w:r>
      <w:r>
        <w:rPr>
          <w:spacing w:val="-3"/>
        </w:rPr>
        <w:t> </w:t>
      </w:r>
      <w:r>
        <w:rPr/>
        <w:t>its</w:t>
      </w:r>
      <w:r>
        <w:rPr>
          <w:spacing w:val="1"/>
        </w:rPr>
        <w:t> </w:t>
      </w:r>
      <w:r>
        <w:rPr/>
        <w:t>geochemical</w:t>
      </w:r>
    </w:p>
    <w:p>
      <w:pPr>
        <w:spacing w:after="0" w:line="480" w:lineRule="auto"/>
        <w:sectPr>
          <w:pgSz w:w="12240" w:h="15840"/>
          <w:pgMar w:header="0" w:footer="1014" w:top="1400" w:bottom="1200" w:left="1320" w:right="820"/>
        </w:sectPr>
      </w:pPr>
    </w:p>
    <w:p>
      <w:pPr>
        <w:pStyle w:val="BodyText"/>
        <w:spacing w:line="480" w:lineRule="auto" w:before="39"/>
        <w:ind w:left="120" w:right="636"/>
      </w:pPr>
      <w:r>
        <w:rPr/>
        <w:t>significance. Previous sample preparation methods used the Soxhlet extraction combined with</w:t>
      </w:r>
      <w:r>
        <w:rPr>
          <w:spacing w:val="1"/>
        </w:rPr>
        <w:t> </w:t>
      </w:r>
      <w:r>
        <w:rPr/>
        <w:t>column fractionation; while efficient, this method is time-consuming, limiting the number of</w:t>
      </w:r>
      <w:r>
        <w:rPr>
          <w:spacing w:val="1"/>
        </w:rPr>
        <w:t> </w:t>
      </w:r>
      <w:r>
        <w:rPr/>
        <w:t>samples that can be run. This work validates an ultrasonic bath extraction method that is much</w:t>
      </w:r>
      <w:r>
        <w:rPr>
          <w:spacing w:val="1"/>
        </w:rPr>
        <w:t> </w:t>
      </w:r>
      <w:r>
        <w:rPr/>
        <w:t>quicker, although less efficient. If this new analytical protocol is viable, characterization of black</w:t>
      </w:r>
      <w:r>
        <w:rPr>
          <w:spacing w:val="-52"/>
        </w:rPr>
        <w:t> </w:t>
      </w:r>
      <w:r>
        <w:rPr/>
        <w:t>shales</w:t>
      </w:r>
      <w:r>
        <w:rPr>
          <w:spacing w:val="-3"/>
        </w:rPr>
        <w:t> </w:t>
      </w:r>
      <w:r>
        <w:rPr/>
        <w:t>can</w:t>
      </w:r>
      <w:r>
        <w:rPr>
          <w:spacing w:val="-3"/>
        </w:rPr>
        <w:t> </w:t>
      </w:r>
      <w:r>
        <w:rPr/>
        <w:t>become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rapid</w:t>
      </w:r>
      <w:r>
        <w:rPr>
          <w:spacing w:val="-3"/>
        </w:rPr>
        <w:t> </w:t>
      </w:r>
      <w:r>
        <w:rPr/>
        <w:t>process.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summarize,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main</w:t>
      </w:r>
      <w:r>
        <w:rPr>
          <w:spacing w:val="-2"/>
        </w:rPr>
        <w:t> </w:t>
      </w:r>
      <w:r>
        <w:rPr/>
        <w:t>objectives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this</w:t>
      </w:r>
      <w:r>
        <w:rPr>
          <w:spacing w:val="-3"/>
        </w:rPr>
        <w:t> </w:t>
      </w:r>
      <w:r>
        <w:rPr/>
        <w:t>thesis</w:t>
      </w:r>
      <w:r>
        <w:rPr>
          <w:spacing w:val="-2"/>
        </w:rPr>
        <w:t> </w:t>
      </w:r>
      <w:r>
        <w:rPr/>
        <w:t>project</w:t>
      </w:r>
      <w:r>
        <w:rPr>
          <w:spacing w:val="-2"/>
        </w:rPr>
        <w:t> </w:t>
      </w:r>
      <w:r>
        <w:rPr/>
        <w:t>are:</w:t>
      </w:r>
    </w:p>
    <w:p>
      <w:pPr>
        <w:pStyle w:val="ListParagraph"/>
        <w:numPr>
          <w:ilvl w:val="2"/>
          <w:numId w:val="4"/>
        </w:numPr>
        <w:tabs>
          <w:tab w:pos="840" w:val="left" w:leader="none"/>
        </w:tabs>
        <w:spacing w:line="480" w:lineRule="auto" w:before="159" w:after="0"/>
        <w:ind w:left="840" w:right="735" w:hanging="360"/>
        <w:jc w:val="left"/>
        <w:rPr>
          <w:sz w:val="24"/>
        </w:rPr>
      </w:pPr>
      <w:r>
        <w:rPr>
          <w:sz w:val="24"/>
        </w:rPr>
        <w:t>Determine the feasibility of using the ultrasonic bath extraction and LCMS methods by</w:t>
      </w:r>
      <w:r>
        <w:rPr>
          <w:spacing w:val="1"/>
          <w:sz w:val="24"/>
        </w:rPr>
        <w:t> </w:t>
      </w:r>
      <w:r>
        <w:rPr>
          <w:sz w:val="24"/>
        </w:rPr>
        <w:t>reanalyzing samples</w:t>
      </w:r>
      <w:r>
        <w:rPr>
          <w:spacing w:val="-3"/>
          <w:sz w:val="24"/>
        </w:rPr>
        <w:t> </w:t>
      </w:r>
      <w:r>
        <w:rPr>
          <w:sz w:val="24"/>
        </w:rPr>
        <w:t>run</w:t>
      </w:r>
      <w:r>
        <w:rPr>
          <w:spacing w:val="-4"/>
          <w:sz w:val="24"/>
        </w:rPr>
        <w:t> </w:t>
      </w:r>
      <w:r>
        <w:rPr>
          <w:sz w:val="24"/>
        </w:rPr>
        <w:t>by</w:t>
      </w:r>
      <w:r>
        <w:rPr>
          <w:spacing w:val="-1"/>
          <w:sz w:val="24"/>
        </w:rPr>
        <w:t> </w:t>
      </w:r>
      <w:r>
        <w:rPr>
          <w:sz w:val="24"/>
        </w:rPr>
        <w:t>Connock</w:t>
      </w:r>
      <w:r>
        <w:rPr>
          <w:spacing w:val="-3"/>
          <w:sz w:val="24"/>
        </w:rPr>
        <w:t> </w:t>
      </w:r>
      <w:r>
        <w:rPr>
          <w:sz w:val="24"/>
        </w:rPr>
        <w:t>et</w:t>
      </w:r>
      <w:r>
        <w:rPr>
          <w:spacing w:val="-4"/>
          <w:sz w:val="24"/>
        </w:rPr>
        <w:t> </w:t>
      </w:r>
      <w:r>
        <w:rPr>
          <w:sz w:val="24"/>
        </w:rPr>
        <w:t>al</w:t>
      </w:r>
      <w:r>
        <w:rPr>
          <w:spacing w:val="-3"/>
          <w:sz w:val="24"/>
        </w:rPr>
        <w:t> </w:t>
      </w:r>
      <w:r>
        <w:rPr>
          <w:sz w:val="24"/>
        </w:rPr>
        <w:t>(2018)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comparing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results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provide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52"/>
          <w:sz w:val="24"/>
        </w:rPr>
        <w:t> </w:t>
      </w:r>
      <w:r>
        <w:rPr>
          <w:sz w:val="24"/>
        </w:rPr>
        <w:t>high</w:t>
      </w:r>
      <w:r>
        <w:rPr>
          <w:spacing w:val="-3"/>
          <w:sz w:val="24"/>
        </w:rPr>
        <w:t> </w:t>
      </w:r>
      <w:r>
        <w:rPr>
          <w:sz w:val="24"/>
        </w:rPr>
        <w:t>throughput</w:t>
      </w:r>
      <w:r>
        <w:rPr>
          <w:spacing w:val="3"/>
          <w:sz w:val="24"/>
        </w:rPr>
        <w:t> </w:t>
      </w:r>
      <w:r>
        <w:rPr>
          <w:sz w:val="24"/>
        </w:rPr>
        <w:t>analytical</w:t>
      </w:r>
      <w:r>
        <w:rPr>
          <w:spacing w:val="-2"/>
          <w:sz w:val="24"/>
        </w:rPr>
        <w:t> </w:t>
      </w:r>
      <w:r>
        <w:rPr>
          <w:sz w:val="24"/>
        </w:rPr>
        <w:t>method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1"/>
          <w:sz w:val="24"/>
        </w:rPr>
        <w:t> </w:t>
      </w:r>
      <w:r>
        <w:rPr>
          <w:sz w:val="24"/>
        </w:rPr>
        <w:t>aromatic</w:t>
      </w:r>
      <w:r>
        <w:rPr>
          <w:spacing w:val="-5"/>
          <w:sz w:val="24"/>
        </w:rPr>
        <w:t> </w:t>
      </w:r>
      <w:r>
        <w:rPr>
          <w:sz w:val="24"/>
        </w:rPr>
        <w:t>carotenoids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black</w:t>
      </w:r>
      <w:r>
        <w:rPr>
          <w:spacing w:val="-4"/>
          <w:sz w:val="24"/>
        </w:rPr>
        <w:t> </w:t>
      </w:r>
      <w:r>
        <w:rPr>
          <w:sz w:val="24"/>
        </w:rPr>
        <w:t>shales.</w:t>
      </w:r>
    </w:p>
    <w:p>
      <w:pPr>
        <w:pStyle w:val="ListParagraph"/>
        <w:numPr>
          <w:ilvl w:val="2"/>
          <w:numId w:val="4"/>
        </w:numPr>
        <w:tabs>
          <w:tab w:pos="840" w:val="left" w:leader="none"/>
        </w:tabs>
        <w:spacing w:line="480" w:lineRule="auto" w:before="160" w:after="0"/>
        <w:ind w:left="840" w:right="1233" w:hanging="360"/>
        <w:jc w:val="left"/>
        <w:rPr>
          <w:sz w:val="24"/>
        </w:rPr>
      </w:pPr>
      <w:r>
        <w:rPr>
          <w:sz w:val="24"/>
        </w:rPr>
        <w:t>Expand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fidelity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isorenieratane(</w:t>
      </w:r>
      <w:r>
        <w:rPr>
          <w:b/>
          <w:sz w:val="24"/>
        </w:rPr>
        <w:t>I</w:t>
      </w:r>
      <w:r>
        <w:rPr>
          <w:sz w:val="24"/>
        </w:rPr>
        <w:t>)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paleorenieratane</w:t>
      </w:r>
      <w:r>
        <w:rPr>
          <w:spacing w:val="-3"/>
          <w:sz w:val="24"/>
        </w:rPr>
        <w:t> </w:t>
      </w:r>
      <w:r>
        <w:rPr>
          <w:sz w:val="24"/>
        </w:rPr>
        <w:t>(</w:t>
      </w:r>
      <w:r>
        <w:rPr>
          <w:b/>
          <w:sz w:val="24"/>
        </w:rPr>
        <w:t>II</w:t>
      </w:r>
      <w:r>
        <w:rPr>
          <w:sz w:val="24"/>
        </w:rPr>
        <w:t>)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Middle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-51"/>
          <w:sz w:val="24"/>
        </w:rPr>
        <w:t> </w:t>
      </w:r>
      <w:r>
        <w:rPr>
          <w:sz w:val="24"/>
        </w:rPr>
        <w:t>Upper Woodford Shale to provide more data on the progression and evolution of</w:t>
      </w:r>
      <w:r>
        <w:rPr>
          <w:spacing w:val="1"/>
          <w:sz w:val="24"/>
        </w:rPr>
        <w:t> </w:t>
      </w:r>
      <w:r>
        <w:rPr>
          <w:sz w:val="24"/>
        </w:rPr>
        <w:t>photic-zone</w:t>
      </w:r>
      <w:r>
        <w:rPr>
          <w:spacing w:val="-3"/>
          <w:sz w:val="24"/>
        </w:rPr>
        <w:t> </w:t>
      </w:r>
      <w:r>
        <w:rPr>
          <w:sz w:val="24"/>
        </w:rPr>
        <w:t>euxinia</w:t>
      </w:r>
      <w:r>
        <w:rPr>
          <w:spacing w:val="-1"/>
          <w:sz w:val="24"/>
        </w:rPr>
        <w:t> </w:t>
      </w:r>
      <w:r>
        <w:rPr>
          <w:sz w:val="24"/>
        </w:rPr>
        <w:t>(PZE)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thus the</w:t>
      </w:r>
      <w:r>
        <w:rPr>
          <w:spacing w:val="-1"/>
          <w:sz w:val="24"/>
        </w:rPr>
        <w:t> </w:t>
      </w:r>
      <w:r>
        <w:rPr>
          <w:sz w:val="24"/>
        </w:rPr>
        <w:t>paleoenvironment.</w:t>
      </w:r>
    </w:p>
    <w:p>
      <w:pPr>
        <w:pStyle w:val="ListParagraph"/>
        <w:numPr>
          <w:ilvl w:val="2"/>
          <w:numId w:val="4"/>
        </w:numPr>
        <w:tabs>
          <w:tab w:pos="840" w:val="left" w:leader="none"/>
        </w:tabs>
        <w:spacing w:line="480" w:lineRule="auto" w:before="162" w:after="0"/>
        <w:ind w:left="840" w:right="1154" w:hanging="360"/>
        <w:jc w:val="left"/>
        <w:rPr>
          <w:sz w:val="24"/>
        </w:rPr>
      </w:pPr>
      <w:r>
        <w:rPr>
          <w:sz w:val="24"/>
        </w:rPr>
        <w:t>Use metalloporphyrins to indicate characteristics of the redox condition during</w:t>
      </w:r>
      <w:r>
        <w:rPr>
          <w:spacing w:val="1"/>
          <w:sz w:val="24"/>
        </w:rPr>
        <w:t> </w:t>
      </w:r>
      <w:r>
        <w:rPr>
          <w:sz w:val="24"/>
        </w:rPr>
        <w:t>Woodford</w:t>
      </w:r>
      <w:r>
        <w:rPr>
          <w:spacing w:val="-5"/>
          <w:sz w:val="24"/>
        </w:rPr>
        <w:t> </w:t>
      </w:r>
      <w:r>
        <w:rPr>
          <w:sz w:val="24"/>
        </w:rPr>
        <w:t>Shale deposition.</w:t>
      </w:r>
      <w:r>
        <w:rPr>
          <w:spacing w:val="-1"/>
          <w:sz w:val="24"/>
        </w:rPr>
        <w:t> </w:t>
      </w:r>
      <w:r>
        <w:rPr>
          <w:sz w:val="24"/>
        </w:rPr>
        <w:t>Provide</w:t>
      </w:r>
      <w:r>
        <w:rPr>
          <w:spacing w:val="-5"/>
          <w:sz w:val="24"/>
        </w:rPr>
        <w:t> </w:t>
      </w:r>
      <w:r>
        <w:rPr>
          <w:sz w:val="24"/>
        </w:rPr>
        <w:t>insight</w:t>
      </w:r>
      <w:r>
        <w:rPr>
          <w:spacing w:val="1"/>
          <w:sz w:val="24"/>
        </w:rPr>
        <w:t> </w:t>
      </w:r>
      <w:r>
        <w:rPr>
          <w:sz w:val="24"/>
        </w:rPr>
        <w:t>into primary</w:t>
      </w:r>
      <w:r>
        <w:rPr>
          <w:spacing w:val="-4"/>
          <w:sz w:val="24"/>
        </w:rPr>
        <w:t> </w:t>
      </w:r>
      <w:r>
        <w:rPr>
          <w:sz w:val="24"/>
        </w:rPr>
        <w:t>productivity</w:t>
      </w:r>
      <w:r>
        <w:rPr>
          <w:spacing w:val="-1"/>
          <w:sz w:val="24"/>
        </w:rPr>
        <w:t> </w:t>
      </w:r>
      <w:r>
        <w:rPr>
          <w:sz w:val="24"/>
        </w:rPr>
        <w:t>at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time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51"/>
          <w:sz w:val="24"/>
        </w:rPr>
        <w:t> </w:t>
      </w:r>
      <w:r>
        <w:rPr>
          <w:sz w:val="24"/>
        </w:rPr>
        <w:t>deposition.</w:t>
      </w:r>
    </w:p>
    <w:p>
      <w:pPr>
        <w:pStyle w:val="ListParagraph"/>
        <w:numPr>
          <w:ilvl w:val="2"/>
          <w:numId w:val="4"/>
        </w:numPr>
        <w:tabs>
          <w:tab w:pos="840" w:val="left" w:leader="none"/>
        </w:tabs>
        <w:spacing w:line="480" w:lineRule="auto" w:before="160" w:after="0"/>
        <w:ind w:left="840" w:right="1113" w:hanging="360"/>
        <w:jc w:val="left"/>
        <w:rPr>
          <w:sz w:val="24"/>
        </w:rPr>
      </w:pPr>
      <w:r>
        <w:rPr>
          <w:sz w:val="24"/>
        </w:rPr>
        <w:t>Use</w:t>
      </w:r>
      <w:r>
        <w:rPr>
          <w:spacing w:val="-2"/>
          <w:sz w:val="24"/>
        </w:rPr>
        <w:t> </w:t>
      </w:r>
      <w:r>
        <w:rPr>
          <w:sz w:val="24"/>
        </w:rPr>
        <w:t>MTTCs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determine</w:t>
      </w:r>
      <w:r>
        <w:rPr>
          <w:spacing w:val="-3"/>
          <w:sz w:val="24"/>
        </w:rPr>
        <w:t> </w:t>
      </w:r>
      <w:r>
        <w:rPr>
          <w:sz w:val="24"/>
        </w:rPr>
        <w:t>relative</w:t>
      </w:r>
      <w:r>
        <w:rPr>
          <w:spacing w:val="-1"/>
          <w:sz w:val="24"/>
        </w:rPr>
        <w:t> </w:t>
      </w:r>
      <w:r>
        <w:rPr>
          <w:sz w:val="24"/>
        </w:rPr>
        <w:t>paleosalinity of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environment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as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possible</w:t>
      </w:r>
      <w:r>
        <w:rPr>
          <w:spacing w:val="-52"/>
          <w:sz w:val="24"/>
        </w:rPr>
        <w:t> </w:t>
      </w:r>
      <w:r>
        <w:rPr>
          <w:sz w:val="24"/>
        </w:rPr>
        <w:t>indicator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primary</w:t>
      </w:r>
      <w:r>
        <w:rPr>
          <w:spacing w:val="-2"/>
          <w:sz w:val="24"/>
        </w:rPr>
        <w:t> </w:t>
      </w:r>
      <w:r>
        <w:rPr>
          <w:sz w:val="24"/>
        </w:rPr>
        <w:t>productivity.</w:t>
      </w:r>
    </w:p>
    <w:p>
      <w:pPr>
        <w:pStyle w:val="ListParagraph"/>
        <w:numPr>
          <w:ilvl w:val="2"/>
          <w:numId w:val="4"/>
        </w:numPr>
        <w:tabs>
          <w:tab w:pos="840" w:val="left" w:leader="none"/>
        </w:tabs>
        <w:spacing w:line="480" w:lineRule="auto" w:before="160" w:after="0"/>
        <w:ind w:left="840" w:right="1180" w:hanging="360"/>
        <w:jc w:val="left"/>
        <w:rPr>
          <w:sz w:val="24"/>
        </w:rPr>
      </w:pPr>
      <w:r>
        <w:rPr>
          <w:sz w:val="24"/>
        </w:rPr>
        <w:t>Compare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distribution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TMPBQ</w:t>
      </w:r>
      <w:r>
        <w:rPr>
          <w:spacing w:val="-4"/>
          <w:sz w:val="24"/>
        </w:rPr>
        <w:t> </w:t>
      </w:r>
      <w:r>
        <w:rPr>
          <w:sz w:val="24"/>
        </w:rPr>
        <w:t>with</w:t>
      </w:r>
      <w:r>
        <w:rPr>
          <w:spacing w:val="-2"/>
          <w:sz w:val="24"/>
        </w:rPr>
        <w:t> </w:t>
      </w:r>
      <w:r>
        <w:rPr>
          <w:sz w:val="24"/>
        </w:rPr>
        <w:t>other</w:t>
      </w:r>
      <w:r>
        <w:rPr>
          <w:spacing w:val="-4"/>
          <w:sz w:val="24"/>
        </w:rPr>
        <w:t> </w:t>
      </w:r>
      <w:r>
        <w:rPr>
          <w:sz w:val="24"/>
        </w:rPr>
        <w:t>biomarkers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test</w:t>
      </w:r>
      <w:r>
        <w:rPr>
          <w:spacing w:val="-2"/>
          <w:sz w:val="24"/>
        </w:rPr>
        <w:t> </w:t>
      </w:r>
      <w:r>
        <w:rPr>
          <w:sz w:val="24"/>
        </w:rPr>
        <w:t>its</w:t>
      </w:r>
      <w:r>
        <w:rPr>
          <w:spacing w:val="-1"/>
          <w:sz w:val="24"/>
        </w:rPr>
        <w:t> </w:t>
      </w:r>
      <w:r>
        <w:rPr>
          <w:sz w:val="24"/>
        </w:rPr>
        <w:t>potential</w:t>
      </w:r>
      <w:r>
        <w:rPr>
          <w:spacing w:val="-4"/>
          <w:sz w:val="24"/>
        </w:rPr>
        <w:t> </w:t>
      </w:r>
      <w:r>
        <w:rPr>
          <w:sz w:val="24"/>
        </w:rPr>
        <w:t>as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51"/>
          <w:sz w:val="24"/>
        </w:rPr>
        <w:t> </w:t>
      </w:r>
      <w:r>
        <w:rPr>
          <w:sz w:val="24"/>
        </w:rPr>
        <w:t>redox</w:t>
      </w:r>
      <w:r>
        <w:rPr>
          <w:spacing w:val="-2"/>
          <w:sz w:val="24"/>
        </w:rPr>
        <w:t> </w:t>
      </w:r>
      <w:r>
        <w:rPr>
          <w:sz w:val="24"/>
        </w:rPr>
        <w:t>proxy.</w:t>
      </w:r>
    </w:p>
    <w:p>
      <w:pPr>
        <w:pStyle w:val="ListParagraph"/>
        <w:numPr>
          <w:ilvl w:val="2"/>
          <w:numId w:val="4"/>
        </w:numPr>
        <w:tabs>
          <w:tab w:pos="840" w:val="left" w:leader="none"/>
        </w:tabs>
        <w:spacing w:line="480" w:lineRule="auto" w:before="160" w:after="0"/>
        <w:ind w:left="840" w:right="1577" w:hanging="360"/>
        <w:jc w:val="left"/>
        <w:rPr>
          <w:sz w:val="24"/>
        </w:rPr>
      </w:pPr>
      <w:r>
        <w:rPr>
          <w:sz w:val="24"/>
        </w:rPr>
        <w:t>Use</w:t>
      </w:r>
      <w:r>
        <w:rPr>
          <w:spacing w:val="-2"/>
          <w:sz w:val="24"/>
        </w:rPr>
        <w:t> </w:t>
      </w:r>
      <w:r>
        <w:rPr>
          <w:sz w:val="24"/>
        </w:rPr>
        <w:t>δ</w:t>
      </w:r>
      <w:r>
        <w:rPr>
          <w:sz w:val="24"/>
          <w:vertAlign w:val="superscript"/>
        </w:rPr>
        <w:t>13</w:t>
      </w:r>
      <w:r>
        <w:rPr>
          <w:sz w:val="24"/>
          <w:vertAlign w:val="baseline"/>
        </w:rPr>
        <w:t>C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isotope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curve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and other</w:t>
      </w:r>
      <w:r>
        <w:rPr>
          <w:spacing w:val="-3"/>
          <w:sz w:val="24"/>
          <w:vertAlign w:val="baseline"/>
        </w:rPr>
        <w:t> </w:t>
      </w:r>
      <w:r>
        <w:rPr>
          <w:sz w:val="24"/>
          <w:vertAlign w:val="baseline"/>
        </w:rPr>
        <w:t>biomarkers</w:t>
      </w:r>
      <w:r>
        <w:rPr>
          <w:spacing w:val="-4"/>
          <w:sz w:val="24"/>
          <w:vertAlign w:val="baseline"/>
        </w:rPr>
        <w:t> </w:t>
      </w:r>
      <w:r>
        <w:rPr>
          <w:sz w:val="24"/>
          <w:vertAlign w:val="baseline"/>
        </w:rPr>
        <w:t>to</w:t>
      </w:r>
      <w:r>
        <w:rPr>
          <w:spacing w:val="-3"/>
          <w:sz w:val="24"/>
          <w:vertAlign w:val="baseline"/>
        </w:rPr>
        <w:t> </w:t>
      </w:r>
      <w:r>
        <w:rPr>
          <w:sz w:val="24"/>
          <w:vertAlign w:val="baseline"/>
        </w:rPr>
        <w:t>further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constrain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the</w:t>
      </w:r>
      <w:r>
        <w:rPr>
          <w:spacing w:val="-3"/>
          <w:sz w:val="24"/>
          <w:vertAlign w:val="baseline"/>
        </w:rPr>
        <w:t> </w:t>
      </w:r>
      <w:r>
        <w:rPr>
          <w:sz w:val="24"/>
          <w:vertAlign w:val="baseline"/>
        </w:rPr>
        <w:t>Frasnian-</w:t>
      </w:r>
      <w:r>
        <w:rPr>
          <w:spacing w:val="-52"/>
          <w:sz w:val="24"/>
          <w:vertAlign w:val="baseline"/>
        </w:rPr>
        <w:t> </w:t>
      </w:r>
      <w:r>
        <w:rPr>
          <w:sz w:val="24"/>
          <w:vertAlign w:val="baseline"/>
        </w:rPr>
        <w:t>Famennian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boundary.</w:t>
      </w:r>
    </w:p>
    <w:p>
      <w:pPr>
        <w:spacing w:after="0" w:line="480" w:lineRule="auto"/>
        <w:jc w:val="left"/>
        <w:rPr>
          <w:sz w:val="24"/>
        </w:rPr>
        <w:sectPr>
          <w:pgSz w:w="12240" w:h="15840"/>
          <w:pgMar w:header="0" w:footer="1014" w:top="1400" w:bottom="1200" w:left="1320" w:right="820"/>
        </w:sectPr>
      </w:pPr>
    </w:p>
    <w:p>
      <w:pPr>
        <w:pStyle w:val="ListParagraph"/>
        <w:numPr>
          <w:ilvl w:val="2"/>
          <w:numId w:val="4"/>
        </w:numPr>
        <w:tabs>
          <w:tab w:pos="840" w:val="left" w:leader="none"/>
        </w:tabs>
        <w:spacing w:line="480" w:lineRule="auto" w:before="39" w:after="0"/>
        <w:ind w:left="840" w:right="917" w:hanging="360"/>
        <w:jc w:val="left"/>
        <w:rPr>
          <w:sz w:val="24"/>
        </w:rPr>
      </w:pPr>
      <w:r>
        <w:rPr>
          <w:sz w:val="24"/>
        </w:rPr>
        <w:t>Construct the</w:t>
      </w:r>
      <w:r>
        <w:rPr>
          <w:spacing w:val="-3"/>
          <w:sz w:val="24"/>
        </w:rPr>
        <w:t> </w:t>
      </w:r>
      <w:r>
        <w:rPr>
          <w:sz w:val="24"/>
        </w:rPr>
        <w:t>evolution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water chemistry</w:t>
      </w:r>
      <w:r>
        <w:rPr>
          <w:spacing w:val="-4"/>
          <w:sz w:val="24"/>
        </w:rPr>
        <w:t> </w:t>
      </w:r>
      <w:r>
        <w:rPr>
          <w:sz w:val="24"/>
        </w:rPr>
        <w:t>during</w:t>
      </w:r>
      <w:r>
        <w:rPr>
          <w:spacing w:val="-4"/>
          <w:sz w:val="24"/>
        </w:rPr>
        <w:t> </w:t>
      </w:r>
      <w:r>
        <w:rPr>
          <w:sz w:val="24"/>
        </w:rPr>
        <w:t>Woodford</w:t>
      </w:r>
      <w:r>
        <w:rPr>
          <w:spacing w:val="-3"/>
          <w:sz w:val="24"/>
        </w:rPr>
        <w:t> </w:t>
      </w:r>
      <w:r>
        <w:rPr>
          <w:sz w:val="24"/>
        </w:rPr>
        <w:t>Shale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impact</w:t>
      </w:r>
      <w:r>
        <w:rPr>
          <w:spacing w:val="-3"/>
          <w:sz w:val="24"/>
        </w:rPr>
        <w:t> </w:t>
      </w:r>
      <w:r>
        <w:rPr>
          <w:sz w:val="24"/>
        </w:rPr>
        <w:t>on</w:t>
      </w:r>
      <w:r>
        <w:rPr>
          <w:spacing w:val="-51"/>
          <w:sz w:val="24"/>
        </w:rPr>
        <w:t> </w:t>
      </w:r>
      <w:r>
        <w:rPr>
          <w:sz w:val="24"/>
        </w:rPr>
        <w:t>planktonic microbial</w:t>
      </w:r>
      <w:r>
        <w:rPr>
          <w:spacing w:val="-1"/>
          <w:sz w:val="24"/>
        </w:rPr>
        <w:t> </w:t>
      </w:r>
      <w:r>
        <w:rPr>
          <w:sz w:val="24"/>
        </w:rPr>
        <w:t>communities.</w:t>
      </w:r>
    </w:p>
    <w:p>
      <w:pPr>
        <w:spacing w:after="0" w:line="480" w:lineRule="auto"/>
        <w:jc w:val="left"/>
        <w:rPr>
          <w:sz w:val="24"/>
        </w:rPr>
        <w:sectPr>
          <w:pgSz w:w="12240" w:h="15840"/>
          <w:pgMar w:header="0" w:footer="1014" w:top="1400" w:bottom="1200" w:left="1320" w:right="820"/>
        </w:sectPr>
      </w:pPr>
    </w:p>
    <w:p>
      <w:pPr>
        <w:pStyle w:val="Heading1"/>
      </w:pPr>
      <w:bookmarkStart w:name="_TOC_250005" w:id="1"/>
      <w:r>
        <w:rPr/>
        <w:t>CHAPTER</w:t>
      </w:r>
      <w:r>
        <w:rPr>
          <w:spacing w:val="-2"/>
        </w:rPr>
        <w:t> </w:t>
      </w:r>
      <w:bookmarkEnd w:id="1"/>
      <w:r>
        <w:rPr/>
        <w:t>II</w:t>
      </w:r>
    </w:p>
    <w:p>
      <w:pPr>
        <w:pStyle w:val="BodyText"/>
        <w:rPr>
          <w:b/>
          <w:sz w:val="20"/>
        </w:rPr>
      </w:pPr>
    </w:p>
    <w:p>
      <w:pPr>
        <w:pStyle w:val="Heading2"/>
        <w:numPr>
          <w:ilvl w:val="0"/>
          <w:numId w:val="5"/>
        </w:numPr>
        <w:tabs>
          <w:tab w:pos="363" w:val="left" w:leader="none"/>
        </w:tabs>
        <w:spacing w:line="240" w:lineRule="auto" w:before="209" w:after="0"/>
        <w:ind w:left="362" w:right="0" w:hanging="243"/>
        <w:jc w:val="left"/>
      </w:pPr>
      <w:bookmarkStart w:name="_TOC_250004" w:id="2"/>
      <w:bookmarkEnd w:id="2"/>
      <w:r>
        <w:rPr/>
        <w:t>Methods</w:t>
      </w:r>
    </w:p>
    <w:p>
      <w:pPr>
        <w:pStyle w:val="BodyText"/>
        <w:rPr>
          <w:b/>
        </w:rPr>
      </w:pPr>
    </w:p>
    <w:p>
      <w:pPr>
        <w:pStyle w:val="ListParagraph"/>
        <w:numPr>
          <w:ilvl w:val="1"/>
          <w:numId w:val="5"/>
        </w:numPr>
        <w:tabs>
          <w:tab w:pos="478" w:val="left" w:leader="none"/>
        </w:tabs>
        <w:spacing w:line="240" w:lineRule="auto" w:before="161" w:after="0"/>
        <w:ind w:left="477" w:right="0" w:hanging="358"/>
        <w:jc w:val="left"/>
        <w:rPr>
          <w:i/>
          <w:sz w:val="24"/>
        </w:rPr>
      </w:pPr>
      <w:r>
        <w:rPr>
          <w:i/>
          <w:sz w:val="24"/>
        </w:rPr>
        <w:t>Area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Study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sample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collection</w:t>
      </w:r>
    </w:p>
    <w:p>
      <w:pPr>
        <w:pStyle w:val="BodyText"/>
        <w:rPr>
          <w:i/>
        </w:rPr>
      </w:pPr>
    </w:p>
    <w:p>
      <w:pPr>
        <w:pStyle w:val="BodyText"/>
        <w:spacing w:line="480" w:lineRule="auto" w:before="158"/>
        <w:ind w:left="120" w:right="660" w:firstLine="706"/>
      </w:pPr>
      <w:r>
        <w:rPr/>
        <w:t>The core used was the Wyche-1 core taken from the Wyche Shale Pit located at UTM:</w:t>
      </w:r>
      <w:r>
        <w:rPr>
          <w:spacing w:val="1"/>
        </w:rPr>
        <w:t> </w:t>
      </w:r>
      <w:r>
        <w:rPr/>
        <w:t>14S X=7I6339 Y=3839956 (34.67875°N, -96.63864°E; Figure 11). Wyche-1 was drilled to be a</w:t>
      </w:r>
      <w:r>
        <w:rPr>
          <w:spacing w:val="1"/>
        </w:rPr>
        <w:t> </w:t>
      </w:r>
      <w:r>
        <w:rPr/>
        <w:t>research well, producing core and log data for the OU-Devon-Schlumberger enterprise. The</w:t>
      </w:r>
      <w:r>
        <w:rPr>
          <w:spacing w:val="1"/>
        </w:rPr>
        <w:t> </w:t>
      </w:r>
      <w:r>
        <w:rPr/>
        <w:t>total</w:t>
      </w:r>
      <w:r>
        <w:rPr>
          <w:spacing w:val="-4"/>
        </w:rPr>
        <w:t> </w:t>
      </w:r>
      <w:r>
        <w:rPr/>
        <w:t>core</w:t>
      </w:r>
      <w:r>
        <w:rPr>
          <w:spacing w:val="-3"/>
        </w:rPr>
        <w:t> </w:t>
      </w:r>
      <w:r>
        <w:rPr/>
        <w:t>length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approximately</w:t>
      </w:r>
      <w:r>
        <w:rPr>
          <w:spacing w:val="-3"/>
        </w:rPr>
        <w:t> </w:t>
      </w:r>
      <w:r>
        <w:rPr/>
        <w:t>200</w:t>
      </w:r>
      <w:r>
        <w:rPr>
          <w:spacing w:val="-2"/>
        </w:rPr>
        <w:t> </w:t>
      </w:r>
      <w:r>
        <w:rPr/>
        <w:t>ft.</w:t>
      </w:r>
      <w:r>
        <w:rPr>
          <w:spacing w:val="-2"/>
        </w:rPr>
        <w:t> </w:t>
      </w:r>
      <w:r>
        <w:rPr/>
        <w:t>long,</w:t>
      </w:r>
      <w:r>
        <w:rPr>
          <w:spacing w:val="-2"/>
        </w:rPr>
        <w:t> </w:t>
      </w:r>
      <w:r>
        <w:rPr/>
        <w:t>comprised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Woodford</w:t>
      </w:r>
      <w:r>
        <w:rPr>
          <w:spacing w:val="-3"/>
        </w:rPr>
        <w:t> </w:t>
      </w:r>
      <w:r>
        <w:rPr/>
        <w:t>Shale</w:t>
      </w:r>
      <w:r>
        <w:rPr>
          <w:spacing w:val="2"/>
        </w:rPr>
        <w:t> </w:t>
      </w:r>
      <w:r>
        <w:rPr/>
        <w:t>and</w:t>
      </w:r>
      <w:r>
        <w:rPr>
          <w:spacing w:val="-2"/>
        </w:rPr>
        <w:t> </w:t>
      </w:r>
      <w:r>
        <w:rPr/>
        <w:t>pre-Welden</w:t>
      </w:r>
      <w:r>
        <w:rPr>
          <w:spacing w:val="-51"/>
        </w:rPr>
        <w:t> </w:t>
      </w:r>
      <w:r>
        <w:rPr/>
        <w:t>formations. There are portions of the core missing due to previous research projects and</w:t>
      </w:r>
      <w:r>
        <w:rPr>
          <w:spacing w:val="1"/>
        </w:rPr>
        <w:t> </w:t>
      </w:r>
      <w:r>
        <w:rPr/>
        <w:t>analysis, with the remaining core stored in cardboard boxes. Thirty-one rock samples were</w:t>
      </w:r>
      <w:r>
        <w:rPr>
          <w:spacing w:val="1"/>
        </w:rPr>
        <w:t> </w:t>
      </w:r>
      <w:r>
        <w:rPr/>
        <w:t>collected from Dr. Roger Slatt’s core lab in Sarkey’s Energy Center located on the main</w:t>
      </w:r>
      <w:r>
        <w:rPr>
          <w:spacing w:val="1"/>
        </w:rPr>
        <w:t> </w:t>
      </w:r>
      <w:r>
        <w:rPr/>
        <w:t>University of Oklahoma campus. An additional thirty samples were obtained from a previous</w:t>
      </w:r>
      <w:r>
        <w:rPr>
          <w:spacing w:val="1"/>
        </w:rPr>
        <w:t> </w:t>
      </w:r>
      <w:r>
        <w:rPr/>
        <w:t>thesis that had been obtained from the same source. Samples were taken from the core in</w:t>
      </w:r>
      <w:r>
        <w:rPr>
          <w:spacing w:val="1"/>
        </w:rPr>
        <w:t> </w:t>
      </w:r>
      <w:r>
        <w:rPr/>
        <w:t>whole pieces or as small chips where a portion was taken, leaving at least half of the core</w:t>
      </w:r>
      <w:r>
        <w:rPr>
          <w:spacing w:val="1"/>
        </w:rPr>
        <w:t> </w:t>
      </w:r>
      <w:r>
        <w:rPr/>
        <w:t>remaining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further</w:t>
      </w:r>
      <w:r>
        <w:rPr>
          <w:spacing w:val="-1"/>
        </w:rPr>
        <w:t> </w:t>
      </w:r>
      <w:r>
        <w:rPr/>
        <w:t>study.</w:t>
      </w:r>
    </w:p>
    <w:p>
      <w:pPr>
        <w:spacing w:after="0" w:line="480" w:lineRule="auto"/>
        <w:sectPr>
          <w:pgSz w:w="12240" w:h="15840"/>
          <w:pgMar w:header="0" w:footer="1014" w:top="1400" w:bottom="1200" w:left="1320" w:right="820"/>
        </w:sectPr>
      </w:pPr>
    </w:p>
    <w:p>
      <w:pPr>
        <w:pStyle w:val="BodyText"/>
        <w:ind w:left="115"/>
        <w:rPr>
          <w:sz w:val="20"/>
        </w:rPr>
      </w:pPr>
      <w:r>
        <w:rPr>
          <w:sz w:val="20"/>
        </w:rPr>
        <w:drawing>
          <wp:inline distT="0" distB="0" distL="0" distR="0">
            <wp:extent cx="5979721" cy="3230879"/>
            <wp:effectExtent l="0" t="0" r="0" b="0"/>
            <wp:docPr id="21" name="image1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1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9721" cy="3230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3"/>
        <w:rPr>
          <w:sz w:val="11"/>
        </w:rPr>
      </w:pPr>
    </w:p>
    <w:p>
      <w:pPr>
        <w:spacing w:before="56"/>
        <w:ind w:left="120" w:right="747" w:firstLine="0"/>
        <w:jc w:val="left"/>
        <w:rPr>
          <w:sz w:val="22"/>
        </w:rPr>
      </w:pPr>
      <w:r>
        <w:rPr>
          <w:sz w:val="22"/>
        </w:rPr>
        <w:t>Figure</w:t>
      </w:r>
      <w:r>
        <w:rPr>
          <w:spacing w:val="-1"/>
          <w:sz w:val="22"/>
        </w:rPr>
        <w:t> </w:t>
      </w:r>
      <w:r>
        <w:rPr>
          <w:sz w:val="22"/>
        </w:rPr>
        <w:t>11.</w:t>
      </w:r>
      <w:r>
        <w:rPr>
          <w:spacing w:val="-3"/>
          <w:sz w:val="22"/>
        </w:rPr>
        <w:t> </w:t>
      </w:r>
      <w:r>
        <w:rPr>
          <w:sz w:val="22"/>
        </w:rPr>
        <w:t>Location</w:t>
      </w:r>
      <w:r>
        <w:rPr>
          <w:spacing w:val="-3"/>
          <w:sz w:val="22"/>
        </w:rPr>
        <w:t> </w:t>
      </w:r>
      <w:r>
        <w:rPr>
          <w:sz w:val="22"/>
        </w:rPr>
        <w:t>map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Wyche</w:t>
      </w:r>
      <w:r>
        <w:rPr>
          <w:spacing w:val="-1"/>
          <w:sz w:val="22"/>
        </w:rPr>
        <w:t> </w:t>
      </w:r>
      <w:r>
        <w:rPr>
          <w:sz w:val="22"/>
        </w:rPr>
        <w:t>Farm-1</w:t>
      </w:r>
      <w:r>
        <w:rPr>
          <w:spacing w:val="-1"/>
          <w:sz w:val="22"/>
        </w:rPr>
        <w:t> </w:t>
      </w:r>
      <w:r>
        <w:rPr>
          <w:sz w:val="22"/>
        </w:rPr>
        <w:t>core</w:t>
      </w:r>
      <w:r>
        <w:rPr>
          <w:spacing w:val="-3"/>
          <w:sz w:val="22"/>
        </w:rPr>
        <w:t> </w:t>
      </w:r>
      <w:r>
        <w:rPr>
          <w:sz w:val="22"/>
        </w:rPr>
        <w:t>in</w:t>
      </w:r>
      <w:r>
        <w:rPr>
          <w:spacing w:val="-4"/>
          <w:sz w:val="22"/>
        </w:rPr>
        <w:t> </w:t>
      </w:r>
      <w:r>
        <w:rPr>
          <w:sz w:val="22"/>
        </w:rPr>
        <w:t>Pontotoc County,</w:t>
      </w:r>
      <w:r>
        <w:rPr>
          <w:spacing w:val="-1"/>
          <w:sz w:val="22"/>
        </w:rPr>
        <w:t> </w:t>
      </w:r>
      <w:r>
        <w:rPr>
          <w:sz w:val="22"/>
        </w:rPr>
        <w:t>Oklahoma.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coordinates</w:t>
      </w:r>
      <w:r>
        <w:rPr>
          <w:spacing w:val="-3"/>
          <w:sz w:val="22"/>
        </w:rPr>
        <w:t> </w:t>
      </w:r>
      <w:r>
        <w:rPr>
          <w:sz w:val="22"/>
        </w:rPr>
        <w:t>on</w:t>
      </w:r>
      <w:r>
        <w:rPr>
          <w:spacing w:val="-46"/>
          <w:sz w:val="22"/>
        </w:rPr>
        <w:t> </w:t>
      </w:r>
      <w:r>
        <w:rPr>
          <w:sz w:val="22"/>
        </w:rPr>
        <w:t>the side of the air photo and topographic map are in Universal Transverse Mercator. (Turner et al.,</w:t>
      </w:r>
      <w:r>
        <w:rPr>
          <w:spacing w:val="1"/>
          <w:sz w:val="22"/>
        </w:rPr>
        <w:t> </w:t>
      </w:r>
      <w:r>
        <w:rPr>
          <w:sz w:val="22"/>
        </w:rPr>
        <w:t>2015)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4"/>
        </w:rPr>
      </w:pPr>
    </w:p>
    <w:tbl>
      <w:tblPr>
        <w:tblW w:w="0" w:type="auto"/>
        <w:jc w:val="left"/>
        <w:tblInd w:w="25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6"/>
        <w:gridCol w:w="900"/>
        <w:gridCol w:w="809"/>
        <w:gridCol w:w="1260"/>
        <w:gridCol w:w="811"/>
      </w:tblGrid>
      <w:tr>
        <w:trPr>
          <w:trHeight w:val="194" w:hRule="atLeast"/>
        </w:trPr>
        <w:tc>
          <w:tcPr>
            <w:tcW w:w="806" w:type="dxa"/>
            <w:shd w:val="clear" w:color="auto" w:fill="4472C3"/>
          </w:tcPr>
          <w:p>
            <w:pPr>
              <w:pStyle w:val="TableParagraph"/>
              <w:ind w:left="107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Sample</w:t>
            </w:r>
          </w:p>
        </w:tc>
        <w:tc>
          <w:tcPr>
            <w:tcW w:w="900" w:type="dxa"/>
            <w:shd w:val="clear" w:color="auto" w:fill="4472C3"/>
          </w:tcPr>
          <w:p>
            <w:pPr>
              <w:pStyle w:val="TableParagraph"/>
              <w:ind w:left="0" w:right="130"/>
              <w:jc w:val="righ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Depth</w:t>
            </w:r>
            <w:r>
              <w:rPr>
                <w:b/>
                <w:color w:val="FFFFFF"/>
                <w:spacing w:val="-1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(ft)</w:t>
            </w:r>
          </w:p>
        </w:tc>
        <w:tc>
          <w:tcPr>
            <w:tcW w:w="809" w:type="dxa"/>
            <w:shd w:val="clear" w:color="auto" w:fill="4472C3"/>
          </w:tcPr>
          <w:p>
            <w:pPr>
              <w:pStyle w:val="TableParagraph"/>
              <w:ind w:left="105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County</w:t>
            </w:r>
          </w:p>
        </w:tc>
        <w:tc>
          <w:tcPr>
            <w:tcW w:w="1260" w:type="dxa"/>
            <w:shd w:val="clear" w:color="auto" w:fill="4472C3"/>
          </w:tcPr>
          <w:p>
            <w:pPr>
              <w:pStyle w:val="TableParagraph"/>
              <w:ind w:left="0" w:right="130"/>
              <w:jc w:val="righ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Global</w:t>
            </w:r>
            <w:r>
              <w:rPr>
                <w:b/>
                <w:color w:val="FFFFFF"/>
                <w:spacing w:val="-2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Position</w:t>
            </w:r>
          </w:p>
        </w:tc>
        <w:tc>
          <w:tcPr>
            <w:tcW w:w="811" w:type="dxa"/>
            <w:shd w:val="clear" w:color="auto" w:fill="4472C3"/>
          </w:tcPr>
          <w:p>
            <w:pPr>
              <w:pStyle w:val="TableParagraph"/>
              <w:ind w:left="0" w:right="116"/>
              <w:jc w:val="righ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Member</w:t>
            </w:r>
          </w:p>
        </w:tc>
      </w:tr>
      <w:tr>
        <w:trPr>
          <w:trHeight w:val="196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WCH-1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0" w:right="96"/>
              <w:jc w:val="right"/>
              <w:rPr>
                <w:sz w:val="16"/>
              </w:rPr>
            </w:pPr>
            <w:r>
              <w:rPr>
                <w:sz w:val="16"/>
              </w:rPr>
              <w:t>74.00</w:t>
            </w:r>
          </w:p>
        </w:tc>
        <w:tc>
          <w:tcPr>
            <w:tcW w:w="809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105"/>
              <w:jc w:val="left"/>
              <w:rPr>
                <w:sz w:val="16"/>
              </w:rPr>
            </w:pPr>
            <w:r>
              <w:rPr>
                <w:sz w:val="16"/>
              </w:rPr>
              <w:t>Pontotoc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0" w:right="94"/>
              <w:jc w:val="right"/>
              <w:rPr>
                <w:sz w:val="16"/>
              </w:rPr>
            </w:pPr>
            <w:r>
              <w:rPr>
                <w:sz w:val="16"/>
              </w:rPr>
              <w:t>2N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6E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S2</w:t>
            </w:r>
          </w:p>
        </w:tc>
        <w:tc>
          <w:tcPr>
            <w:tcW w:w="811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0" w:right="98"/>
              <w:jc w:val="right"/>
              <w:rPr>
                <w:sz w:val="16"/>
              </w:rPr>
            </w:pPr>
            <w:r>
              <w:rPr>
                <w:sz w:val="16"/>
              </w:rPr>
              <w:t>Upper</w:t>
            </w: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6" w:lineRule="exact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WCH-2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left="0" w:right="96"/>
              <w:jc w:val="right"/>
              <w:rPr>
                <w:sz w:val="16"/>
              </w:rPr>
            </w:pPr>
            <w:r>
              <w:rPr>
                <w:sz w:val="16"/>
              </w:rPr>
              <w:t>75.50</w:t>
            </w:r>
          </w:p>
        </w:tc>
        <w:tc>
          <w:tcPr>
            <w:tcW w:w="809" w:type="dxa"/>
          </w:tcPr>
          <w:p>
            <w:pPr>
              <w:pStyle w:val="TableParagraph"/>
              <w:spacing w:line="176" w:lineRule="exact"/>
              <w:ind w:left="105"/>
              <w:jc w:val="left"/>
              <w:rPr>
                <w:sz w:val="16"/>
              </w:rPr>
            </w:pPr>
            <w:r>
              <w:rPr>
                <w:sz w:val="16"/>
              </w:rPr>
              <w:t>Pontotoc</w:t>
            </w:r>
          </w:p>
        </w:tc>
        <w:tc>
          <w:tcPr>
            <w:tcW w:w="1260" w:type="dxa"/>
          </w:tcPr>
          <w:p>
            <w:pPr>
              <w:pStyle w:val="TableParagraph"/>
              <w:spacing w:line="176" w:lineRule="exact"/>
              <w:ind w:left="0" w:right="94"/>
              <w:jc w:val="right"/>
              <w:rPr>
                <w:sz w:val="16"/>
              </w:rPr>
            </w:pPr>
            <w:r>
              <w:rPr>
                <w:sz w:val="16"/>
              </w:rPr>
              <w:t>2N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6E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S2</w:t>
            </w:r>
          </w:p>
        </w:tc>
        <w:tc>
          <w:tcPr>
            <w:tcW w:w="811" w:type="dxa"/>
          </w:tcPr>
          <w:p>
            <w:pPr>
              <w:pStyle w:val="TableParagraph"/>
              <w:spacing w:line="176" w:lineRule="exact"/>
              <w:ind w:left="0" w:right="98"/>
              <w:jc w:val="right"/>
              <w:rPr>
                <w:sz w:val="16"/>
              </w:rPr>
            </w:pPr>
            <w:r>
              <w:rPr>
                <w:sz w:val="16"/>
              </w:rPr>
              <w:t>Upper</w:t>
            </w:r>
          </w:p>
        </w:tc>
      </w:tr>
      <w:tr>
        <w:trPr>
          <w:trHeight w:val="193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WCH-3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left="0" w:right="96"/>
              <w:jc w:val="right"/>
              <w:rPr>
                <w:sz w:val="16"/>
              </w:rPr>
            </w:pPr>
            <w:r>
              <w:rPr>
                <w:sz w:val="16"/>
              </w:rPr>
              <w:t>77.08</w:t>
            </w:r>
          </w:p>
        </w:tc>
        <w:tc>
          <w:tcPr>
            <w:tcW w:w="809" w:type="dxa"/>
            <w:shd w:val="clear" w:color="auto" w:fill="D8E1F2"/>
          </w:tcPr>
          <w:p>
            <w:pPr>
              <w:pStyle w:val="TableParagraph"/>
              <w:ind w:left="105"/>
              <w:jc w:val="left"/>
              <w:rPr>
                <w:sz w:val="16"/>
              </w:rPr>
            </w:pPr>
            <w:r>
              <w:rPr>
                <w:sz w:val="16"/>
              </w:rPr>
              <w:t>Pontotoc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ind w:left="0" w:right="94"/>
              <w:jc w:val="right"/>
              <w:rPr>
                <w:sz w:val="16"/>
              </w:rPr>
            </w:pPr>
            <w:r>
              <w:rPr>
                <w:sz w:val="16"/>
              </w:rPr>
              <w:t>2N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6E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S2</w:t>
            </w:r>
          </w:p>
        </w:tc>
        <w:tc>
          <w:tcPr>
            <w:tcW w:w="811" w:type="dxa"/>
            <w:shd w:val="clear" w:color="auto" w:fill="D8E1F2"/>
          </w:tcPr>
          <w:p>
            <w:pPr>
              <w:pStyle w:val="TableParagraph"/>
              <w:ind w:left="0" w:right="98"/>
              <w:jc w:val="right"/>
              <w:rPr>
                <w:sz w:val="16"/>
              </w:rPr>
            </w:pPr>
            <w:r>
              <w:rPr>
                <w:sz w:val="16"/>
              </w:rPr>
              <w:t>Upper</w:t>
            </w: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6" w:lineRule="exact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WCH-4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left="0" w:right="96"/>
              <w:jc w:val="right"/>
              <w:rPr>
                <w:sz w:val="16"/>
              </w:rPr>
            </w:pPr>
            <w:r>
              <w:rPr>
                <w:sz w:val="16"/>
              </w:rPr>
              <w:t>78.00</w:t>
            </w:r>
          </w:p>
        </w:tc>
        <w:tc>
          <w:tcPr>
            <w:tcW w:w="809" w:type="dxa"/>
          </w:tcPr>
          <w:p>
            <w:pPr>
              <w:pStyle w:val="TableParagraph"/>
              <w:spacing w:line="176" w:lineRule="exact"/>
              <w:ind w:left="105"/>
              <w:jc w:val="left"/>
              <w:rPr>
                <w:sz w:val="16"/>
              </w:rPr>
            </w:pPr>
            <w:r>
              <w:rPr>
                <w:sz w:val="16"/>
              </w:rPr>
              <w:t>Pontotoc</w:t>
            </w:r>
          </w:p>
        </w:tc>
        <w:tc>
          <w:tcPr>
            <w:tcW w:w="1260" w:type="dxa"/>
          </w:tcPr>
          <w:p>
            <w:pPr>
              <w:pStyle w:val="TableParagraph"/>
              <w:spacing w:line="176" w:lineRule="exact"/>
              <w:ind w:left="0" w:right="94"/>
              <w:jc w:val="right"/>
              <w:rPr>
                <w:sz w:val="16"/>
              </w:rPr>
            </w:pPr>
            <w:r>
              <w:rPr>
                <w:sz w:val="16"/>
              </w:rPr>
              <w:t>2N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6E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S2</w:t>
            </w:r>
          </w:p>
        </w:tc>
        <w:tc>
          <w:tcPr>
            <w:tcW w:w="811" w:type="dxa"/>
          </w:tcPr>
          <w:p>
            <w:pPr>
              <w:pStyle w:val="TableParagraph"/>
              <w:spacing w:line="176" w:lineRule="exact"/>
              <w:ind w:left="0" w:right="98"/>
              <w:jc w:val="right"/>
              <w:rPr>
                <w:sz w:val="16"/>
              </w:rPr>
            </w:pPr>
            <w:r>
              <w:rPr>
                <w:sz w:val="16"/>
              </w:rPr>
              <w:t>Upper</w:t>
            </w:r>
          </w:p>
        </w:tc>
      </w:tr>
      <w:tr>
        <w:trPr>
          <w:trHeight w:val="193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WCH-5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left="0" w:right="96"/>
              <w:jc w:val="right"/>
              <w:rPr>
                <w:sz w:val="16"/>
              </w:rPr>
            </w:pPr>
            <w:r>
              <w:rPr>
                <w:sz w:val="16"/>
              </w:rPr>
              <w:t>79.67</w:t>
            </w:r>
          </w:p>
        </w:tc>
        <w:tc>
          <w:tcPr>
            <w:tcW w:w="809" w:type="dxa"/>
            <w:shd w:val="clear" w:color="auto" w:fill="D8E1F2"/>
          </w:tcPr>
          <w:p>
            <w:pPr>
              <w:pStyle w:val="TableParagraph"/>
              <w:ind w:left="105"/>
              <w:jc w:val="left"/>
              <w:rPr>
                <w:sz w:val="16"/>
              </w:rPr>
            </w:pPr>
            <w:r>
              <w:rPr>
                <w:sz w:val="16"/>
              </w:rPr>
              <w:t>Pontotoc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ind w:left="0" w:right="94"/>
              <w:jc w:val="right"/>
              <w:rPr>
                <w:sz w:val="16"/>
              </w:rPr>
            </w:pPr>
            <w:r>
              <w:rPr>
                <w:sz w:val="16"/>
              </w:rPr>
              <w:t>2N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6E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S2</w:t>
            </w:r>
          </w:p>
        </w:tc>
        <w:tc>
          <w:tcPr>
            <w:tcW w:w="811" w:type="dxa"/>
            <w:shd w:val="clear" w:color="auto" w:fill="D8E1F2"/>
          </w:tcPr>
          <w:p>
            <w:pPr>
              <w:pStyle w:val="TableParagraph"/>
              <w:ind w:left="0" w:right="98"/>
              <w:jc w:val="right"/>
              <w:rPr>
                <w:sz w:val="16"/>
              </w:rPr>
            </w:pPr>
            <w:r>
              <w:rPr>
                <w:sz w:val="16"/>
              </w:rPr>
              <w:t>Upper</w:t>
            </w: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6" w:lineRule="exact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WCH-6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left="0" w:right="96"/>
              <w:jc w:val="right"/>
              <w:rPr>
                <w:sz w:val="16"/>
              </w:rPr>
            </w:pPr>
            <w:r>
              <w:rPr>
                <w:sz w:val="16"/>
              </w:rPr>
              <w:t>80.67</w:t>
            </w:r>
          </w:p>
        </w:tc>
        <w:tc>
          <w:tcPr>
            <w:tcW w:w="809" w:type="dxa"/>
          </w:tcPr>
          <w:p>
            <w:pPr>
              <w:pStyle w:val="TableParagraph"/>
              <w:spacing w:line="176" w:lineRule="exact"/>
              <w:ind w:left="105"/>
              <w:jc w:val="left"/>
              <w:rPr>
                <w:sz w:val="16"/>
              </w:rPr>
            </w:pPr>
            <w:r>
              <w:rPr>
                <w:sz w:val="16"/>
              </w:rPr>
              <w:t>Pontotoc</w:t>
            </w:r>
          </w:p>
        </w:tc>
        <w:tc>
          <w:tcPr>
            <w:tcW w:w="1260" w:type="dxa"/>
          </w:tcPr>
          <w:p>
            <w:pPr>
              <w:pStyle w:val="TableParagraph"/>
              <w:spacing w:line="176" w:lineRule="exact"/>
              <w:ind w:left="0" w:right="94"/>
              <w:jc w:val="right"/>
              <w:rPr>
                <w:sz w:val="16"/>
              </w:rPr>
            </w:pPr>
            <w:r>
              <w:rPr>
                <w:sz w:val="16"/>
              </w:rPr>
              <w:t>2N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6E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S2</w:t>
            </w:r>
          </w:p>
        </w:tc>
        <w:tc>
          <w:tcPr>
            <w:tcW w:w="811" w:type="dxa"/>
          </w:tcPr>
          <w:p>
            <w:pPr>
              <w:pStyle w:val="TableParagraph"/>
              <w:spacing w:line="176" w:lineRule="exact"/>
              <w:ind w:left="0" w:right="98"/>
              <w:jc w:val="right"/>
              <w:rPr>
                <w:sz w:val="16"/>
              </w:rPr>
            </w:pPr>
            <w:r>
              <w:rPr>
                <w:sz w:val="16"/>
              </w:rPr>
              <w:t>Upper</w:t>
            </w:r>
          </w:p>
        </w:tc>
      </w:tr>
      <w:tr>
        <w:trPr>
          <w:trHeight w:val="194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WCH-7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left="0" w:right="96"/>
              <w:jc w:val="right"/>
              <w:rPr>
                <w:sz w:val="16"/>
              </w:rPr>
            </w:pPr>
            <w:r>
              <w:rPr>
                <w:sz w:val="16"/>
              </w:rPr>
              <w:t>81.00</w:t>
            </w:r>
          </w:p>
        </w:tc>
        <w:tc>
          <w:tcPr>
            <w:tcW w:w="809" w:type="dxa"/>
            <w:shd w:val="clear" w:color="auto" w:fill="D8E1F2"/>
          </w:tcPr>
          <w:p>
            <w:pPr>
              <w:pStyle w:val="TableParagraph"/>
              <w:ind w:left="105"/>
              <w:jc w:val="left"/>
              <w:rPr>
                <w:sz w:val="16"/>
              </w:rPr>
            </w:pPr>
            <w:r>
              <w:rPr>
                <w:sz w:val="16"/>
              </w:rPr>
              <w:t>Pontotoc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ind w:left="0" w:right="94"/>
              <w:jc w:val="right"/>
              <w:rPr>
                <w:sz w:val="16"/>
              </w:rPr>
            </w:pPr>
            <w:r>
              <w:rPr>
                <w:sz w:val="16"/>
              </w:rPr>
              <w:t>2N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6E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S2</w:t>
            </w:r>
          </w:p>
        </w:tc>
        <w:tc>
          <w:tcPr>
            <w:tcW w:w="811" w:type="dxa"/>
            <w:shd w:val="clear" w:color="auto" w:fill="D8E1F2"/>
          </w:tcPr>
          <w:p>
            <w:pPr>
              <w:pStyle w:val="TableParagraph"/>
              <w:ind w:left="0" w:right="98"/>
              <w:jc w:val="right"/>
              <w:rPr>
                <w:sz w:val="16"/>
              </w:rPr>
            </w:pPr>
            <w:r>
              <w:rPr>
                <w:sz w:val="16"/>
              </w:rPr>
              <w:t>Upper</w:t>
            </w: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6" w:lineRule="exact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WCH-8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left="0" w:right="96"/>
              <w:jc w:val="right"/>
              <w:rPr>
                <w:sz w:val="16"/>
              </w:rPr>
            </w:pPr>
            <w:r>
              <w:rPr>
                <w:sz w:val="16"/>
              </w:rPr>
              <w:t>84.50</w:t>
            </w:r>
          </w:p>
        </w:tc>
        <w:tc>
          <w:tcPr>
            <w:tcW w:w="809" w:type="dxa"/>
          </w:tcPr>
          <w:p>
            <w:pPr>
              <w:pStyle w:val="TableParagraph"/>
              <w:spacing w:line="176" w:lineRule="exact"/>
              <w:ind w:left="105"/>
              <w:jc w:val="left"/>
              <w:rPr>
                <w:sz w:val="16"/>
              </w:rPr>
            </w:pPr>
            <w:r>
              <w:rPr>
                <w:sz w:val="16"/>
              </w:rPr>
              <w:t>Pontotoc</w:t>
            </w:r>
          </w:p>
        </w:tc>
        <w:tc>
          <w:tcPr>
            <w:tcW w:w="1260" w:type="dxa"/>
          </w:tcPr>
          <w:p>
            <w:pPr>
              <w:pStyle w:val="TableParagraph"/>
              <w:spacing w:line="176" w:lineRule="exact"/>
              <w:ind w:left="0" w:right="94"/>
              <w:jc w:val="right"/>
              <w:rPr>
                <w:sz w:val="16"/>
              </w:rPr>
            </w:pPr>
            <w:r>
              <w:rPr>
                <w:sz w:val="16"/>
              </w:rPr>
              <w:t>2N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6E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S2</w:t>
            </w:r>
          </w:p>
        </w:tc>
        <w:tc>
          <w:tcPr>
            <w:tcW w:w="811" w:type="dxa"/>
          </w:tcPr>
          <w:p>
            <w:pPr>
              <w:pStyle w:val="TableParagraph"/>
              <w:spacing w:line="176" w:lineRule="exact"/>
              <w:ind w:left="0" w:right="98"/>
              <w:jc w:val="right"/>
              <w:rPr>
                <w:sz w:val="16"/>
              </w:rPr>
            </w:pPr>
            <w:r>
              <w:rPr>
                <w:sz w:val="16"/>
              </w:rPr>
              <w:t>Upper</w:t>
            </w:r>
          </w:p>
        </w:tc>
      </w:tr>
      <w:tr>
        <w:trPr>
          <w:trHeight w:val="194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WCH-9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left="0" w:right="96"/>
              <w:jc w:val="right"/>
              <w:rPr>
                <w:sz w:val="16"/>
              </w:rPr>
            </w:pPr>
            <w:r>
              <w:rPr>
                <w:sz w:val="16"/>
              </w:rPr>
              <w:t>88.00</w:t>
            </w:r>
          </w:p>
        </w:tc>
        <w:tc>
          <w:tcPr>
            <w:tcW w:w="809" w:type="dxa"/>
            <w:shd w:val="clear" w:color="auto" w:fill="D8E1F2"/>
          </w:tcPr>
          <w:p>
            <w:pPr>
              <w:pStyle w:val="TableParagraph"/>
              <w:ind w:left="105"/>
              <w:jc w:val="left"/>
              <w:rPr>
                <w:sz w:val="16"/>
              </w:rPr>
            </w:pPr>
            <w:r>
              <w:rPr>
                <w:sz w:val="16"/>
              </w:rPr>
              <w:t>Pontotoc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ind w:left="0" w:right="94"/>
              <w:jc w:val="right"/>
              <w:rPr>
                <w:sz w:val="16"/>
              </w:rPr>
            </w:pPr>
            <w:r>
              <w:rPr>
                <w:sz w:val="16"/>
              </w:rPr>
              <w:t>2N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6E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S2</w:t>
            </w:r>
          </w:p>
        </w:tc>
        <w:tc>
          <w:tcPr>
            <w:tcW w:w="811" w:type="dxa"/>
            <w:shd w:val="clear" w:color="auto" w:fill="D8E1F2"/>
          </w:tcPr>
          <w:p>
            <w:pPr>
              <w:pStyle w:val="TableParagraph"/>
              <w:ind w:left="0" w:right="98"/>
              <w:jc w:val="right"/>
              <w:rPr>
                <w:sz w:val="16"/>
              </w:rPr>
            </w:pPr>
            <w:r>
              <w:rPr>
                <w:sz w:val="16"/>
              </w:rPr>
              <w:t>Upper</w:t>
            </w: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5" w:lineRule="exact" w:before="1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WCH-10</w:t>
            </w:r>
          </w:p>
        </w:tc>
        <w:tc>
          <w:tcPr>
            <w:tcW w:w="900" w:type="dxa"/>
          </w:tcPr>
          <w:p>
            <w:pPr>
              <w:pStyle w:val="TableParagraph"/>
              <w:spacing w:line="175" w:lineRule="exact" w:before="1"/>
              <w:ind w:left="0" w:right="96"/>
              <w:jc w:val="right"/>
              <w:rPr>
                <w:sz w:val="16"/>
              </w:rPr>
            </w:pPr>
            <w:r>
              <w:rPr>
                <w:sz w:val="16"/>
              </w:rPr>
              <w:t>91.50</w:t>
            </w:r>
          </w:p>
        </w:tc>
        <w:tc>
          <w:tcPr>
            <w:tcW w:w="809" w:type="dxa"/>
          </w:tcPr>
          <w:p>
            <w:pPr>
              <w:pStyle w:val="TableParagraph"/>
              <w:spacing w:line="175" w:lineRule="exact" w:before="1"/>
              <w:ind w:left="105"/>
              <w:jc w:val="left"/>
              <w:rPr>
                <w:sz w:val="16"/>
              </w:rPr>
            </w:pPr>
            <w:r>
              <w:rPr>
                <w:sz w:val="16"/>
              </w:rPr>
              <w:t>Pontotoc</w:t>
            </w:r>
          </w:p>
        </w:tc>
        <w:tc>
          <w:tcPr>
            <w:tcW w:w="1260" w:type="dxa"/>
          </w:tcPr>
          <w:p>
            <w:pPr>
              <w:pStyle w:val="TableParagraph"/>
              <w:spacing w:line="175" w:lineRule="exact" w:before="1"/>
              <w:ind w:left="0" w:right="94"/>
              <w:jc w:val="right"/>
              <w:rPr>
                <w:sz w:val="16"/>
              </w:rPr>
            </w:pPr>
            <w:r>
              <w:rPr>
                <w:sz w:val="16"/>
              </w:rPr>
              <w:t>2N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6E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S2</w:t>
            </w:r>
          </w:p>
        </w:tc>
        <w:tc>
          <w:tcPr>
            <w:tcW w:w="811" w:type="dxa"/>
          </w:tcPr>
          <w:p>
            <w:pPr>
              <w:pStyle w:val="TableParagraph"/>
              <w:spacing w:line="175" w:lineRule="exact" w:before="1"/>
              <w:ind w:left="0" w:right="98"/>
              <w:jc w:val="right"/>
              <w:rPr>
                <w:sz w:val="16"/>
              </w:rPr>
            </w:pPr>
            <w:r>
              <w:rPr>
                <w:sz w:val="16"/>
              </w:rPr>
              <w:t>Upper</w:t>
            </w:r>
          </w:p>
        </w:tc>
      </w:tr>
      <w:tr>
        <w:trPr>
          <w:trHeight w:val="193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Wch-40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left="0" w:right="96"/>
              <w:jc w:val="right"/>
              <w:rPr>
                <w:sz w:val="16"/>
              </w:rPr>
            </w:pPr>
            <w:r>
              <w:rPr>
                <w:sz w:val="16"/>
              </w:rPr>
              <w:t>93.83</w:t>
            </w:r>
          </w:p>
        </w:tc>
        <w:tc>
          <w:tcPr>
            <w:tcW w:w="809" w:type="dxa"/>
            <w:shd w:val="clear" w:color="auto" w:fill="D8E1F2"/>
          </w:tcPr>
          <w:p>
            <w:pPr>
              <w:pStyle w:val="TableParagraph"/>
              <w:ind w:left="105"/>
              <w:jc w:val="left"/>
              <w:rPr>
                <w:sz w:val="16"/>
              </w:rPr>
            </w:pPr>
            <w:r>
              <w:rPr>
                <w:sz w:val="16"/>
              </w:rPr>
              <w:t>Pontotoc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ind w:left="0" w:right="94"/>
              <w:jc w:val="right"/>
              <w:rPr>
                <w:sz w:val="16"/>
              </w:rPr>
            </w:pPr>
            <w:r>
              <w:rPr>
                <w:sz w:val="16"/>
              </w:rPr>
              <w:t>2N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6E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S2</w:t>
            </w:r>
          </w:p>
        </w:tc>
        <w:tc>
          <w:tcPr>
            <w:tcW w:w="811" w:type="dxa"/>
            <w:shd w:val="clear" w:color="auto" w:fill="D8E1F2"/>
          </w:tcPr>
          <w:p>
            <w:pPr>
              <w:pStyle w:val="TableParagraph"/>
              <w:ind w:left="0" w:right="98"/>
              <w:jc w:val="right"/>
              <w:rPr>
                <w:sz w:val="16"/>
              </w:rPr>
            </w:pPr>
            <w:r>
              <w:rPr>
                <w:sz w:val="16"/>
              </w:rPr>
              <w:t>Upper</w:t>
            </w: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5" w:lineRule="exact" w:before="1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WCH-11</w:t>
            </w:r>
          </w:p>
        </w:tc>
        <w:tc>
          <w:tcPr>
            <w:tcW w:w="900" w:type="dxa"/>
          </w:tcPr>
          <w:p>
            <w:pPr>
              <w:pStyle w:val="TableParagraph"/>
              <w:spacing w:line="175" w:lineRule="exact" w:before="1"/>
              <w:ind w:left="0" w:right="96"/>
              <w:jc w:val="right"/>
              <w:rPr>
                <w:sz w:val="16"/>
              </w:rPr>
            </w:pPr>
            <w:r>
              <w:rPr>
                <w:sz w:val="16"/>
              </w:rPr>
              <w:t>94.33</w:t>
            </w:r>
          </w:p>
        </w:tc>
        <w:tc>
          <w:tcPr>
            <w:tcW w:w="809" w:type="dxa"/>
          </w:tcPr>
          <w:p>
            <w:pPr>
              <w:pStyle w:val="TableParagraph"/>
              <w:spacing w:line="175" w:lineRule="exact" w:before="1"/>
              <w:ind w:left="105"/>
              <w:jc w:val="left"/>
              <w:rPr>
                <w:sz w:val="16"/>
              </w:rPr>
            </w:pPr>
            <w:r>
              <w:rPr>
                <w:sz w:val="16"/>
              </w:rPr>
              <w:t>Pontotoc</w:t>
            </w:r>
          </w:p>
        </w:tc>
        <w:tc>
          <w:tcPr>
            <w:tcW w:w="1260" w:type="dxa"/>
          </w:tcPr>
          <w:p>
            <w:pPr>
              <w:pStyle w:val="TableParagraph"/>
              <w:spacing w:line="175" w:lineRule="exact" w:before="1"/>
              <w:ind w:left="0" w:right="94"/>
              <w:jc w:val="right"/>
              <w:rPr>
                <w:sz w:val="16"/>
              </w:rPr>
            </w:pPr>
            <w:r>
              <w:rPr>
                <w:sz w:val="16"/>
              </w:rPr>
              <w:t>2N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6E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S2</w:t>
            </w:r>
          </w:p>
        </w:tc>
        <w:tc>
          <w:tcPr>
            <w:tcW w:w="811" w:type="dxa"/>
          </w:tcPr>
          <w:p>
            <w:pPr>
              <w:pStyle w:val="TableParagraph"/>
              <w:spacing w:line="175" w:lineRule="exact" w:before="1"/>
              <w:ind w:left="0" w:right="98"/>
              <w:jc w:val="right"/>
              <w:rPr>
                <w:sz w:val="16"/>
              </w:rPr>
            </w:pPr>
            <w:r>
              <w:rPr>
                <w:sz w:val="16"/>
              </w:rPr>
              <w:t>Upper</w:t>
            </w:r>
          </w:p>
        </w:tc>
      </w:tr>
      <w:tr>
        <w:trPr>
          <w:trHeight w:val="196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spacing w:line="176" w:lineRule="exact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WCH-12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left="0" w:right="96"/>
              <w:jc w:val="right"/>
              <w:rPr>
                <w:sz w:val="16"/>
              </w:rPr>
            </w:pPr>
            <w:r>
              <w:rPr>
                <w:sz w:val="16"/>
              </w:rPr>
              <w:t>98.00</w:t>
            </w:r>
          </w:p>
        </w:tc>
        <w:tc>
          <w:tcPr>
            <w:tcW w:w="809" w:type="dxa"/>
            <w:shd w:val="clear" w:color="auto" w:fill="D8E1F2"/>
          </w:tcPr>
          <w:p>
            <w:pPr>
              <w:pStyle w:val="TableParagraph"/>
              <w:spacing w:line="176" w:lineRule="exact"/>
              <w:ind w:left="105"/>
              <w:jc w:val="left"/>
              <w:rPr>
                <w:sz w:val="16"/>
              </w:rPr>
            </w:pPr>
            <w:r>
              <w:rPr>
                <w:sz w:val="16"/>
              </w:rPr>
              <w:t>Pontotoc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spacing w:line="176" w:lineRule="exact"/>
              <w:ind w:left="0" w:right="94"/>
              <w:jc w:val="right"/>
              <w:rPr>
                <w:sz w:val="16"/>
              </w:rPr>
            </w:pPr>
            <w:r>
              <w:rPr>
                <w:sz w:val="16"/>
              </w:rPr>
              <w:t>2N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6E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S2</w:t>
            </w:r>
          </w:p>
        </w:tc>
        <w:tc>
          <w:tcPr>
            <w:tcW w:w="811" w:type="dxa"/>
            <w:shd w:val="clear" w:color="auto" w:fill="D8E1F2"/>
          </w:tcPr>
          <w:p>
            <w:pPr>
              <w:pStyle w:val="TableParagraph"/>
              <w:spacing w:line="176" w:lineRule="exact"/>
              <w:ind w:left="0" w:right="98"/>
              <w:jc w:val="right"/>
              <w:rPr>
                <w:sz w:val="16"/>
              </w:rPr>
            </w:pPr>
            <w:r>
              <w:rPr>
                <w:sz w:val="16"/>
              </w:rPr>
              <w:t>Upper</w:t>
            </w:r>
          </w:p>
        </w:tc>
      </w:tr>
      <w:tr>
        <w:trPr>
          <w:trHeight w:val="193" w:hRule="atLeast"/>
        </w:trPr>
        <w:tc>
          <w:tcPr>
            <w:tcW w:w="806" w:type="dxa"/>
          </w:tcPr>
          <w:p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WCH-13</w:t>
            </w:r>
          </w:p>
        </w:tc>
        <w:tc>
          <w:tcPr>
            <w:tcW w:w="900" w:type="dxa"/>
          </w:tcPr>
          <w:p>
            <w:pPr>
              <w:pStyle w:val="TableParagraph"/>
              <w:ind w:left="0" w:right="97"/>
              <w:jc w:val="right"/>
              <w:rPr>
                <w:sz w:val="16"/>
              </w:rPr>
            </w:pPr>
            <w:r>
              <w:rPr>
                <w:sz w:val="16"/>
              </w:rPr>
              <w:t>102.17</w:t>
            </w:r>
          </w:p>
        </w:tc>
        <w:tc>
          <w:tcPr>
            <w:tcW w:w="809" w:type="dxa"/>
          </w:tcPr>
          <w:p>
            <w:pPr>
              <w:pStyle w:val="TableParagraph"/>
              <w:ind w:left="105"/>
              <w:jc w:val="left"/>
              <w:rPr>
                <w:sz w:val="16"/>
              </w:rPr>
            </w:pPr>
            <w:r>
              <w:rPr>
                <w:sz w:val="16"/>
              </w:rPr>
              <w:t>Pontotoc</w:t>
            </w:r>
          </w:p>
        </w:tc>
        <w:tc>
          <w:tcPr>
            <w:tcW w:w="1260" w:type="dxa"/>
          </w:tcPr>
          <w:p>
            <w:pPr>
              <w:pStyle w:val="TableParagraph"/>
              <w:ind w:left="0" w:right="94"/>
              <w:jc w:val="right"/>
              <w:rPr>
                <w:sz w:val="16"/>
              </w:rPr>
            </w:pPr>
            <w:r>
              <w:rPr>
                <w:sz w:val="16"/>
              </w:rPr>
              <w:t>2N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6E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S2</w:t>
            </w:r>
          </w:p>
        </w:tc>
        <w:tc>
          <w:tcPr>
            <w:tcW w:w="811" w:type="dxa"/>
          </w:tcPr>
          <w:p>
            <w:pPr>
              <w:pStyle w:val="TableParagraph"/>
              <w:ind w:left="0" w:right="98"/>
              <w:jc w:val="right"/>
              <w:rPr>
                <w:sz w:val="16"/>
              </w:rPr>
            </w:pPr>
            <w:r>
              <w:rPr>
                <w:sz w:val="16"/>
              </w:rPr>
              <w:t>Upper</w:t>
            </w:r>
          </w:p>
        </w:tc>
      </w:tr>
      <w:tr>
        <w:trPr>
          <w:trHeight w:val="196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spacing w:line="176" w:lineRule="exact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WCH-14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left="0" w:right="97"/>
              <w:jc w:val="right"/>
              <w:rPr>
                <w:sz w:val="16"/>
              </w:rPr>
            </w:pPr>
            <w:r>
              <w:rPr>
                <w:sz w:val="16"/>
              </w:rPr>
              <w:t>105.50</w:t>
            </w:r>
          </w:p>
        </w:tc>
        <w:tc>
          <w:tcPr>
            <w:tcW w:w="809" w:type="dxa"/>
            <w:shd w:val="clear" w:color="auto" w:fill="D8E1F2"/>
          </w:tcPr>
          <w:p>
            <w:pPr>
              <w:pStyle w:val="TableParagraph"/>
              <w:spacing w:line="176" w:lineRule="exact"/>
              <w:ind w:left="105"/>
              <w:jc w:val="left"/>
              <w:rPr>
                <w:sz w:val="16"/>
              </w:rPr>
            </w:pPr>
            <w:r>
              <w:rPr>
                <w:sz w:val="16"/>
              </w:rPr>
              <w:t>Pontotoc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spacing w:line="176" w:lineRule="exact"/>
              <w:ind w:left="0" w:right="94"/>
              <w:jc w:val="right"/>
              <w:rPr>
                <w:sz w:val="16"/>
              </w:rPr>
            </w:pPr>
            <w:r>
              <w:rPr>
                <w:sz w:val="16"/>
              </w:rPr>
              <w:t>2N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6E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S2</w:t>
            </w:r>
          </w:p>
        </w:tc>
        <w:tc>
          <w:tcPr>
            <w:tcW w:w="811" w:type="dxa"/>
            <w:shd w:val="clear" w:color="auto" w:fill="D8E1F2"/>
          </w:tcPr>
          <w:p>
            <w:pPr>
              <w:pStyle w:val="TableParagraph"/>
              <w:spacing w:line="176" w:lineRule="exact"/>
              <w:ind w:left="0" w:right="98"/>
              <w:jc w:val="right"/>
              <w:rPr>
                <w:sz w:val="16"/>
              </w:rPr>
            </w:pPr>
            <w:r>
              <w:rPr>
                <w:sz w:val="16"/>
              </w:rPr>
              <w:t>Upper</w:t>
            </w:r>
          </w:p>
        </w:tc>
      </w:tr>
      <w:tr>
        <w:trPr>
          <w:trHeight w:val="193" w:hRule="atLeast"/>
        </w:trPr>
        <w:tc>
          <w:tcPr>
            <w:tcW w:w="806" w:type="dxa"/>
          </w:tcPr>
          <w:p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WCH-41</w:t>
            </w:r>
          </w:p>
        </w:tc>
        <w:tc>
          <w:tcPr>
            <w:tcW w:w="900" w:type="dxa"/>
          </w:tcPr>
          <w:p>
            <w:pPr>
              <w:pStyle w:val="TableParagraph"/>
              <w:ind w:left="0" w:right="97"/>
              <w:jc w:val="right"/>
              <w:rPr>
                <w:sz w:val="16"/>
              </w:rPr>
            </w:pPr>
            <w:r>
              <w:rPr>
                <w:sz w:val="16"/>
              </w:rPr>
              <w:t>109.17</w:t>
            </w:r>
          </w:p>
        </w:tc>
        <w:tc>
          <w:tcPr>
            <w:tcW w:w="809" w:type="dxa"/>
          </w:tcPr>
          <w:p>
            <w:pPr>
              <w:pStyle w:val="TableParagraph"/>
              <w:ind w:left="105"/>
              <w:jc w:val="left"/>
              <w:rPr>
                <w:sz w:val="16"/>
              </w:rPr>
            </w:pPr>
            <w:r>
              <w:rPr>
                <w:sz w:val="16"/>
              </w:rPr>
              <w:t>Pontotoc</w:t>
            </w:r>
          </w:p>
        </w:tc>
        <w:tc>
          <w:tcPr>
            <w:tcW w:w="1260" w:type="dxa"/>
          </w:tcPr>
          <w:p>
            <w:pPr>
              <w:pStyle w:val="TableParagraph"/>
              <w:ind w:left="0" w:right="94"/>
              <w:jc w:val="right"/>
              <w:rPr>
                <w:sz w:val="16"/>
              </w:rPr>
            </w:pPr>
            <w:r>
              <w:rPr>
                <w:sz w:val="16"/>
              </w:rPr>
              <w:t>2N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6E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S2</w:t>
            </w:r>
          </w:p>
        </w:tc>
        <w:tc>
          <w:tcPr>
            <w:tcW w:w="811" w:type="dxa"/>
          </w:tcPr>
          <w:p>
            <w:pPr>
              <w:pStyle w:val="TableParagraph"/>
              <w:ind w:left="0" w:right="98"/>
              <w:jc w:val="right"/>
              <w:rPr>
                <w:sz w:val="16"/>
              </w:rPr>
            </w:pPr>
            <w:r>
              <w:rPr>
                <w:sz w:val="16"/>
              </w:rPr>
              <w:t>Upper</w:t>
            </w:r>
          </w:p>
        </w:tc>
      </w:tr>
      <w:tr>
        <w:trPr>
          <w:trHeight w:val="196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spacing w:line="176" w:lineRule="exact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WCH-42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left="0" w:right="97"/>
              <w:jc w:val="right"/>
              <w:rPr>
                <w:sz w:val="16"/>
              </w:rPr>
            </w:pPr>
            <w:r>
              <w:rPr>
                <w:sz w:val="16"/>
              </w:rPr>
              <w:t>112.50</w:t>
            </w:r>
          </w:p>
        </w:tc>
        <w:tc>
          <w:tcPr>
            <w:tcW w:w="809" w:type="dxa"/>
            <w:shd w:val="clear" w:color="auto" w:fill="D8E1F2"/>
          </w:tcPr>
          <w:p>
            <w:pPr>
              <w:pStyle w:val="TableParagraph"/>
              <w:spacing w:line="176" w:lineRule="exact"/>
              <w:ind w:left="105"/>
              <w:jc w:val="left"/>
              <w:rPr>
                <w:sz w:val="16"/>
              </w:rPr>
            </w:pPr>
            <w:r>
              <w:rPr>
                <w:sz w:val="16"/>
              </w:rPr>
              <w:t>Pontotoc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spacing w:line="176" w:lineRule="exact"/>
              <w:ind w:left="0" w:right="94"/>
              <w:jc w:val="right"/>
              <w:rPr>
                <w:sz w:val="16"/>
              </w:rPr>
            </w:pPr>
            <w:r>
              <w:rPr>
                <w:sz w:val="16"/>
              </w:rPr>
              <w:t>2N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6E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S2</w:t>
            </w:r>
          </w:p>
        </w:tc>
        <w:tc>
          <w:tcPr>
            <w:tcW w:w="811" w:type="dxa"/>
            <w:shd w:val="clear" w:color="auto" w:fill="D8E1F2"/>
          </w:tcPr>
          <w:p>
            <w:pPr>
              <w:pStyle w:val="TableParagraph"/>
              <w:spacing w:line="176" w:lineRule="exact"/>
              <w:ind w:left="0" w:right="98"/>
              <w:jc w:val="right"/>
              <w:rPr>
                <w:sz w:val="16"/>
              </w:rPr>
            </w:pPr>
            <w:r>
              <w:rPr>
                <w:sz w:val="16"/>
              </w:rPr>
              <w:t>Upper</w:t>
            </w:r>
          </w:p>
        </w:tc>
      </w:tr>
      <w:tr>
        <w:trPr>
          <w:trHeight w:val="194" w:hRule="atLeast"/>
        </w:trPr>
        <w:tc>
          <w:tcPr>
            <w:tcW w:w="806" w:type="dxa"/>
          </w:tcPr>
          <w:p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WCH-15</w:t>
            </w:r>
          </w:p>
        </w:tc>
        <w:tc>
          <w:tcPr>
            <w:tcW w:w="900" w:type="dxa"/>
          </w:tcPr>
          <w:p>
            <w:pPr>
              <w:pStyle w:val="TableParagraph"/>
              <w:ind w:left="0" w:right="97"/>
              <w:jc w:val="right"/>
              <w:rPr>
                <w:sz w:val="16"/>
              </w:rPr>
            </w:pPr>
            <w:r>
              <w:rPr>
                <w:sz w:val="16"/>
              </w:rPr>
              <w:t>115.00</w:t>
            </w:r>
          </w:p>
        </w:tc>
        <w:tc>
          <w:tcPr>
            <w:tcW w:w="809" w:type="dxa"/>
          </w:tcPr>
          <w:p>
            <w:pPr>
              <w:pStyle w:val="TableParagraph"/>
              <w:ind w:left="105"/>
              <w:jc w:val="left"/>
              <w:rPr>
                <w:sz w:val="16"/>
              </w:rPr>
            </w:pPr>
            <w:r>
              <w:rPr>
                <w:sz w:val="16"/>
              </w:rPr>
              <w:t>Pontotoc</w:t>
            </w:r>
          </w:p>
        </w:tc>
        <w:tc>
          <w:tcPr>
            <w:tcW w:w="1260" w:type="dxa"/>
          </w:tcPr>
          <w:p>
            <w:pPr>
              <w:pStyle w:val="TableParagraph"/>
              <w:ind w:left="0" w:right="94"/>
              <w:jc w:val="right"/>
              <w:rPr>
                <w:sz w:val="16"/>
              </w:rPr>
            </w:pPr>
            <w:r>
              <w:rPr>
                <w:sz w:val="16"/>
              </w:rPr>
              <w:t>2N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6E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S2</w:t>
            </w:r>
          </w:p>
        </w:tc>
        <w:tc>
          <w:tcPr>
            <w:tcW w:w="811" w:type="dxa"/>
          </w:tcPr>
          <w:p>
            <w:pPr>
              <w:pStyle w:val="TableParagraph"/>
              <w:ind w:left="0" w:right="98"/>
              <w:jc w:val="right"/>
              <w:rPr>
                <w:sz w:val="16"/>
              </w:rPr>
            </w:pPr>
            <w:r>
              <w:rPr>
                <w:sz w:val="16"/>
              </w:rPr>
              <w:t>Upper</w:t>
            </w:r>
          </w:p>
        </w:tc>
      </w:tr>
      <w:tr>
        <w:trPr>
          <w:trHeight w:val="196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spacing w:line="176" w:lineRule="exact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WCH-16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left="0" w:right="97"/>
              <w:jc w:val="right"/>
              <w:rPr>
                <w:sz w:val="16"/>
              </w:rPr>
            </w:pPr>
            <w:r>
              <w:rPr>
                <w:sz w:val="16"/>
              </w:rPr>
              <w:t>118.00</w:t>
            </w:r>
          </w:p>
        </w:tc>
        <w:tc>
          <w:tcPr>
            <w:tcW w:w="809" w:type="dxa"/>
            <w:shd w:val="clear" w:color="auto" w:fill="D8E1F2"/>
          </w:tcPr>
          <w:p>
            <w:pPr>
              <w:pStyle w:val="TableParagraph"/>
              <w:spacing w:line="176" w:lineRule="exact"/>
              <w:ind w:left="105"/>
              <w:jc w:val="left"/>
              <w:rPr>
                <w:sz w:val="16"/>
              </w:rPr>
            </w:pPr>
            <w:r>
              <w:rPr>
                <w:sz w:val="16"/>
              </w:rPr>
              <w:t>Pontotoc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spacing w:line="176" w:lineRule="exact"/>
              <w:ind w:left="0" w:right="94"/>
              <w:jc w:val="right"/>
              <w:rPr>
                <w:sz w:val="16"/>
              </w:rPr>
            </w:pPr>
            <w:r>
              <w:rPr>
                <w:sz w:val="16"/>
              </w:rPr>
              <w:t>2N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6E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S2</w:t>
            </w:r>
          </w:p>
        </w:tc>
        <w:tc>
          <w:tcPr>
            <w:tcW w:w="811" w:type="dxa"/>
            <w:shd w:val="clear" w:color="auto" w:fill="D8E1F2"/>
          </w:tcPr>
          <w:p>
            <w:pPr>
              <w:pStyle w:val="TableParagraph"/>
              <w:spacing w:line="176" w:lineRule="exact"/>
              <w:ind w:left="0" w:right="98"/>
              <w:jc w:val="right"/>
              <w:rPr>
                <w:sz w:val="16"/>
              </w:rPr>
            </w:pPr>
            <w:r>
              <w:rPr>
                <w:sz w:val="16"/>
              </w:rPr>
              <w:t>Upper</w:t>
            </w:r>
          </w:p>
        </w:tc>
      </w:tr>
      <w:tr>
        <w:trPr>
          <w:trHeight w:val="194" w:hRule="atLeast"/>
        </w:trPr>
        <w:tc>
          <w:tcPr>
            <w:tcW w:w="806" w:type="dxa"/>
          </w:tcPr>
          <w:p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WCH-17</w:t>
            </w:r>
          </w:p>
        </w:tc>
        <w:tc>
          <w:tcPr>
            <w:tcW w:w="900" w:type="dxa"/>
          </w:tcPr>
          <w:p>
            <w:pPr>
              <w:pStyle w:val="TableParagraph"/>
              <w:ind w:left="0" w:right="97"/>
              <w:jc w:val="right"/>
              <w:rPr>
                <w:sz w:val="16"/>
              </w:rPr>
            </w:pPr>
            <w:r>
              <w:rPr>
                <w:sz w:val="16"/>
              </w:rPr>
              <w:t>121.00</w:t>
            </w:r>
          </w:p>
        </w:tc>
        <w:tc>
          <w:tcPr>
            <w:tcW w:w="809" w:type="dxa"/>
          </w:tcPr>
          <w:p>
            <w:pPr>
              <w:pStyle w:val="TableParagraph"/>
              <w:ind w:left="105"/>
              <w:jc w:val="left"/>
              <w:rPr>
                <w:sz w:val="16"/>
              </w:rPr>
            </w:pPr>
            <w:r>
              <w:rPr>
                <w:sz w:val="16"/>
              </w:rPr>
              <w:t>Pontotoc</w:t>
            </w:r>
          </w:p>
        </w:tc>
        <w:tc>
          <w:tcPr>
            <w:tcW w:w="1260" w:type="dxa"/>
          </w:tcPr>
          <w:p>
            <w:pPr>
              <w:pStyle w:val="TableParagraph"/>
              <w:ind w:left="0" w:right="94"/>
              <w:jc w:val="right"/>
              <w:rPr>
                <w:sz w:val="16"/>
              </w:rPr>
            </w:pPr>
            <w:r>
              <w:rPr>
                <w:sz w:val="16"/>
              </w:rPr>
              <w:t>2N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6E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S2</w:t>
            </w:r>
          </w:p>
        </w:tc>
        <w:tc>
          <w:tcPr>
            <w:tcW w:w="811" w:type="dxa"/>
          </w:tcPr>
          <w:p>
            <w:pPr>
              <w:pStyle w:val="TableParagraph"/>
              <w:ind w:left="0" w:right="98"/>
              <w:jc w:val="right"/>
              <w:rPr>
                <w:sz w:val="16"/>
              </w:rPr>
            </w:pPr>
            <w:r>
              <w:rPr>
                <w:sz w:val="16"/>
              </w:rPr>
              <w:t>Upper</w:t>
            </w:r>
          </w:p>
        </w:tc>
      </w:tr>
      <w:tr>
        <w:trPr>
          <w:trHeight w:val="196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WCH-18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0" w:right="97"/>
              <w:jc w:val="right"/>
              <w:rPr>
                <w:sz w:val="16"/>
              </w:rPr>
            </w:pPr>
            <w:r>
              <w:rPr>
                <w:sz w:val="16"/>
              </w:rPr>
              <w:t>124.42</w:t>
            </w:r>
          </w:p>
        </w:tc>
        <w:tc>
          <w:tcPr>
            <w:tcW w:w="809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105"/>
              <w:jc w:val="left"/>
              <w:rPr>
                <w:sz w:val="16"/>
              </w:rPr>
            </w:pPr>
            <w:r>
              <w:rPr>
                <w:sz w:val="16"/>
              </w:rPr>
              <w:t>Pontotoc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0" w:right="94"/>
              <w:jc w:val="right"/>
              <w:rPr>
                <w:sz w:val="16"/>
              </w:rPr>
            </w:pPr>
            <w:r>
              <w:rPr>
                <w:sz w:val="16"/>
              </w:rPr>
              <w:t>2N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6E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S2</w:t>
            </w:r>
          </w:p>
        </w:tc>
        <w:tc>
          <w:tcPr>
            <w:tcW w:w="811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0" w:right="98"/>
              <w:jc w:val="right"/>
              <w:rPr>
                <w:sz w:val="16"/>
              </w:rPr>
            </w:pPr>
            <w:r>
              <w:rPr>
                <w:sz w:val="16"/>
              </w:rPr>
              <w:t>Upper</w:t>
            </w:r>
          </w:p>
        </w:tc>
      </w:tr>
      <w:tr>
        <w:trPr>
          <w:trHeight w:val="193" w:hRule="atLeast"/>
        </w:trPr>
        <w:tc>
          <w:tcPr>
            <w:tcW w:w="806" w:type="dxa"/>
          </w:tcPr>
          <w:p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WCH-43</w:t>
            </w:r>
          </w:p>
        </w:tc>
        <w:tc>
          <w:tcPr>
            <w:tcW w:w="900" w:type="dxa"/>
          </w:tcPr>
          <w:p>
            <w:pPr>
              <w:pStyle w:val="TableParagraph"/>
              <w:ind w:left="0" w:right="97"/>
              <w:jc w:val="right"/>
              <w:rPr>
                <w:sz w:val="16"/>
              </w:rPr>
            </w:pPr>
            <w:r>
              <w:rPr>
                <w:sz w:val="16"/>
              </w:rPr>
              <w:t>126.17</w:t>
            </w:r>
          </w:p>
        </w:tc>
        <w:tc>
          <w:tcPr>
            <w:tcW w:w="809" w:type="dxa"/>
          </w:tcPr>
          <w:p>
            <w:pPr>
              <w:pStyle w:val="TableParagraph"/>
              <w:ind w:left="105"/>
              <w:jc w:val="left"/>
              <w:rPr>
                <w:sz w:val="16"/>
              </w:rPr>
            </w:pPr>
            <w:r>
              <w:rPr>
                <w:sz w:val="16"/>
              </w:rPr>
              <w:t>Pontotoc</w:t>
            </w:r>
          </w:p>
        </w:tc>
        <w:tc>
          <w:tcPr>
            <w:tcW w:w="1260" w:type="dxa"/>
          </w:tcPr>
          <w:p>
            <w:pPr>
              <w:pStyle w:val="TableParagraph"/>
              <w:ind w:left="0" w:right="94"/>
              <w:jc w:val="right"/>
              <w:rPr>
                <w:sz w:val="16"/>
              </w:rPr>
            </w:pPr>
            <w:r>
              <w:rPr>
                <w:sz w:val="16"/>
              </w:rPr>
              <w:t>2N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6E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S2</w:t>
            </w:r>
          </w:p>
        </w:tc>
        <w:tc>
          <w:tcPr>
            <w:tcW w:w="811" w:type="dxa"/>
          </w:tcPr>
          <w:p>
            <w:pPr>
              <w:pStyle w:val="TableParagraph"/>
              <w:ind w:left="0" w:right="98"/>
              <w:jc w:val="right"/>
              <w:rPr>
                <w:sz w:val="16"/>
              </w:rPr>
            </w:pPr>
            <w:r>
              <w:rPr>
                <w:sz w:val="16"/>
              </w:rPr>
              <w:t>Upper</w:t>
            </w:r>
          </w:p>
        </w:tc>
      </w:tr>
      <w:tr>
        <w:trPr>
          <w:trHeight w:val="196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WCH-19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0" w:right="97"/>
              <w:jc w:val="right"/>
              <w:rPr>
                <w:sz w:val="16"/>
              </w:rPr>
            </w:pPr>
            <w:r>
              <w:rPr>
                <w:sz w:val="16"/>
              </w:rPr>
              <w:t>129.00</w:t>
            </w:r>
          </w:p>
        </w:tc>
        <w:tc>
          <w:tcPr>
            <w:tcW w:w="809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105"/>
              <w:jc w:val="left"/>
              <w:rPr>
                <w:sz w:val="16"/>
              </w:rPr>
            </w:pPr>
            <w:r>
              <w:rPr>
                <w:sz w:val="16"/>
              </w:rPr>
              <w:t>Pontotoc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0" w:right="94"/>
              <w:jc w:val="right"/>
              <w:rPr>
                <w:sz w:val="16"/>
              </w:rPr>
            </w:pPr>
            <w:r>
              <w:rPr>
                <w:sz w:val="16"/>
              </w:rPr>
              <w:t>2N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6E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S2</w:t>
            </w:r>
          </w:p>
        </w:tc>
        <w:tc>
          <w:tcPr>
            <w:tcW w:w="811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0" w:right="98"/>
              <w:jc w:val="right"/>
              <w:rPr>
                <w:sz w:val="16"/>
              </w:rPr>
            </w:pPr>
            <w:r>
              <w:rPr>
                <w:sz w:val="16"/>
              </w:rPr>
              <w:t>Upper</w:t>
            </w: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6" w:lineRule="exact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WCH-20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left="0" w:right="97"/>
              <w:jc w:val="right"/>
              <w:rPr>
                <w:sz w:val="16"/>
              </w:rPr>
            </w:pPr>
            <w:r>
              <w:rPr>
                <w:sz w:val="16"/>
              </w:rPr>
              <w:t>130.00</w:t>
            </w:r>
          </w:p>
        </w:tc>
        <w:tc>
          <w:tcPr>
            <w:tcW w:w="809" w:type="dxa"/>
          </w:tcPr>
          <w:p>
            <w:pPr>
              <w:pStyle w:val="TableParagraph"/>
              <w:spacing w:line="176" w:lineRule="exact"/>
              <w:ind w:left="105"/>
              <w:jc w:val="left"/>
              <w:rPr>
                <w:sz w:val="16"/>
              </w:rPr>
            </w:pPr>
            <w:r>
              <w:rPr>
                <w:sz w:val="16"/>
              </w:rPr>
              <w:t>Pontotoc</w:t>
            </w:r>
          </w:p>
        </w:tc>
        <w:tc>
          <w:tcPr>
            <w:tcW w:w="1260" w:type="dxa"/>
          </w:tcPr>
          <w:p>
            <w:pPr>
              <w:pStyle w:val="TableParagraph"/>
              <w:spacing w:line="176" w:lineRule="exact"/>
              <w:ind w:left="0" w:right="94"/>
              <w:jc w:val="right"/>
              <w:rPr>
                <w:sz w:val="16"/>
              </w:rPr>
            </w:pPr>
            <w:r>
              <w:rPr>
                <w:sz w:val="16"/>
              </w:rPr>
              <w:t>2N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6E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S2</w:t>
            </w:r>
          </w:p>
        </w:tc>
        <w:tc>
          <w:tcPr>
            <w:tcW w:w="811" w:type="dxa"/>
          </w:tcPr>
          <w:p>
            <w:pPr>
              <w:pStyle w:val="TableParagraph"/>
              <w:spacing w:line="176" w:lineRule="exact"/>
              <w:ind w:left="0" w:right="99"/>
              <w:jc w:val="right"/>
              <w:rPr>
                <w:sz w:val="16"/>
              </w:rPr>
            </w:pPr>
            <w:r>
              <w:rPr>
                <w:sz w:val="16"/>
              </w:rPr>
              <w:t>Middle</w:t>
            </w:r>
          </w:p>
        </w:tc>
      </w:tr>
      <w:tr>
        <w:trPr>
          <w:trHeight w:val="193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WCH-60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left="0" w:right="97"/>
              <w:jc w:val="right"/>
              <w:rPr>
                <w:sz w:val="16"/>
              </w:rPr>
            </w:pPr>
            <w:r>
              <w:rPr>
                <w:sz w:val="16"/>
              </w:rPr>
              <w:t>131.75</w:t>
            </w:r>
          </w:p>
        </w:tc>
        <w:tc>
          <w:tcPr>
            <w:tcW w:w="809" w:type="dxa"/>
            <w:shd w:val="clear" w:color="auto" w:fill="D8E1F2"/>
          </w:tcPr>
          <w:p>
            <w:pPr>
              <w:pStyle w:val="TableParagraph"/>
              <w:ind w:left="105"/>
              <w:jc w:val="left"/>
              <w:rPr>
                <w:sz w:val="16"/>
              </w:rPr>
            </w:pPr>
            <w:r>
              <w:rPr>
                <w:sz w:val="16"/>
              </w:rPr>
              <w:t>Pontotoc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ind w:left="0" w:right="94"/>
              <w:jc w:val="right"/>
              <w:rPr>
                <w:sz w:val="16"/>
              </w:rPr>
            </w:pPr>
            <w:r>
              <w:rPr>
                <w:sz w:val="16"/>
              </w:rPr>
              <w:t>2N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6E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S2</w:t>
            </w:r>
          </w:p>
        </w:tc>
        <w:tc>
          <w:tcPr>
            <w:tcW w:w="811" w:type="dxa"/>
            <w:shd w:val="clear" w:color="auto" w:fill="D8E1F2"/>
          </w:tcPr>
          <w:p>
            <w:pPr>
              <w:pStyle w:val="TableParagraph"/>
              <w:ind w:left="0" w:right="99"/>
              <w:jc w:val="right"/>
              <w:rPr>
                <w:sz w:val="16"/>
              </w:rPr>
            </w:pPr>
            <w:r>
              <w:rPr>
                <w:sz w:val="16"/>
              </w:rPr>
              <w:t>Middle</w:t>
            </w: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6" w:lineRule="exact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WCH-61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left="0" w:right="97"/>
              <w:jc w:val="right"/>
              <w:rPr>
                <w:sz w:val="16"/>
              </w:rPr>
            </w:pPr>
            <w:r>
              <w:rPr>
                <w:sz w:val="16"/>
              </w:rPr>
              <w:t>132.75</w:t>
            </w:r>
          </w:p>
        </w:tc>
        <w:tc>
          <w:tcPr>
            <w:tcW w:w="809" w:type="dxa"/>
          </w:tcPr>
          <w:p>
            <w:pPr>
              <w:pStyle w:val="TableParagraph"/>
              <w:spacing w:line="176" w:lineRule="exact"/>
              <w:ind w:left="105"/>
              <w:jc w:val="left"/>
              <w:rPr>
                <w:sz w:val="16"/>
              </w:rPr>
            </w:pPr>
            <w:r>
              <w:rPr>
                <w:sz w:val="16"/>
              </w:rPr>
              <w:t>Pontotoc</w:t>
            </w:r>
          </w:p>
        </w:tc>
        <w:tc>
          <w:tcPr>
            <w:tcW w:w="1260" w:type="dxa"/>
          </w:tcPr>
          <w:p>
            <w:pPr>
              <w:pStyle w:val="TableParagraph"/>
              <w:spacing w:line="176" w:lineRule="exact"/>
              <w:ind w:left="0" w:right="94"/>
              <w:jc w:val="right"/>
              <w:rPr>
                <w:sz w:val="16"/>
              </w:rPr>
            </w:pPr>
            <w:r>
              <w:rPr>
                <w:sz w:val="16"/>
              </w:rPr>
              <w:t>2N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6E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S2</w:t>
            </w:r>
          </w:p>
        </w:tc>
        <w:tc>
          <w:tcPr>
            <w:tcW w:w="811" w:type="dxa"/>
          </w:tcPr>
          <w:p>
            <w:pPr>
              <w:pStyle w:val="TableParagraph"/>
              <w:spacing w:line="176" w:lineRule="exact"/>
              <w:ind w:left="0" w:right="99"/>
              <w:jc w:val="right"/>
              <w:rPr>
                <w:sz w:val="16"/>
              </w:rPr>
            </w:pPr>
            <w:r>
              <w:rPr>
                <w:sz w:val="16"/>
              </w:rPr>
              <w:t>Middle</w:t>
            </w:r>
          </w:p>
        </w:tc>
      </w:tr>
      <w:tr>
        <w:trPr>
          <w:trHeight w:val="194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WCH-21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left="0" w:right="97"/>
              <w:jc w:val="right"/>
              <w:rPr>
                <w:sz w:val="16"/>
              </w:rPr>
            </w:pPr>
            <w:r>
              <w:rPr>
                <w:sz w:val="16"/>
              </w:rPr>
              <w:t>133.50</w:t>
            </w:r>
          </w:p>
        </w:tc>
        <w:tc>
          <w:tcPr>
            <w:tcW w:w="809" w:type="dxa"/>
            <w:shd w:val="clear" w:color="auto" w:fill="D8E1F2"/>
          </w:tcPr>
          <w:p>
            <w:pPr>
              <w:pStyle w:val="TableParagraph"/>
              <w:ind w:left="105"/>
              <w:jc w:val="left"/>
              <w:rPr>
                <w:sz w:val="16"/>
              </w:rPr>
            </w:pPr>
            <w:r>
              <w:rPr>
                <w:sz w:val="16"/>
              </w:rPr>
              <w:t>Pontotoc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ind w:left="0" w:right="94"/>
              <w:jc w:val="right"/>
              <w:rPr>
                <w:sz w:val="16"/>
              </w:rPr>
            </w:pPr>
            <w:r>
              <w:rPr>
                <w:sz w:val="16"/>
              </w:rPr>
              <w:t>2N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6E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S2</w:t>
            </w:r>
          </w:p>
        </w:tc>
        <w:tc>
          <w:tcPr>
            <w:tcW w:w="811" w:type="dxa"/>
            <w:shd w:val="clear" w:color="auto" w:fill="D8E1F2"/>
          </w:tcPr>
          <w:p>
            <w:pPr>
              <w:pStyle w:val="TableParagraph"/>
              <w:ind w:left="0" w:right="99"/>
              <w:jc w:val="right"/>
              <w:rPr>
                <w:sz w:val="16"/>
              </w:rPr>
            </w:pPr>
            <w:r>
              <w:rPr>
                <w:sz w:val="16"/>
              </w:rPr>
              <w:t>Middle</w:t>
            </w: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6" w:lineRule="exact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WCH-44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left="0" w:right="97"/>
              <w:jc w:val="right"/>
              <w:rPr>
                <w:sz w:val="16"/>
              </w:rPr>
            </w:pPr>
            <w:r>
              <w:rPr>
                <w:sz w:val="16"/>
              </w:rPr>
              <w:t>134.00</w:t>
            </w:r>
          </w:p>
        </w:tc>
        <w:tc>
          <w:tcPr>
            <w:tcW w:w="809" w:type="dxa"/>
          </w:tcPr>
          <w:p>
            <w:pPr>
              <w:pStyle w:val="TableParagraph"/>
              <w:spacing w:line="176" w:lineRule="exact"/>
              <w:ind w:left="105"/>
              <w:jc w:val="left"/>
              <w:rPr>
                <w:sz w:val="16"/>
              </w:rPr>
            </w:pPr>
            <w:r>
              <w:rPr>
                <w:sz w:val="16"/>
              </w:rPr>
              <w:t>Pontotoc</w:t>
            </w:r>
          </w:p>
        </w:tc>
        <w:tc>
          <w:tcPr>
            <w:tcW w:w="1260" w:type="dxa"/>
          </w:tcPr>
          <w:p>
            <w:pPr>
              <w:pStyle w:val="TableParagraph"/>
              <w:spacing w:line="176" w:lineRule="exact"/>
              <w:ind w:left="0" w:right="94"/>
              <w:jc w:val="right"/>
              <w:rPr>
                <w:sz w:val="16"/>
              </w:rPr>
            </w:pPr>
            <w:r>
              <w:rPr>
                <w:sz w:val="16"/>
              </w:rPr>
              <w:t>2N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6E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S2</w:t>
            </w:r>
          </w:p>
        </w:tc>
        <w:tc>
          <w:tcPr>
            <w:tcW w:w="811" w:type="dxa"/>
          </w:tcPr>
          <w:p>
            <w:pPr>
              <w:pStyle w:val="TableParagraph"/>
              <w:spacing w:line="176" w:lineRule="exact"/>
              <w:ind w:left="0" w:right="99"/>
              <w:jc w:val="right"/>
              <w:rPr>
                <w:sz w:val="16"/>
              </w:rPr>
            </w:pPr>
            <w:r>
              <w:rPr>
                <w:sz w:val="16"/>
              </w:rPr>
              <w:t>Middle</w:t>
            </w:r>
          </w:p>
        </w:tc>
      </w:tr>
      <w:tr>
        <w:trPr>
          <w:trHeight w:val="194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WCH-22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left="0" w:right="97"/>
              <w:jc w:val="right"/>
              <w:rPr>
                <w:sz w:val="16"/>
              </w:rPr>
            </w:pPr>
            <w:r>
              <w:rPr>
                <w:sz w:val="16"/>
              </w:rPr>
              <w:t>136.00</w:t>
            </w:r>
          </w:p>
        </w:tc>
        <w:tc>
          <w:tcPr>
            <w:tcW w:w="809" w:type="dxa"/>
            <w:shd w:val="clear" w:color="auto" w:fill="D8E1F2"/>
          </w:tcPr>
          <w:p>
            <w:pPr>
              <w:pStyle w:val="TableParagraph"/>
              <w:ind w:left="105"/>
              <w:jc w:val="left"/>
              <w:rPr>
                <w:sz w:val="16"/>
              </w:rPr>
            </w:pPr>
            <w:r>
              <w:rPr>
                <w:sz w:val="16"/>
              </w:rPr>
              <w:t>Pontotoc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ind w:left="0" w:right="94"/>
              <w:jc w:val="right"/>
              <w:rPr>
                <w:sz w:val="16"/>
              </w:rPr>
            </w:pPr>
            <w:r>
              <w:rPr>
                <w:sz w:val="16"/>
              </w:rPr>
              <w:t>2N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6E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S2</w:t>
            </w:r>
          </w:p>
        </w:tc>
        <w:tc>
          <w:tcPr>
            <w:tcW w:w="811" w:type="dxa"/>
            <w:shd w:val="clear" w:color="auto" w:fill="D8E1F2"/>
          </w:tcPr>
          <w:p>
            <w:pPr>
              <w:pStyle w:val="TableParagraph"/>
              <w:ind w:left="0" w:right="99"/>
              <w:jc w:val="right"/>
              <w:rPr>
                <w:sz w:val="16"/>
              </w:rPr>
            </w:pPr>
            <w:r>
              <w:rPr>
                <w:sz w:val="16"/>
              </w:rPr>
              <w:t>Middle</w:t>
            </w:r>
          </w:p>
        </w:tc>
      </w:tr>
    </w:tbl>
    <w:p>
      <w:pPr>
        <w:spacing w:after="0"/>
        <w:jc w:val="right"/>
        <w:rPr>
          <w:sz w:val="16"/>
        </w:rPr>
        <w:sectPr>
          <w:pgSz w:w="12240" w:h="15840"/>
          <w:pgMar w:header="0" w:footer="1014" w:top="1440" w:bottom="1395" w:left="1320" w:right="820"/>
        </w:sectPr>
      </w:pPr>
    </w:p>
    <w:tbl>
      <w:tblPr>
        <w:tblW w:w="0" w:type="auto"/>
        <w:jc w:val="left"/>
        <w:tblInd w:w="25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6"/>
        <w:gridCol w:w="900"/>
        <w:gridCol w:w="809"/>
        <w:gridCol w:w="1260"/>
        <w:gridCol w:w="811"/>
      </w:tblGrid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6" w:lineRule="exact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WCH-23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left="0" w:right="97"/>
              <w:jc w:val="right"/>
              <w:rPr>
                <w:sz w:val="16"/>
              </w:rPr>
            </w:pPr>
            <w:r>
              <w:rPr>
                <w:sz w:val="16"/>
              </w:rPr>
              <w:t>137.25</w:t>
            </w:r>
          </w:p>
        </w:tc>
        <w:tc>
          <w:tcPr>
            <w:tcW w:w="809" w:type="dxa"/>
          </w:tcPr>
          <w:p>
            <w:pPr>
              <w:pStyle w:val="TableParagraph"/>
              <w:spacing w:line="176" w:lineRule="exact"/>
              <w:ind w:left="0" w:right="98"/>
              <w:jc w:val="right"/>
              <w:rPr>
                <w:sz w:val="16"/>
              </w:rPr>
            </w:pPr>
            <w:r>
              <w:rPr>
                <w:sz w:val="16"/>
              </w:rPr>
              <w:t>Pontotoc</w:t>
            </w:r>
          </w:p>
        </w:tc>
        <w:tc>
          <w:tcPr>
            <w:tcW w:w="1260" w:type="dxa"/>
          </w:tcPr>
          <w:p>
            <w:pPr>
              <w:pStyle w:val="TableParagraph"/>
              <w:spacing w:line="176" w:lineRule="exact"/>
              <w:ind w:left="0" w:right="94"/>
              <w:jc w:val="right"/>
              <w:rPr>
                <w:sz w:val="16"/>
              </w:rPr>
            </w:pPr>
            <w:r>
              <w:rPr>
                <w:sz w:val="16"/>
              </w:rPr>
              <w:t>2N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6E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S2</w:t>
            </w:r>
          </w:p>
        </w:tc>
        <w:tc>
          <w:tcPr>
            <w:tcW w:w="811" w:type="dxa"/>
          </w:tcPr>
          <w:p>
            <w:pPr>
              <w:pStyle w:val="TableParagraph"/>
              <w:spacing w:line="176" w:lineRule="exact"/>
              <w:ind w:left="0" w:right="99"/>
              <w:jc w:val="right"/>
              <w:rPr>
                <w:sz w:val="16"/>
              </w:rPr>
            </w:pPr>
            <w:r>
              <w:rPr>
                <w:sz w:val="16"/>
              </w:rPr>
              <w:t>Middle</w:t>
            </w:r>
          </w:p>
        </w:tc>
      </w:tr>
      <w:tr>
        <w:trPr>
          <w:trHeight w:val="193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WCH-24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left="0" w:right="97"/>
              <w:jc w:val="right"/>
              <w:rPr>
                <w:sz w:val="16"/>
              </w:rPr>
            </w:pPr>
            <w:r>
              <w:rPr>
                <w:sz w:val="16"/>
              </w:rPr>
              <w:t>138.50</w:t>
            </w:r>
          </w:p>
        </w:tc>
        <w:tc>
          <w:tcPr>
            <w:tcW w:w="809" w:type="dxa"/>
            <w:shd w:val="clear" w:color="auto" w:fill="D8E1F2"/>
          </w:tcPr>
          <w:p>
            <w:pPr>
              <w:pStyle w:val="TableParagraph"/>
              <w:ind w:left="0" w:right="98"/>
              <w:jc w:val="right"/>
              <w:rPr>
                <w:sz w:val="16"/>
              </w:rPr>
            </w:pPr>
            <w:r>
              <w:rPr>
                <w:sz w:val="16"/>
              </w:rPr>
              <w:t>Pontotoc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ind w:left="0" w:right="94"/>
              <w:jc w:val="right"/>
              <w:rPr>
                <w:sz w:val="16"/>
              </w:rPr>
            </w:pPr>
            <w:r>
              <w:rPr>
                <w:sz w:val="16"/>
              </w:rPr>
              <w:t>2N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6E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S2</w:t>
            </w:r>
          </w:p>
        </w:tc>
        <w:tc>
          <w:tcPr>
            <w:tcW w:w="811" w:type="dxa"/>
            <w:shd w:val="clear" w:color="auto" w:fill="D8E1F2"/>
          </w:tcPr>
          <w:p>
            <w:pPr>
              <w:pStyle w:val="TableParagraph"/>
              <w:ind w:left="0" w:right="99"/>
              <w:jc w:val="right"/>
              <w:rPr>
                <w:sz w:val="16"/>
              </w:rPr>
            </w:pPr>
            <w:r>
              <w:rPr>
                <w:sz w:val="16"/>
              </w:rPr>
              <w:t>Middle</w:t>
            </w: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6" w:lineRule="exact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WCH-25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left="0" w:right="97"/>
              <w:jc w:val="right"/>
              <w:rPr>
                <w:sz w:val="16"/>
              </w:rPr>
            </w:pPr>
            <w:r>
              <w:rPr>
                <w:sz w:val="16"/>
              </w:rPr>
              <w:t>139.67</w:t>
            </w:r>
          </w:p>
        </w:tc>
        <w:tc>
          <w:tcPr>
            <w:tcW w:w="809" w:type="dxa"/>
          </w:tcPr>
          <w:p>
            <w:pPr>
              <w:pStyle w:val="TableParagraph"/>
              <w:spacing w:line="176" w:lineRule="exact"/>
              <w:ind w:left="0" w:right="98"/>
              <w:jc w:val="right"/>
              <w:rPr>
                <w:sz w:val="16"/>
              </w:rPr>
            </w:pPr>
            <w:r>
              <w:rPr>
                <w:sz w:val="16"/>
              </w:rPr>
              <w:t>Pontotoc</w:t>
            </w:r>
          </w:p>
        </w:tc>
        <w:tc>
          <w:tcPr>
            <w:tcW w:w="1260" w:type="dxa"/>
          </w:tcPr>
          <w:p>
            <w:pPr>
              <w:pStyle w:val="TableParagraph"/>
              <w:spacing w:line="176" w:lineRule="exact"/>
              <w:ind w:left="0" w:right="94"/>
              <w:jc w:val="right"/>
              <w:rPr>
                <w:sz w:val="16"/>
              </w:rPr>
            </w:pPr>
            <w:r>
              <w:rPr>
                <w:sz w:val="16"/>
              </w:rPr>
              <w:t>2N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6E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S2</w:t>
            </w:r>
          </w:p>
        </w:tc>
        <w:tc>
          <w:tcPr>
            <w:tcW w:w="811" w:type="dxa"/>
          </w:tcPr>
          <w:p>
            <w:pPr>
              <w:pStyle w:val="TableParagraph"/>
              <w:spacing w:line="176" w:lineRule="exact"/>
              <w:ind w:left="0" w:right="99"/>
              <w:jc w:val="right"/>
              <w:rPr>
                <w:sz w:val="16"/>
              </w:rPr>
            </w:pPr>
            <w:r>
              <w:rPr>
                <w:sz w:val="16"/>
              </w:rPr>
              <w:t>Middle</w:t>
            </w:r>
          </w:p>
        </w:tc>
      </w:tr>
      <w:tr>
        <w:trPr>
          <w:trHeight w:val="194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WCH-26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left="0" w:right="97"/>
              <w:jc w:val="right"/>
              <w:rPr>
                <w:sz w:val="16"/>
              </w:rPr>
            </w:pPr>
            <w:r>
              <w:rPr>
                <w:sz w:val="16"/>
              </w:rPr>
              <w:t>141.08</w:t>
            </w:r>
          </w:p>
        </w:tc>
        <w:tc>
          <w:tcPr>
            <w:tcW w:w="809" w:type="dxa"/>
            <w:shd w:val="clear" w:color="auto" w:fill="D8E1F2"/>
          </w:tcPr>
          <w:p>
            <w:pPr>
              <w:pStyle w:val="TableParagraph"/>
              <w:ind w:left="0" w:right="98"/>
              <w:jc w:val="right"/>
              <w:rPr>
                <w:sz w:val="16"/>
              </w:rPr>
            </w:pPr>
            <w:r>
              <w:rPr>
                <w:sz w:val="16"/>
              </w:rPr>
              <w:t>Pontotoc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ind w:left="0" w:right="94"/>
              <w:jc w:val="right"/>
              <w:rPr>
                <w:sz w:val="16"/>
              </w:rPr>
            </w:pPr>
            <w:r>
              <w:rPr>
                <w:sz w:val="16"/>
              </w:rPr>
              <w:t>2N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6E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S2</w:t>
            </w:r>
          </w:p>
        </w:tc>
        <w:tc>
          <w:tcPr>
            <w:tcW w:w="811" w:type="dxa"/>
            <w:shd w:val="clear" w:color="auto" w:fill="D8E1F2"/>
          </w:tcPr>
          <w:p>
            <w:pPr>
              <w:pStyle w:val="TableParagraph"/>
              <w:ind w:left="0" w:right="99"/>
              <w:jc w:val="right"/>
              <w:rPr>
                <w:sz w:val="16"/>
              </w:rPr>
            </w:pPr>
            <w:r>
              <w:rPr>
                <w:sz w:val="16"/>
              </w:rPr>
              <w:t>Middle</w:t>
            </w: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6" w:lineRule="exact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WCH-27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left="0" w:right="97"/>
              <w:jc w:val="right"/>
              <w:rPr>
                <w:sz w:val="16"/>
              </w:rPr>
            </w:pPr>
            <w:r>
              <w:rPr>
                <w:sz w:val="16"/>
              </w:rPr>
              <w:t>142.25</w:t>
            </w:r>
          </w:p>
        </w:tc>
        <w:tc>
          <w:tcPr>
            <w:tcW w:w="809" w:type="dxa"/>
          </w:tcPr>
          <w:p>
            <w:pPr>
              <w:pStyle w:val="TableParagraph"/>
              <w:spacing w:line="176" w:lineRule="exact"/>
              <w:ind w:left="0" w:right="98"/>
              <w:jc w:val="right"/>
              <w:rPr>
                <w:sz w:val="16"/>
              </w:rPr>
            </w:pPr>
            <w:r>
              <w:rPr>
                <w:sz w:val="16"/>
              </w:rPr>
              <w:t>Pontotoc</w:t>
            </w:r>
          </w:p>
        </w:tc>
        <w:tc>
          <w:tcPr>
            <w:tcW w:w="1260" w:type="dxa"/>
          </w:tcPr>
          <w:p>
            <w:pPr>
              <w:pStyle w:val="TableParagraph"/>
              <w:spacing w:line="176" w:lineRule="exact"/>
              <w:ind w:left="0" w:right="94"/>
              <w:jc w:val="right"/>
              <w:rPr>
                <w:sz w:val="16"/>
              </w:rPr>
            </w:pPr>
            <w:r>
              <w:rPr>
                <w:sz w:val="16"/>
              </w:rPr>
              <w:t>2N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6E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S2</w:t>
            </w:r>
          </w:p>
        </w:tc>
        <w:tc>
          <w:tcPr>
            <w:tcW w:w="811" w:type="dxa"/>
          </w:tcPr>
          <w:p>
            <w:pPr>
              <w:pStyle w:val="TableParagraph"/>
              <w:spacing w:line="176" w:lineRule="exact"/>
              <w:ind w:left="0" w:right="99"/>
              <w:jc w:val="right"/>
              <w:rPr>
                <w:sz w:val="16"/>
              </w:rPr>
            </w:pPr>
            <w:r>
              <w:rPr>
                <w:sz w:val="16"/>
              </w:rPr>
              <w:t>Middle</w:t>
            </w:r>
          </w:p>
        </w:tc>
      </w:tr>
      <w:tr>
        <w:trPr>
          <w:trHeight w:val="194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WCH-28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left="0" w:right="97"/>
              <w:jc w:val="right"/>
              <w:rPr>
                <w:sz w:val="16"/>
              </w:rPr>
            </w:pPr>
            <w:r>
              <w:rPr>
                <w:sz w:val="16"/>
              </w:rPr>
              <w:t>143.50</w:t>
            </w:r>
          </w:p>
        </w:tc>
        <w:tc>
          <w:tcPr>
            <w:tcW w:w="809" w:type="dxa"/>
            <w:shd w:val="clear" w:color="auto" w:fill="D8E1F2"/>
          </w:tcPr>
          <w:p>
            <w:pPr>
              <w:pStyle w:val="TableParagraph"/>
              <w:ind w:left="0" w:right="98"/>
              <w:jc w:val="right"/>
              <w:rPr>
                <w:sz w:val="16"/>
              </w:rPr>
            </w:pPr>
            <w:r>
              <w:rPr>
                <w:sz w:val="16"/>
              </w:rPr>
              <w:t>Pontotoc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ind w:left="0" w:right="94"/>
              <w:jc w:val="right"/>
              <w:rPr>
                <w:sz w:val="16"/>
              </w:rPr>
            </w:pPr>
            <w:r>
              <w:rPr>
                <w:sz w:val="16"/>
              </w:rPr>
              <w:t>2N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6E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S2</w:t>
            </w:r>
          </w:p>
        </w:tc>
        <w:tc>
          <w:tcPr>
            <w:tcW w:w="811" w:type="dxa"/>
            <w:shd w:val="clear" w:color="auto" w:fill="D8E1F2"/>
          </w:tcPr>
          <w:p>
            <w:pPr>
              <w:pStyle w:val="TableParagraph"/>
              <w:ind w:left="0" w:right="99"/>
              <w:jc w:val="right"/>
              <w:rPr>
                <w:sz w:val="16"/>
              </w:rPr>
            </w:pPr>
            <w:r>
              <w:rPr>
                <w:sz w:val="16"/>
              </w:rPr>
              <w:t>Middle</w:t>
            </w: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6" w:lineRule="exact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WCH-45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left="0" w:right="97"/>
              <w:jc w:val="right"/>
              <w:rPr>
                <w:sz w:val="16"/>
              </w:rPr>
            </w:pPr>
            <w:r>
              <w:rPr>
                <w:sz w:val="16"/>
              </w:rPr>
              <w:t>145.17</w:t>
            </w:r>
          </w:p>
        </w:tc>
        <w:tc>
          <w:tcPr>
            <w:tcW w:w="809" w:type="dxa"/>
          </w:tcPr>
          <w:p>
            <w:pPr>
              <w:pStyle w:val="TableParagraph"/>
              <w:spacing w:line="176" w:lineRule="exact"/>
              <w:ind w:left="0" w:right="98"/>
              <w:jc w:val="right"/>
              <w:rPr>
                <w:sz w:val="16"/>
              </w:rPr>
            </w:pPr>
            <w:r>
              <w:rPr>
                <w:sz w:val="16"/>
              </w:rPr>
              <w:t>Pontotoc</w:t>
            </w:r>
          </w:p>
        </w:tc>
        <w:tc>
          <w:tcPr>
            <w:tcW w:w="1260" w:type="dxa"/>
          </w:tcPr>
          <w:p>
            <w:pPr>
              <w:pStyle w:val="TableParagraph"/>
              <w:spacing w:line="176" w:lineRule="exact"/>
              <w:ind w:left="0" w:right="94"/>
              <w:jc w:val="right"/>
              <w:rPr>
                <w:sz w:val="16"/>
              </w:rPr>
            </w:pPr>
            <w:r>
              <w:rPr>
                <w:sz w:val="16"/>
              </w:rPr>
              <w:t>2N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6E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S2</w:t>
            </w:r>
          </w:p>
        </w:tc>
        <w:tc>
          <w:tcPr>
            <w:tcW w:w="811" w:type="dxa"/>
          </w:tcPr>
          <w:p>
            <w:pPr>
              <w:pStyle w:val="TableParagraph"/>
              <w:spacing w:line="176" w:lineRule="exact"/>
              <w:ind w:left="0" w:right="99"/>
              <w:jc w:val="right"/>
              <w:rPr>
                <w:sz w:val="16"/>
              </w:rPr>
            </w:pPr>
            <w:r>
              <w:rPr>
                <w:sz w:val="16"/>
              </w:rPr>
              <w:t>Middle</w:t>
            </w:r>
          </w:p>
        </w:tc>
      </w:tr>
      <w:tr>
        <w:trPr>
          <w:trHeight w:val="194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WCH-29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left="0" w:right="97"/>
              <w:jc w:val="right"/>
              <w:rPr>
                <w:sz w:val="16"/>
              </w:rPr>
            </w:pPr>
            <w:r>
              <w:rPr>
                <w:sz w:val="16"/>
              </w:rPr>
              <w:t>146.00</w:t>
            </w:r>
          </w:p>
        </w:tc>
        <w:tc>
          <w:tcPr>
            <w:tcW w:w="809" w:type="dxa"/>
            <w:shd w:val="clear" w:color="auto" w:fill="D8E1F2"/>
          </w:tcPr>
          <w:p>
            <w:pPr>
              <w:pStyle w:val="TableParagraph"/>
              <w:ind w:left="0" w:right="98"/>
              <w:jc w:val="right"/>
              <w:rPr>
                <w:sz w:val="16"/>
              </w:rPr>
            </w:pPr>
            <w:r>
              <w:rPr>
                <w:sz w:val="16"/>
              </w:rPr>
              <w:t>Pontotoc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ind w:left="0" w:right="94"/>
              <w:jc w:val="right"/>
              <w:rPr>
                <w:sz w:val="16"/>
              </w:rPr>
            </w:pPr>
            <w:r>
              <w:rPr>
                <w:sz w:val="16"/>
              </w:rPr>
              <w:t>2N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6E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S2</w:t>
            </w:r>
          </w:p>
        </w:tc>
        <w:tc>
          <w:tcPr>
            <w:tcW w:w="811" w:type="dxa"/>
            <w:shd w:val="clear" w:color="auto" w:fill="D8E1F2"/>
          </w:tcPr>
          <w:p>
            <w:pPr>
              <w:pStyle w:val="TableParagraph"/>
              <w:ind w:left="0" w:right="99"/>
              <w:jc w:val="right"/>
              <w:rPr>
                <w:sz w:val="16"/>
              </w:rPr>
            </w:pPr>
            <w:r>
              <w:rPr>
                <w:sz w:val="16"/>
              </w:rPr>
              <w:t>Middle</w:t>
            </w: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5" w:lineRule="exact" w:before="1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WCH-30</w:t>
            </w:r>
          </w:p>
        </w:tc>
        <w:tc>
          <w:tcPr>
            <w:tcW w:w="900" w:type="dxa"/>
          </w:tcPr>
          <w:p>
            <w:pPr>
              <w:pStyle w:val="TableParagraph"/>
              <w:spacing w:line="175" w:lineRule="exact" w:before="1"/>
              <w:ind w:left="0" w:right="97"/>
              <w:jc w:val="right"/>
              <w:rPr>
                <w:sz w:val="16"/>
              </w:rPr>
            </w:pPr>
            <w:r>
              <w:rPr>
                <w:sz w:val="16"/>
              </w:rPr>
              <w:t>147.08</w:t>
            </w:r>
          </w:p>
        </w:tc>
        <w:tc>
          <w:tcPr>
            <w:tcW w:w="809" w:type="dxa"/>
          </w:tcPr>
          <w:p>
            <w:pPr>
              <w:pStyle w:val="TableParagraph"/>
              <w:spacing w:line="175" w:lineRule="exact" w:before="1"/>
              <w:ind w:left="0" w:right="98"/>
              <w:jc w:val="right"/>
              <w:rPr>
                <w:sz w:val="16"/>
              </w:rPr>
            </w:pPr>
            <w:r>
              <w:rPr>
                <w:sz w:val="16"/>
              </w:rPr>
              <w:t>Pontotoc</w:t>
            </w:r>
          </w:p>
        </w:tc>
        <w:tc>
          <w:tcPr>
            <w:tcW w:w="1260" w:type="dxa"/>
          </w:tcPr>
          <w:p>
            <w:pPr>
              <w:pStyle w:val="TableParagraph"/>
              <w:spacing w:line="175" w:lineRule="exact" w:before="1"/>
              <w:ind w:left="0" w:right="94"/>
              <w:jc w:val="right"/>
              <w:rPr>
                <w:sz w:val="16"/>
              </w:rPr>
            </w:pPr>
            <w:r>
              <w:rPr>
                <w:sz w:val="16"/>
              </w:rPr>
              <w:t>2N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6E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S2</w:t>
            </w:r>
          </w:p>
        </w:tc>
        <w:tc>
          <w:tcPr>
            <w:tcW w:w="811" w:type="dxa"/>
          </w:tcPr>
          <w:p>
            <w:pPr>
              <w:pStyle w:val="TableParagraph"/>
              <w:spacing w:line="175" w:lineRule="exact" w:before="1"/>
              <w:ind w:left="0" w:right="99"/>
              <w:jc w:val="right"/>
              <w:rPr>
                <w:sz w:val="16"/>
              </w:rPr>
            </w:pPr>
            <w:r>
              <w:rPr>
                <w:sz w:val="16"/>
              </w:rPr>
              <w:t>Middle</w:t>
            </w:r>
          </w:p>
        </w:tc>
      </w:tr>
      <w:tr>
        <w:trPr>
          <w:trHeight w:val="194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WCH-31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left="0" w:right="97"/>
              <w:jc w:val="right"/>
              <w:rPr>
                <w:sz w:val="16"/>
              </w:rPr>
            </w:pPr>
            <w:r>
              <w:rPr>
                <w:sz w:val="16"/>
              </w:rPr>
              <w:t>149.25</w:t>
            </w:r>
          </w:p>
        </w:tc>
        <w:tc>
          <w:tcPr>
            <w:tcW w:w="809" w:type="dxa"/>
            <w:shd w:val="clear" w:color="auto" w:fill="D8E1F2"/>
          </w:tcPr>
          <w:p>
            <w:pPr>
              <w:pStyle w:val="TableParagraph"/>
              <w:ind w:left="0" w:right="98"/>
              <w:jc w:val="right"/>
              <w:rPr>
                <w:sz w:val="16"/>
              </w:rPr>
            </w:pPr>
            <w:r>
              <w:rPr>
                <w:sz w:val="16"/>
              </w:rPr>
              <w:t>Pontotoc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ind w:left="0" w:right="94"/>
              <w:jc w:val="right"/>
              <w:rPr>
                <w:sz w:val="16"/>
              </w:rPr>
            </w:pPr>
            <w:r>
              <w:rPr>
                <w:sz w:val="16"/>
              </w:rPr>
              <w:t>2N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6E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S2</w:t>
            </w:r>
          </w:p>
        </w:tc>
        <w:tc>
          <w:tcPr>
            <w:tcW w:w="811" w:type="dxa"/>
            <w:shd w:val="clear" w:color="auto" w:fill="D8E1F2"/>
          </w:tcPr>
          <w:p>
            <w:pPr>
              <w:pStyle w:val="TableParagraph"/>
              <w:ind w:left="0" w:right="99"/>
              <w:jc w:val="right"/>
              <w:rPr>
                <w:sz w:val="16"/>
              </w:rPr>
            </w:pPr>
            <w:r>
              <w:rPr>
                <w:sz w:val="16"/>
              </w:rPr>
              <w:t>Middle</w:t>
            </w: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5" w:lineRule="exact" w:before="1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WCH-46</w:t>
            </w:r>
          </w:p>
        </w:tc>
        <w:tc>
          <w:tcPr>
            <w:tcW w:w="900" w:type="dxa"/>
          </w:tcPr>
          <w:p>
            <w:pPr>
              <w:pStyle w:val="TableParagraph"/>
              <w:spacing w:line="175" w:lineRule="exact" w:before="1"/>
              <w:ind w:left="0" w:right="97"/>
              <w:jc w:val="right"/>
              <w:rPr>
                <w:sz w:val="16"/>
              </w:rPr>
            </w:pPr>
            <w:r>
              <w:rPr>
                <w:sz w:val="16"/>
              </w:rPr>
              <w:t>153.58</w:t>
            </w:r>
          </w:p>
        </w:tc>
        <w:tc>
          <w:tcPr>
            <w:tcW w:w="809" w:type="dxa"/>
          </w:tcPr>
          <w:p>
            <w:pPr>
              <w:pStyle w:val="TableParagraph"/>
              <w:spacing w:line="175" w:lineRule="exact" w:before="1"/>
              <w:ind w:left="0" w:right="98"/>
              <w:jc w:val="right"/>
              <w:rPr>
                <w:sz w:val="16"/>
              </w:rPr>
            </w:pPr>
            <w:r>
              <w:rPr>
                <w:sz w:val="16"/>
              </w:rPr>
              <w:t>Pontotoc</w:t>
            </w:r>
          </w:p>
        </w:tc>
        <w:tc>
          <w:tcPr>
            <w:tcW w:w="1260" w:type="dxa"/>
          </w:tcPr>
          <w:p>
            <w:pPr>
              <w:pStyle w:val="TableParagraph"/>
              <w:spacing w:line="175" w:lineRule="exact" w:before="1"/>
              <w:ind w:left="0" w:right="94"/>
              <w:jc w:val="right"/>
              <w:rPr>
                <w:sz w:val="16"/>
              </w:rPr>
            </w:pPr>
            <w:r>
              <w:rPr>
                <w:sz w:val="16"/>
              </w:rPr>
              <w:t>2N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6E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S2</w:t>
            </w:r>
          </w:p>
        </w:tc>
        <w:tc>
          <w:tcPr>
            <w:tcW w:w="811" w:type="dxa"/>
          </w:tcPr>
          <w:p>
            <w:pPr>
              <w:pStyle w:val="TableParagraph"/>
              <w:spacing w:line="175" w:lineRule="exact" w:before="1"/>
              <w:ind w:left="0" w:right="99"/>
              <w:jc w:val="right"/>
              <w:rPr>
                <w:sz w:val="16"/>
              </w:rPr>
            </w:pPr>
            <w:r>
              <w:rPr>
                <w:sz w:val="16"/>
              </w:rPr>
              <w:t>Middle</w:t>
            </w:r>
          </w:p>
        </w:tc>
      </w:tr>
      <w:tr>
        <w:trPr>
          <w:trHeight w:val="196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spacing w:line="176" w:lineRule="exact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WCH-47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left="0" w:right="97"/>
              <w:jc w:val="right"/>
              <w:rPr>
                <w:sz w:val="16"/>
              </w:rPr>
            </w:pPr>
            <w:r>
              <w:rPr>
                <w:sz w:val="16"/>
              </w:rPr>
              <w:t>160.17</w:t>
            </w:r>
          </w:p>
        </w:tc>
        <w:tc>
          <w:tcPr>
            <w:tcW w:w="809" w:type="dxa"/>
            <w:shd w:val="clear" w:color="auto" w:fill="D8E1F2"/>
          </w:tcPr>
          <w:p>
            <w:pPr>
              <w:pStyle w:val="TableParagraph"/>
              <w:spacing w:line="176" w:lineRule="exact"/>
              <w:ind w:left="0" w:right="98"/>
              <w:jc w:val="right"/>
              <w:rPr>
                <w:sz w:val="16"/>
              </w:rPr>
            </w:pPr>
            <w:r>
              <w:rPr>
                <w:sz w:val="16"/>
              </w:rPr>
              <w:t>Pontotoc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spacing w:line="176" w:lineRule="exact"/>
              <w:ind w:left="0" w:right="94"/>
              <w:jc w:val="right"/>
              <w:rPr>
                <w:sz w:val="16"/>
              </w:rPr>
            </w:pPr>
            <w:r>
              <w:rPr>
                <w:sz w:val="16"/>
              </w:rPr>
              <w:t>2N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6E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S2</w:t>
            </w:r>
          </w:p>
        </w:tc>
        <w:tc>
          <w:tcPr>
            <w:tcW w:w="811" w:type="dxa"/>
            <w:shd w:val="clear" w:color="auto" w:fill="D8E1F2"/>
          </w:tcPr>
          <w:p>
            <w:pPr>
              <w:pStyle w:val="TableParagraph"/>
              <w:spacing w:line="176" w:lineRule="exact"/>
              <w:ind w:left="0" w:right="99"/>
              <w:jc w:val="right"/>
              <w:rPr>
                <w:sz w:val="16"/>
              </w:rPr>
            </w:pPr>
            <w:r>
              <w:rPr>
                <w:sz w:val="16"/>
              </w:rPr>
              <w:t>Middle</w:t>
            </w:r>
          </w:p>
        </w:tc>
      </w:tr>
      <w:tr>
        <w:trPr>
          <w:trHeight w:val="194" w:hRule="atLeast"/>
        </w:trPr>
        <w:tc>
          <w:tcPr>
            <w:tcW w:w="806" w:type="dxa"/>
          </w:tcPr>
          <w:p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WCH-48</w:t>
            </w:r>
          </w:p>
        </w:tc>
        <w:tc>
          <w:tcPr>
            <w:tcW w:w="900" w:type="dxa"/>
          </w:tcPr>
          <w:p>
            <w:pPr>
              <w:pStyle w:val="TableParagraph"/>
              <w:ind w:left="0" w:right="97"/>
              <w:jc w:val="right"/>
              <w:rPr>
                <w:sz w:val="16"/>
              </w:rPr>
            </w:pPr>
            <w:r>
              <w:rPr>
                <w:sz w:val="16"/>
              </w:rPr>
              <w:t>160.83</w:t>
            </w:r>
          </w:p>
        </w:tc>
        <w:tc>
          <w:tcPr>
            <w:tcW w:w="809" w:type="dxa"/>
          </w:tcPr>
          <w:p>
            <w:pPr>
              <w:pStyle w:val="TableParagraph"/>
              <w:ind w:left="0" w:right="98"/>
              <w:jc w:val="right"/>
              <w:rPr>
                <w:sz w:val="16"/>
              </w:rPr>
            </w:pPr>
            <w:r>
              <w:rPr>
                <w:sz w:val="16"/>
              </w:rPr>
              <w:t>Pontotoc</w:t>
            </w:r>
          </w:p>
        </w:tc>
        <w:tc>
          <w:tcPr>
            <w:tcW w:w="1260" w:type="dxa"/>
          </w:tcPr>
          <w:p>
            <w:pPr>
              <w:pStyle w:val="TableParagraph"/>
              <w:ind w:left="0" w:right="94"/>
              <w:jc w:val="right"/>
              <w:rPr>
                <w:sz w:val="16"/>
              </w:rPr>
            </w:pPr>
            <w:r>
              <w:rPr>
                <w:sz w:val="16"/>
              </w:rPr>
              <w:t>2N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6E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S2</w:t>
            </w:r>
          </w:p>
        </w:tc>
        <w:tc>
          <w:tcPr>
            <w:tcW w:w="811" w:type="dxa"/>
          </w:tcPr>
          <w:p>
            <w:pPr>
              <w:pStyle w:val="TableParagraph"/>
              <w:ind w:left="0" w:right="99"/>
              <w:jc w:val="right"/>
              <w:rPr>
                <w:sz w:val="16"/>
              </w:rPr>
            </w:pPr>
            <w:r>
              <w:rPr>
                <w:sz w:val="16"/>
              </w:rPr>
              <w:t>Middle</w:t>
            </w:r>
          </w:p>
        </w:tc>
      </w:tr>
      <w:tr>
        <w:trPr>
          <w:trHeight w:val="196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spacing w:line="176" w:lineRule="exact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WCH-49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left="0" w:right="97"/>
              <w:jc w:val="right"/>
              <w:rPr>
                <w:sz w:val="16"/>
              </w:rPr>
            </w:pPr>
            <w:r>
              <w:rPr>
                <w:sz w:val="16"/>
              </w:rPr>
              <w:t>169.33</w:t>
            </w:r>
          </w:p>
        </w:tc>
        <w:tc>
          <w:tcPr>
            <w:tcW w:w="809" w:type="dxa"/>
            <w:shd w:val="clear" w:color="auto" w:fill="D8E1F2"/>
          </w:tcPr>
          <w:p>
            <w:pPr>
              <w:pStyle w:val="TableParagraph"/>
              <w:spacing w:line="176" w:lineRule="exact"/>
              <w:ind w:left="0" w:right="98"/>
              <w:jc w:val="right"/>
              <w:rPr>
                <w:sz w:val="16"/>
              </w:rPr>
            </w:pPr>
            <w:r>
              <w:rPr>
                <w:sz w:val="16"/>
              </w:rPr>
              <w:t>Pontotoc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spacing w:line="176" w:lineRule="exact"/>
              <w:ind w:left="0" w:right="94"/>
              <w:jc w:val="right"/>
              <w:rPr>
                <w:sz w:val="16"/>
              </w:rPr>
            </w:pPr>
            <w:r>
              <w:rPr>
                <w:sz w:val="16"/>
              </w:rPr>
              <w:t>2N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6E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S2</w:t>
            </w:r>
          </w:p>
        </w:tc>
        <w:tc>
          <w:tcPr>
            <w:tcW w:w="811" w:type="dxa"/>
            <w:shd w:val="clear" w:color="auto" w:fill="D8E1F2"/>
          </w:tcPr>
          <w:p>
            <w:pPr>
              <w:pStyle w:val="TableParagraph"/>
              <w:spacing w:line="176" w:lineRule="exact"/>
              <w:ind w:left="0" w:right="99"/>
              <w:jc w:val="right"/>
              <w:rPr>
                <w:sz w:val="16"/>
              </w:rPr>
            </w:pPr>
            <w:r>
              <w:rPr>
                <w:sz w:val="16"/>
              </w:rPr>
              <w:t>Middle</w:t>
            </w:r>
          </w:p>
        </w:tc>
      </w:tr>
      <w:tr>
        <w:trPr>
          <w:trHeight w:val="194" w:hRule="atLeast"/>
        </w:trPr>
        <w:tc>
          <w:tcPr>
            <w:tcW w:w="806" w:type="dxa"/>
          </w:tcPr>
          <w:p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WCH-50</w:t>
            </w:r>
          </w:p>
        </w:tc>
        <w:tc>
          <w:tcPr>
            <w:tcW w:w="900" w:type="dxa"/>
          </w:tcPr>
          <w:p>
            <w:pPr>
              <w:pStyle w:val="TableParagraph"/>
              <w:ind w:left="0" w:right="97"/>
              <w:jc w:val="right"/>
              <w:rPr>
                <w:sz w:val="16"/>
              </w:rPr>
            </w:pPr>
            <w:r>
              <w:rPr>
                <w:sz w:val="16"/>
              </w:rPr>
              <w:t>170.92</w:t>
            </w:r>
          </w:p>
        </w:tc>
        <w:tc>
          <w:tcPr>
            <w:tcW w:w="809" w:type="dxa"/>
          </w:tcPr>
          <w:p>
            <w:pPr>
              <w:pStyle w:val="TableParagraph"/>
              <w:ind w:left="0" w:right="98"/>
              <w:jc w:val="right"/>
              <w:rPr>
                <w:sz w:val="16"/>
              </w:rPr>
            </w:pPr>
            <w:r>
              <w:rPr>
                <w:sz w:val="16"/>
              </w:rPr>
              <w:t>Pontotoc</w:t>
            </w:r>
          </w:p>
        </w:tc>
        <w:tc>
          <w:tcPr>
            <w:tcW w:w="1260" w:type="dxa"/>
          </w:tcPr>
          <w:p>
            <w:pPr>
              <w:pStyle w:val="TableParagraph"/>
              <w:ind w:left="0" w:right="94"/>
              <w:jc w:val="right"/>
              <w:rPr>
                <w:sz w:val="16"/>
              </w:rPr>
            </w:pPr>
            <w:r>
              <w:rPr>
                <w:sz w:val="16"/>
              </w:rPr>
              <w:t>2N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6E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S2</w:t>
            </w:r>
          </w:p>
        </w:tc>
        <w:tc>
          <w:tcPr>
            <w:tcW w:w="811" w:type="dxa"/>
          </w:tcPr>
          <w:p>
            <w:pPr>
              <w:pStyle w:val="TableParagraph"/>
              <w:ind w:left="0" w:right="99"/>
              <w:jc w:val="right"/>
              <w:rPr>
                <w:sz w:val="16"/>
              </w:rPr>
            </w:pPr>
            <w:r>
              <w:rPr>
                <w:sz w:val="16"/>
              </w:rPr>
              <w:t>Middle</w:t>
            </w:r>
          </w:p>
        </w:tc>
      </w:tr>
      <w:tr>
        <w:trPr>
          <w:trHeight w:val="196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spacing w:line="176" w:lineRule="exact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WCH-51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left="0" w:right="97"/>
              <w:jc w:val="right"/>
              <w:rPr>
                <w:sz w:val="16"/>
              </w:rPr>
            </w:pPr>
            <w:r>
              <w:rPr>
                <w:sz w:val="16"/>
              </w:rPr>
              <w:t>172.00</w:t>
            </w:r>
          </w:p>
        </w:tc>
        <w:tc>
          <w:tcPr>
            <w:tcW w:w="809" w:type="dxa"/>
            <w:shd w:val="clear" w:color="auto" w:fill="D8E1F2"/>
          </w:tcPr>
          <w:p>
            <w:pPr>
              <w:pStyle w:val="TableParagraph"/>
              <w:spacing w:line="176" w:lineRule="exact"/>
              <w:ind w:left="0" w:right="98"/>
              <w:jc w:val="right"/>
              <w:rPr>
                <w:sz w:val="16"/>
              </w:rPr>
            </w:pPr>
            <w:r>
              <w:rPr>
                <w:sz w:val="16"/>
              </w:rPr>
              <w:t>Pontotoc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spacing w:line="176" w:lineRule="exact"/>
              <w:ind w:left="0" w:right="94"/>
              <w:jc w:val="right"/>
              <w:rPr>
                <w:sz w:val="16"/>
              </w:rPr>
            </w:pPr>
            <w:r>
              <w:rPr>
                <w:sz w:val="16"/>
              </w:rPr>
              <w:t>2N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6E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S2</w:t>
            </w:r>
          </w:p>
        </w:tc>
        <w:tc>
          <w:tcPr>
            <w:tcW w:w="811" w:type="dxa"/>
            <w:shd w:val="clear" w:color="auto" w:fill="D8E1F2"/>
          </w:tcPr>
          <w:p>
            <w:pPr>
              <w:pStyle w:val="TableParagraph"/>
              <w:spacing w:line="176" w:lineRule="exact"/>
              <w:ind w:left="0" w:right="99"/>
              <w:jc w:val="right"/>
              <w:rPr>
                <w:sz w:val="16"/>
              </w:rPr>
            </w:pPr>
            <w:r>
              <w:rPr>
                <w:sz w:val="16"/>
              </w:rPr>
              <w:t>Middle</w:t>
            </w:r>
          </w:p>
        </w:tc>
      </w:tr>
      <w:tr>
        <w:trPr>
          <w:trHeight w:val="194" w:hRule="atLeast"/>
        </w:trPr>
        <w:tc>
          <w:tcPr>
            <w:tcW w:w="806" w:type="dxa"/>
          </w:tcPr>
          <w:p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WCH-52</w:t>
            </w:r>
          </w:p>
        </w:tc>
        <w:tc>
          <w:tcPr>
            <w:tcW w:w="900" w:type="dxa"/>
          </w:tcPr>
          <w:p>
            <w:pPr>
              <w:pStyle w:val="TableParagraph"/>
              <w:ind w:left="0" w:right="97"/>
              <w:jc w:val="right"/>
              <w:rPr>
                <w:sz w:val="16"/>
              </w:rPr>
            </w:pPr>
            <w:r>
              <w:rPr>
                <w:sz w:val="16"/>
              </w:rPr>
              <w:t>172.42</w:t>
            </w:r>
          </w:p>
        </w:tc>
        <w:tc>
          <w:tcPr>
            <w:tcW w:w="809" w:type="dxa"/>
          </w:tcPr>
          <w:p>
            <w:pPr>
              <w:pStyle w:val="TableParagraph"/>
              <w:ind w:left="0" w:right="98"/>
              <w:jc w:val="right"/>
              <w:rPr>
                <w:sz w:val="16"/>
              </w:rPr>
            </w:pPr>
            <w:r>
              <w:rPr>
                <w:sz w:val="16"/>
              </w:rPr>
              <w:t>Pontotoc</w:t>
            </w:r>
          </w:p>
        </w:tc>
        <w:tc>
          <w:tcPr>
            <w:tcW w:w="1260" w:type="dxa"/>
          </w:tcPr>
          <w:p>
            <w:pPr>
              <w:pStyle w:val="TableParagraph"/>
              <w:ind w:left="0" w:right="94"/>
              <w:jc w:val="right"/>
              <w:rPr>
                <w:sz w:val="16"/>
              </w:rPr>
            </w:pPr>
            <w:r>
              <w:rPr>
                <w:sz w:val="16"/>
              </w:rPr>
              <w:t>2N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6E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S2</w:t>
            </w:r>
          </w:p>
        </w:tc>
        <w:tc>
          <w:tcPr>
            <w:tcW w:w="811" w:type="dxa"/>
          </w:tcPr>
          <w:p>
            <w:pPr>
              <w:pStyle w:val="TableParagraph"/>
              <w:ind w:left="0" w:right="99"/>
              <w:jc w:val="right"/>
              <w:rPr>
                <w:sz w:val="16"/>
              </w:rPr>
            </w:pPr>
            <w:r>
              <w:rPr>
                <w:sz w:val="16"/>
              </w:rPr>
              <w:t>Middle</w:t>
            </w:r>
          </w:p>
        </w:tc>
      </w:tr>
      <w:tr>
        <w:trPr>
          <w:trHeight w:val="196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spacing w:line="176" w:lineRule="exact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WCH-53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left="0" w:right="97"/>
              <w:jc w:val="right"/>
              <w:rPr>
                <w:sz w:val="16"/>
              </w:rPr>
            </w:pPr>
            <w:r>
              <w:rPr>
                <w:sz w:val="16"/>
              </w:rPr>
              <w:t>173.83</w:t>
            </w:r>
          </w:p>
        </w:tc>
        <w:tc>
          <w:tcPr>
            <w:tcW w:w="809" w:type="dxa"/>
            <w:shd w:val="clear" w:color="auto" w:fill="D8E1F2"/>
          </w:tcPr>
          <w:p>
            <w:pPr>
              <w:pStyle w:val="TableParagraph"/>
              <w:spacing w:line="176" w:lineRule="exact"/>
              <w:ind w:left="0" w:right="98"/>
              <w:jc w:val="right"/>
              <w:rPr>
                <w:sz w:val="16"/>
              </w:rPr>
            </w:pPr>
            <w:r>
              <w:rPr>
                <w:sz w:val="16"/>
              </w:rPr>
              <w:t>Pontotoc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spacing w:line="176" w:lineRule="exact"/>
              <w:ind w:left="0" w:right="94"/>
              <w:jc w:val="right"/>
              <w:rPr>
                <w:sz w:val="16"/>
              </w:rPr>
            </w:pPr>
            <w:r>
              <w:rPr>
                <w:sz w:val="16"/>
              </w:rPr>
              <w:t>2N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6E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S2</w:t>
            </w:r>
          </w:p>
        </w:tc>
        <w:tc>
          <w:tcPr>
            <w:tcW w:w="811" w:type="dxa"/>
            <w:shd w:val="clear" w:color="auto" w:fill="D8E1F2"/>
          </w:tcPr>
          <w:p>
            <w:pPr>
              <w:pStyle w:val="TableParagraph"/>
              <w:spacing w:line="176" w:lineRule="exact"/>
              <w:ind w:left="0" w:right="99"/>
              <w:jc w:val="right"/>
              <w:rPr>
                <w:sz w:val="16"/>
              </w:rPr>
            </w:pPr>
            <w:r>
              <w:rPr>
                <w:sz w:val="16"/>
              </w:rPr>
              <w:t>Middle</w:t>
            </w:r>
          </w:p>
        </w:tc>
      </w:tr>
      <w:tr>
        <w:trPr>
          <w:trHeight w:val="194" w:hRule="atLeast"/>
        </w:trPr>
        <w:tc>
          <w:tcPr>
            <w:tcW w:w="806" w:type="dxa"/>
          </w:tcPr>
          <w:p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WCH-54</w:t>
            </w:r>
          </w:p>
        </w:tc>
        <w:tc>
          <w:tcPr>
            <w:tcW w:w="900" w:type="dxa"/>
          </w:tcPr>
          <w:p>
            <w:pPr>
              <w:pStyle w:val="TableParagraph"/>
              <w:ind w:left="0" w:right="97"/>
              <w:jc w:val="right"/>
              <w:rPr>
                <w:sz w:val="16"/>
              </w:rPr>
            </w:pPr>
            <w:r>
              <w:rPr>
                <w:sz w:val="16"/>
              </w:rPr>
              <w:t>174.42</w:t>
            </w:r>
          </w:p>
        </w:tc>
        <w:tc>
          <w:tcPr>
            <w:tcW w:w="809" w:type="dxa"/>
          </w:tcPr>
          <w:p>
            <w:pPr>
              <w:pStyle w:val="TableParagraph"/>
              <w:ind w:left="0" w:right="98"/>
              <w:jc w:val="right"/>
              <w:rPr>
                <w:sz w:val="16"/>
              </w:rPr>
            </w:pPr>
            <w:r>
              <w:rPr>
                <w:sz w:val="16"/>
              </w:rPr>
              <w:t>Pontotoc</w:t>
            </w:r>
          </w:p>
        </w:tc>
        <w:tc>
          <w:tcPr>
            <w:tcW w:w="1260" w:type="dxa"/>
          </w:tcPr>
          <w:p>
            <w:pPr>
              <w:pStyle w:val="TableParagraph"/>
              <w:ind w:left="0" w:right="94"/>
              <w:jc w:val="right"/>
              <w:rPr>
                <w:sz w:val="16"/>
              </w:rPr>
            </w:pPr>
            <w:r>
              <w:rPr>
                <w:sz w:val="16"/>
              </w:rPr>
              <w:t>2N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6E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S2</w:t>
            </w:r>
          </w:p>
        </w:tc>
        <w:tc>
          <w:tcPr>
            <w:tcW w:w="811" w:type="dxa"/>
          </w:tcPr>
          <w:p>
            <w:pPr>
              <w:pStyle w:val="TableParagraph"/>
              <w:ind w:left="0" w:right="99"/>
              <w:jc w:val="right"/>
              <w:rPr>
                <w:sz w:val="16"/>
              </w:rPr>
            </w:pPr>
            <w:r>
              <w:rPr>
                <w:sz w:val="16"/>
              </w:rPr>
              <w:t>Middle</w:t>
            </w:r>
          </w:p>
        </w:tc>
      </w:tr>
      <w:tr>
        <w:trPr>
          <w:trHeight w:val="196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WCH-32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0" w:right="97"/>
              <w:jc w:val="right"/>
              <w:rPr>
                <w:sz w:val="16"/>
              </w:rPr>
            </w:pPr>
            <w:r>
              <w:rPr>
                <w:sz w:val="16"/>
              </w:rPr>
              <w:t>181.92</w:t>
            </w:r>
          </w:p>
        </w:tc>
        <w:tc>
          <w:tcPr>
            <w:tcW w:w="809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0" w:right="98"/>
              <w:jc w:val="right"/>
              <w:rPr>
                <w:sz w:val="16"/>
              </w:rPr>
            </w:pPr>
            <w:r>
              <w:rPr>
                <w:sz w:val="16"/>
              </w:rPr>
              <w:t>Pontotoc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0" w:right="94"/>
              <w:jc w:val="right"/>
              <w:rPr>
                <w:sz w:val="16"/>
              </w:rPr>
            </w:pPr>
            <w:r>
              <w:rPr>
                <w:sz w:val="16"/>
              </w:rPr>
              <w:t>2N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6E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S2</w:t>
            </w:r>
          </w:p>
        </w:tc>
        <w:tc>
          <w:tcPr>
            <w:tcW w:w="811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0" w:right="97"/>
              <w:jc w:val="right"/>
              <w:rPr>
                <w:sz w:val="16"/>
              </w:rPr>
            </w:pPr>
            <w:r>
              <w:rPr>
                <w:sz w:val="16"/>
              </w:rPr>
              <w:t>Lower</w:t>
            </w:r>
          </w:p>
        </w:tc>
      </w:tr>
      <w:tr>
        <w:trPr>
          <w:trHeight w:val="193" w:hRule="atLeast"/>
        </w:trPr>
        <w:tc>
          <w:tcPr>
            <w:tcW w:w="806" w:type="dxa"/>
          </w:tcPr>
          <w:p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WCH-33</w:t>
            </w:r>
          </w:p>
        </w:tc>
        <w:tc>
          <w:tcPr>
            <w:tcW w:w="900" w:type="dxa"/>
          </w:tcPr>
          <w:p>
            <w:pPr>
              <w:pStyle w:val="TableParagraph"/>
              <w:ind w:left="0" w:right="97"/>
              <w:jc w:val="right"/>
              <w:rPr>
                <w:sz w:val="16"/>
              </w:rPr>
            </w:pPr>
            <w:r>
              <w:rPr>
                <w:sz w:val="16"/>
              </w:rPr>
              <w:t>185.92</w:t>
            </w:r>
          </w:p>
        </w:tc>
        <w:tc>
          <w:tcPr>
            <w:tcW w:w="809" w:type="dxa"/>
          </w:tcPr>
          <w:p>
            <w:pPr>
              <w:pStyle w:val="TableParagraph"/>
              <w:ind w:left="0" w:right="98"/>
              <w:jc w:val="right"/>
              <w:rPr>
                <w:sz w:val="16"/>
              </w:rPr>
            </w:pPr>
            <w:r>
              <w:rPr>
                <w:sz w:val="16"/>
              </w:rPr>
              <w:t>Pontotoc</w:t>
            </w:r>
          </w:p>
        </w:tc>
        <w:tc>
          <w:tcPr>
            <w:tcW w:w="1260" w:type="dxa"/>
          </w:tcPr>
          <w:p>
            <w:pPr>
              <w:pStyle w:val="TableParagraph"/>
              <w:ind w:left="0" w:right="94"/>
              <w:jc w:val="right"/>
              <w:rPr>
                <w:sz w:val="16"/>
              </w:rPr>
            </w:pPr>
            <w:r>
              <w:rPr>
                <w:sz w:val="16"/>
              </w:rPr>
              <w:t>2N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6E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S2</w:t>
            </w:r>
          </w:p>
        </w:tc>
        <w:tc>
          <w:tcPr>
            <w:tcW w:w="811" w:type="dxa"/>
          </w:tcPr>
          <w:p>
            <w:pPr>
              <w:pStyle w:val="TableParagraph"/>
              <w:ind w:left="0" w:right="97"/>
              <w:jc w:val="right"/>
              <w:rPr>
                <w:sz w:val="16"/>
              </w:rPr>
            </w:pPr>
            <w:r>
              <w:rPr>
                <w:sz w:val="16"/>
              </w:rPr>
              <w:t>Lower</w:t>
            </w:r>
          </w:p>
        </w:tc>
      </w:tr>
      <w:tr>
        <w:trPr>
          <w:trHeight w:val="196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WCH-34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0" w:right="97"/>
              <w:jc w:val="right"/>
              <w:rPr>
                <w:sz w:val="16"/>
              </w:rPr>
            </w:pPr>
            <w:r>
              <w:rPr>
                <w:sz w:val="16"/>
              </w:rPr>
              <w:t>186.42</w:t>
            </w:r>
          </w:p>
        </w:tc>
        <w:tc>
          <w:tcPr>
            <w:tcW w:w="809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0" w:right="98"/>
              <w:jc w:val="right"/>
              <w:rPr>
                <w:sz w:val="16"/>
              </w:rPr>
            </w:pPr>
            <w:r>
              <w:rPr>
                <w:sz w:val="16"/>
              </w:rPr>
              <w:t>Pontotoc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0" w:right="94"/>
              <w:jc w:val="right"/>
              <w:rPr>
                <w:sz w:val="16"/>
              </w:rPr>
            </w:pPr>
            <w:r>
              <w:rPr>
                <w:sz w:val="16"/>
              </w:rPr>
              <w:t>2N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6E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S2</w:t>
            </w:r>
          </w:p>
        </w:tc>
        <w:tc>
          <w:tcPr>
            <w:tcW w:w="811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0" w:right="97"/>
              <w:jc w:val="right"/>
              <w:rPr>
                <w:sz w:val="16"/>
              </w:rPr>
            </w:pPr>
            <w:r>
              <w:rPr>
                <w:sz w:val="16"/>
              </w:rPr>
              <w:t>Lower</w:t>
            </w: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6" w:lineRule="exact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WCH-35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left="0" w:right="97"/>
              <w:jc w:val="right"/>
              <w:rPr>
                <w:sz w:val="16"/>
              </w:rPr>
            </w:pPr>
            <w:r>
              <w:rPr>
                <w:sz w:val="16"/>
              </w:rPr>
              <w:t>187.75</w:t>
            </w:r>
          </w:p>
        </w:tc>
        <w:tc>
          <w:tcPr>
            <w:tcW w:w="809" w:type="dxa"/>
          </w:tcPr>
          <w:p>
            <w:pPr>
              <w:pStyle w:val="TableParagraph"/>
              <w:spacing w:line="176" w:lineRule="exact"/>
              <w:ind w:left="0" w:right="98"/>
              <w:jc w:val="right"/>
              <w:rPr>
                <w:sz w:val="16"/>
              </w:rPr>
            </w:pPr>
            <w:r>
              <w:rPr>
                <w:sz w:val="16"/>
              </w:rPr>
              <w:t>Pontotoc</w:t>
            </w:r>
          </w:p>
        </w:tc>
        <w:tc>
          <w:tcPr>
            <w:tcW w:w="1260" w:type="dxa"/>
          </w:tcPr>
          <w:p>
            <w:pPr>
              <w:pStyle w:val="TableParagraph"/>
              <w:spacing w:line="176" w:lineRule="exact"/>
              <w:ind w:left="0" w:right="94"/>
              <w:jc w:val="right"/>
              <w:rPr>
                <w:sz w:val="16"/>
              </w:rPr>
            </w:pPr>
            <w:r>
              <w:rPr>
                <w:sz w:val="16"/>
              </w:rPr>
              <w:t>2N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6E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S2</w:t>
            </w:r>
          </w:p>
        </w:tc>
        <w:tc>
          <w:tcPr>
            <w:tcW w:w="811" w:type="dxa"/>
          </w:tcPr>
          <w:p>
            <w:pPr>
              <w:pStyle w:val="TableParagraph"/>
              <w:spacing w:line="176" w:lineRule="exact"/>
              <w:ind w:left="0" w:right="97"/>
              <w:jc w:val="right"/>
              <w:rPr>
                <w:sz w:val="16"/>
              </w:rPr>
            </w:pPr>
            <w:r>
              <w:rPr>
                <w:sz w:val="16"/>
              </w:rPr>
              <w:t>Lower</w:t>
            </w:r>
          </w:p>
        </w:tc>
      </w:tr>
      <w:tr>
        <w:trPr>
          <w:trHeight w:val="194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WCH-36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left="0" w:right="97"/>
              <w:jc w:val="right"/>
              <w:rPr>
                <w:sz w:val="16"/>
              </w:rPr>
            </w:pPr>
            <w:r>
              <w:rPr>
                <w:sz w:val="16"/>
              </w:rPr>
              <w:t>191.08</w:t>
            </w:r>
          </w:p>
        </w:tc>
        <w:tc>
          <w:tcPr>
            <w:tcW w:w="809" w:type="dxa"/>
            <w:shd w:val="clear" w:color="auto" w:fill="D8E1F2"/>
          </w:tcPr>
          <w:p>
            <w:pPr>
              <w:pStyle w:val="TableParagraph"/>
              <w:ind w:left="0" w:right="98"/>
              <w:jc w:val="right"/>
              <w:rPr>
                <w:sz w:val="16"/>
              </w:rPr>
            </w:pPr>
            <w:r>
              <w:rPr>
                <w:sz w:val="16"/>
              </w:rPr>
              <w:t>Pontotoc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ind w:left="0" w:right="94"/>
              <w:jc w:val="right"/>
              <w:rPr>
                <w:sz w:val="16"/>
              </w:rPr>
            </w:pPr>
            <w:r>
              <w:rPr>
                <w:sz w:val="16"/>
              </w:rPr>
              <w:t>2N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6E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S2</w:t>
            </w:r>
          </w:p>
        </w:tc>
        <w:tc>
          <w:tcPr>
            <w:tcW w:w="811" w:type="dxa"/>
            <w:shd w:val="clear" w:color="auto" w:fill="D8E1F2"/>
          </w:tcPr>
          <w:p>
            <w:pPr>
              <w:pStyle w:val="TableParagraph"/>
              <w:ind w:left="0" w:right="97"/>
              <w:jc w:val="right"/>
              <w:rPr>
                <w:sz w:val="16"/>
              </w:rPr>
            </w:pPr>
            <w:r>
              <w:rPr>
                <w:sz w:val="16"/>
              </w:rPr>
              <w:t>Lower</w:t>
            </w: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6" w:lineRule="exact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WCH-55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left="0" w:right="97"/>
              <w:jc w:val="right"/>
              <w:rPr>
                <w:sz w:val="16"/>
              </w:rPr>
            </w:pPr>
            <w:r>
              <w:rPr>
                <w:sz w:val="16"/>
              </w:rPr>
              <w:t>191.33</w:t>
            </w:r>
          </w:p>
        </w:tc>
        <w:tc>
          <w:tcPr>
            <w:tcW w:w="809" w:type="dxa"/>
          </w:tcPr>
          <w:p>
            <w:pPr>
              <w:pStyle w:val="TableParagraph"/>
              <w:spacing w:line="176" w:lineRule="exact"/>
              <w:ind w:left="0" w:right="98"/>
              <w:jc w:val="right"/>
              <w:rPr>
                <w:sz w:val="16"/>
              </w:rPr>
            </w:pPr>
            <w:r>
              <w:rPr>
                <w:sz w:val="16"/>
              </w:rPr>
              <w:t>Pontotoc</w:t>
            </w:r>
          </w:p>
        </w:tc>
        <w:tc>
          <w:tcPr>
            <w:tcW w:w="1260" w:type="dxa"/>
          </w:tcPr>
          <w:p>
            <w:pPr>
              <w:pStyle w:val="TableParagraph"/>
              <w:spacing w:line="176" w:lineRule="exact"/>
              <w:ind w:left="0" w:right="94"/>
              <w:jc w:val="right"/>
              <w:rPr>
                <w:sz w:val="16"/>
              </w:rPr>
            </w:pPr>
            <w:r>
              <w:rPr>
                <w:sz w:val="16"/>
              </w:rPr>
              <w:t>2N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6E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S2</w:t>
            </w:r>
          </w:p>
        </w:tc>
        <w:tc>
          <w:tcPr>
            <w:tcW w:w="811" w:type="dxa"/>
          </w:tcPr>
          <w:p>
            <w:pPr>
              <w:pStyle w:val="TableParagraph"/>
              <w:spacing w:line="176" w:lineRule="exact"/>
              <w:ind w:left="0" w:right="97"/>
              <w:jc w:val="right"/>
              <w:rPr>
                <w:sz w:val="16"/>
              </w:rPr>
            </w:pPr>
            <w:r>
              <w:rPr>
                <w:sz w:val="16"/>
              </w:rPr>
              <w:t>Lower</w:t>
            </w:r>
          </w:p>
        </w:tc>
      </w:tr>
      <w:tr>
        <w:trPr>
          <w:trHeight w:val="194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WCH-37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left="0" w:right="97"/>
              <w:jc w:val="right"/>
              <w:rPr>
                <w:sz w:val="16"/>
              </w:rPr>
            </w:pPr>
            <w:r>
              <w:rPr>
                <w:sz w:val="16"/>
              </w:rPr>
              <w:t>192.75</w:t>
            </w:r>
          </w:p>
        </w:tc>
        <w:tc>
          <w:tcPr>
            <w:tcW w:w="809" w:type="dxa"/>
            <w:shd w:val="clear" w:color="auto" w:fill="D8E1F2"/>
          </w:tcPr>
          <w:p>
            <w:pPr>
              <w:pStyle w:val="TableParagraph"/>
              <w:ind w:left="0" w:right="98"/>
              <w:jc w:val="right"/>
              <w:rPr>
                <w:sz w:val="16"/>
              </w:rPr>
            </w:pPr>
            <w:r>
              <w:rPr>
                <w:sz w:val="16"/>
              </w:rPr>
              <w:t>Pontotoc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ind w:left="0" w:right="94"/>
              <w:jc w:val="right"/>
              <w:rPr>
                <w:sz w:val="16"/>
              </w:rPr>
            </w:pPr>
            <w:r>
              <w:rPr>
                <w:sz w:val="16"/>
              </w:rPr>
              <w:t>2N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6E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S2</w:t>
            </w:r>
          </w:p>
        </w:tc>
        <w:tc>
          <w:tcPr>
            <w:tcW w:w="811" w:type="dxa"/>
            <w:shd w:val="clear" w:color="auto" w:fill="D8E1F2"/>
          </w:tcPr>
          <w:p>
            <w:pPr>
              <w:pStyle w:val="TableParagraph"/>
              <w:ind w:left="0" w:right="97"/>
              <w:jc w:val="right"/>
              <w:rPr>
                <w:sz w:val="16"/>
              </w:rPr>
            </w:pPr>
            <w:r>
              <w:rPr>
                <w:sz w:val="16"/>
              </w:rPr>
              <w:t>Lower</w:t>
            </w: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6" w:lineRule="exact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WCH-38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left="0" w:right="97"/>
              <w:jc w:val="right"/>
              <w:rPr>
                <w:sz w:val="16"/>
              </w:rPr>
            </w:pPr>
            <w:r>
              <w:rPr>
                <w:sz w:val="16"/>
              </w:rPr>
              <w:t>193.75</w:t>
            </w:r>
          </w:p>
        </w:tc>
        <w:tc>
          <w:tcPr>
            <w:tcW w:w="809" w:type="dxa"/>
          </w:tcPr>
          <w:p>
            <w:pPr>
              <w:pStyle w:val="TableParagraph"/>
              <w:spacing w:line="176" w:lineRule="exact"/>
              <w:ind w:left="0" w:right="98"/>
              <w:jc w:val="right"/>
              <w:rPr>
                <w:sz w:val="16"/>
              </w:rPr>
            </w:pPr>
            <w:r>
              <w:rPr>
                <w:sz w:val="16"/>
              </w:rPr>
              <w:t>Pontotoc</w:t>
            </w:r>
          </w:p>
        </w:tc>
        <w:tc>
          <w:tcPr>
            <w:tcW w:w="1260" w:type="dxa"/>
          </w:tcPr>
          <w:p>
            <w:pPr>
              <w:pStyle w:val="TableParagraph"/>
              <w:spacing w:line="176" w:lineRule="exact"/>
              <w:ind w:left="0" w:right="94"/>
              <w:jc w:val="right"/>
              <w:rPr>
                <w:sz w:val="16"/>
              </w:rPr>
            </w:pPr>
            <w:r>
              <w:rPr>
                <w:sz w:val="16"/>
              </w:rPr>
              <w:t>2N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6E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S2</w:t>
            </w:r>
          </w:p>
        </w:tc>
        <w:tc>
          <w:tcPr>
            <w:tcW w:w="811" w:type="dxa"/>
          </w:tcPr>
          <w:p>
            <w:pPr>
              <w:pStyle w:val="TableParagraph"/>
              <w:spacing w:line="176" w:lineRule="exact"/>
              <w:ind w:left="0" w:right="97"/>
              <w:jc w:val="right"/>
              <w:rPr>
                <w:sz w:val="16"/>
              </w:rPr>
            </w:pPr>
            <w:r>
              <w:rPr>
                <w:sz w:val="16"/>
              </w:rPr>
              <w:t>Lower</w:t>
            </w:r>
          </w:p>
        </w:tc>
      </w:tr>
      <w:tr>
        <w:trPr>
          <w:trHeight w:val="194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WCH-39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left="0" w:right="97"/>
              <w:jc w:val="right"/>
              <w:rPr>
                <w:sz w:val="16"/>
              </w:rPr>
            </w:pPr>
            <w:r>
              <w:rPr>
                <w:sz w:val="16"/>
              </w:rPr>
              <w:t>195.42</w:t>
            </w:r>
          </w:p>
        </w:tc>
        <w:tc>
          <w:tcPr>
            <w:tcW w:w="809" w:type="dxa"/>
            <w:shd w:val="clear" w:color="auto" w:fill="D8E1F2"/>
          </w:tcPr>
          <w:p>
            <w:pPr>
              <w:pStyle w:val="TableParagraph"/>
              <w:ind w:left="0" w:right="98"/>
              <w:jc w:val="right"/>
              <w:rPr>
                <w:sz w:val="16"/>
              </w:rPr>
            </w:pPr>
            <w:r>
              <w:rPr>
                <w:sz w:val="16"/>
              </w:rPr>
              <w:t>Pontotoc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ind w:left="0" w:right="94"/>
              <w:jc w:val="right"/>
              <w:rPr>
                <w:sz w:val="16"/>
              </w:rPr>
            </w:pPr>
            <w:r>
              <w:rPr>
                <w:sz w:val="16"/>
              </w:rPr>
              <w:t>2N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6E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S2</w:t>
            </w:r>
          </w:p>
        </w:tc>
        <w:tc>
          <w:tcPr>
            <w:tcW w:w="811" w:type="dxa"/>
            <w:shd w:val="clear" w:color="auto" w:fill="D8E1F2"/>
          </w:tcPr>
          <w:p>
            <w:pPr>
              <w:pStyle w:val="TableParagraph"/>
              <w:ind w:left="0" w:right="97"/>
              <w:jc w:val="right"/>
              <w:rPr>
                <w:sz w:val="16"/>
              </w:rPr>
            </w:pPr>
            <w:r>
              <w:rPr>
                <w:sz w:val="16"/>
              </w:rPr>
              <w:t>Lower</w:t>
            </w: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6" w:lineRule="exact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WCH-56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left="0" w:right="97"/>
              <w:jc w:val="right"/>
              <w:rPr>
                <w:sz w:val="16"/>
              </w:rPr>
            </w:pPr>
            <w:r>
              <w:rPr>
                <w:sz w:val="16"/>
              </w:rPr>
              <w:t>203.08</w:t>
            </w:r>
          </w:p>
        </w:tc>
        <w:tc>
          <w:tcPr>
            <w:tcW w:w="809" w:type="dxa"/>
          </w:tcPr>
          <w:p>
            <w:pPr>
              <w:pStyle w:val="TableParagraph"/>
              <w:spacing w:line="176" w:lineRule="exact"/>
              <w:ind w:left="0" w:right="98"/>
              <w:jc w:val="right"/>
              <w:rPr>
                <w:sz w:val="16"/>
              </w:rPr>
            </w:pPr>
            <w:r>
              <w:rPr>
                <w:sz w:val="16"/>
              </w:rPr>
              <w:t>Pontotoc</w:t>
            </w:r>
          </w:p>
        </w:tc>
        <w:tc>
          <w:tcPr>
            <w:tcW w:w="1260" w:type="dxa"/>
          </w:tcPr>
          <w:p>
            <w:pPr>
              <w:pStyle w:val="TableParagraph"/>
              <w:spacing w:line="176" w:lineRule="exact"/>
              <w:ind w:left="0" w:right="94"/>
              <w:jc w:val="right"/>
              <w:rPr>
                <w:sz w:val="16"/>
              </w:rPr>
            </w:pPr>
            <w:r>
              <w:rPr>
                <w:sz w:val="16"/>
              </w:rPr>
              <w:t>2N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6E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S2</w:t>
            </w:r>
          </w:p>
        </w:tc>
        <w:tc>
          <w:tcPr>
            <w:tcW w:w="811" w:type="dxa"/>
          </w:tcPr>
          <w:p>
            <w:pPr>
              <w:pStyle w:val="TableParagraph"/>
              <w:spacing w:line="176" w:lineRule="exact"/>
              <w:ind w:left="0" w:right="97"/>
              <w:jc w:val="right"/>
              <w:rPr>
                <w:sz w:val="16"/>
              </w:rPr>
            </w:pPr>
            <w:r>
              <w:rPr>
                <w:sz w:val="16"/>
              </w:rPr>
              <w:t>Lower</w:t>
            </w:r>
          </w:p>
        </w:tc>
      </w:tr>
      <w:tr>
        <w:trPr>
          <w:trHeight w:val="194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WCH-57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left="0" w:right="97"/>
              <w:jc w:val="right"/>
              <w:rPr>
                <w:sz w:val="16"/>
              </w:rPr>
            </w:pPr>
            <w:r>
              <w:rPr>
                <w:sz w:val="16"/>
              </w:rPr>
              <w:t>207.00</w:t>
            </w:r>
          </w:p>
        </w:tc>
        <w:tc>
          <w:tcPr>
            <w:tcW w:w="809" w:type="dxa"/>
            <w:shd w:val="clear" w:color="auto" w:fill="D8E1F2"/>
          </w:tcPr>
          <w:p>
            <w:pPr>
              <w:pStyle w:val="TableParagraph"/>
              <w:ind w:left="0" w:right="98"/>
              <w:jc w:val="right"/>
              <w:rPr>
                <w:sz w:val="16"/>
              </w:rPr>
            </w:pPr>
            <w:r>
              <w:rPr>
                <w:sz w:val="16"/>
              </w:rPr>
              <w:t>Pontotoc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ind w:left="0" w:right="94"/>
              <w:jc w:val="right"/>
              <w:rPr>
                <w:sz w:val="16"/>
              </w:rPr>
            </w:pPr>
            <w:r>
              <w:rPr>
                <w:sz w:val="16"/>
              </w:rPr>
              <w:t>2N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6E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S2</w:t>
            </w:r>
          </w:p>
        </w:tc>
        <w:tc>
          <w:tcPr>
            <w:tcW w:w="811" w:type="dxa"/>
            <w:shd w:val="clear" w:color="auto" w:fill="D8E1F2"/>
          </w:tcPr>
          <w:p>
            <w:pPr>
              <w:pStyle w:val="TableParagraph"/>
              <w:ind w:left="0" w:right="97"/>
              <w:jc w:val="right"/>
              <w:rPr>
                <w:sz w:val="16"/>
              </w:rPr>
            </w:pPr>
            <w:r>
              <w:rPr>
                <w:sz w:val="16"/>
              </w:rPr>
              <w:t>Lower</w:t>
            </w: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5" w:lineRule="exact" w:before="1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WCH-58</w:t>
            </w:r>
          </w:p>
        </w:tc>
        <w:tc>
          <w:tcPr>
            <w:tcW w:w="900" w:type="dxa"/>
          </w:tcPr>
          <w:p>
            <w:pPr>
              <w:pStyle w:val="TableParagraph"/>
              <w:spacing w:line="175" w:lineRule="exact" w:before="1"/>
              <w:ind w:left="0" w:right="97"/>
              <w:jc w:val="right"/>
              <w:rPr>
                <w:sz w:val="16"/>
              </w:rPr>
            </w:pPr>
            <w:r>
              <w:rPr>
                <w:sz w:val="16"/>
              </w:rPr>
              <w:t>209.92</w:t>
            </w:r>
          </w:p>
        </w:tc>
        <w:tc>
          <w:tcPr>
            <w:tcW w:w="809" w:type="dxa"/>
          </w:tcPr>
          <w:p>
            <w:pPr>
              <w:pStyle w:val="TableParagraph"/>
              <w:spacing w:line="175" w:lineRule="exact" w:before="1"/>
              <w:ind w:left="0" w:right="98"/>
              <w:jc w:val="right"/>
              <w:rPr>
                <w:sz w:val="16"/>
              </w:rPr>
            </w:pPr>
            <w:r>
              <w:rPr>
                <w:sz w:val="16"/>
              </w:rPr>
              <w:t>Pontotoc</w:t>
            </w:r>
          </w:p>
        </w:tc>
        <w:tc>
          <w:tcPr>
            <w:tcW w:w="1260" w:type="dxa"/>
          </w:tcPr>
          <w:p>
            <w:pPr>
              <w:pStyle w:val="TableParagraph"/>
              <w:spacing w:line="175" w:lineRule="exact" w:before="1"/>
              <w:ind w:left="0" w:right="94"/>
              <w:jc w:val="right"/>
              <w:rPr>
                <w:sz w:val="16"/>
              </w:rPr>
            </w:pPr>
            <w:r>
              <w:rPr>
                <w:sz w:val="16"/>
              </w:rPr>
              <w:t>2N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6E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S2</w:t>
            </w:r>
          </w:p>
        </w:tc>
        <w:tc>
          <w:tcPr>
            <w:tcW w:w="811" w:type="dxa"/>
          </w:tcPr>
          <w:p>
            <w:pPr>
              <w:pStyle w:val="TableParagraph"/>
              <w:spacing w:line="175" w:lineRule="exact" w:before="1"/>
              <w:ind w:left="0" w:right="97"/>
              <w:jc w:val="right"/>
              <w:rPr>
                <w:sz w:val="16"/>
              </w:rPr>
            </w:pPr>
            <w:r>
              <w:rPr>
                <w:sz w:val="16"/>
              </w:rPr>
              <w:t>Lower</w:t>
            </w:r>
          </w:p>
        </w:tc>
      </w:tr>
    </w:tbl>
    <w:p>
      <w:pPr>
        <w:spacing w:before="7"/>
        <w:ind w:left="120" w:right="660" w:firstLine="0"/>
        <w:jc w:val="left"/>
        <w:rPr>
          <w:sz w:val="22"/>
        </w:rPr>
      </w:pPr>
      <w:r>
        <w:rPr>
          <w:sz w:val="22"/>
        </w:rPr>
        <w:t>Table</w:t>
      </w:r>
      <w:r>
        <w:rPr>
          <w:spacing w:val="-2"/>
          <w:sz w:val="22"/>
        </w:rPr>
        <w:t> </w:t>
      </w:r>
      <w:r>
        <w:rPr>
          <w:sz w:val="22"/>
        </w:rPr>
        <w:t>1.</w:t>
      </w:r>
      <w:r>
        <w:rPr>
          <w:spacing w:val="-4"/>
          <w:sz w:val="22"/>
        </w:rPr>
        <w:t> </w:t>
      </w:r>
      <w:r>
        <w:rPr>
          <w:sz w:val="22"/>
        </w:rPr>
        <w:t>Woodford</w:t>
      </w:r>
      <w:r>
        <w:rPr>
          <w:spacing w:val="-1"/>
          <w:sz w:val="22"/>
        </w:rPr>
        <w:t> </w:t>
      </w:r>
      <w:r>
        <w:rPr>
          <w:sz w:val="22"/>
        </w:rPr>
        <w:t>Shale</w:t>
      </w:r>
      <w:r>
        <w:rPr>
          <w:spacing w:val="-3"/>
          <w:sz w:val="22"/>
        </w:rPr>
        <w:t> </w:t>
      </w:r>
      <w:r>
        <w:rPr>
          <w:sz w:val="22"/>
        </w:rPr>
        <w:t>samples</w:t>
      </w:r>
      <w:r>
        <w:rPr>
          <w:spacing w:val="-3"/>
          <w:sz w:val="22"/>
        </w:rPr>
        <w:t> </w:t>
      </w:r>
      <w:r>
        <w:rPr>
          <w:sz w:val="22"/>
        </w:rPr>
        <w:t>with</w:t>
      </w:r>
      <w:r>
        <w:rPr>
          <w:spacing w:val="-2"/>
          <w:sz w:val="22"/>
        </w:rPr>
        <w:t> </w:t>
      </w:r>
      <w:r>
        <w:rPr>
          <w:sz w:val="22"/>
        </w:rPr>
        <w:t>associated</w:t>
      </w:r>
      <w:r>
        <w:rPr>
          <w:spacing w:val="-3"/>
          <w:sz w:val="22"/>
        </w:rPr>
        <w:t> </w:t>
      </w:r>
      <w:r>
        <w:rPr>
          <w:sz w:val="22"/>
        </w:rPr>
        <w:t>depths</w:t>
      </w:r>
      <w:r>
        <w:rPr>
          <w:spacing w:val="-1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locations</w:t>
      </w:r>
      <w:r>
        <w:rPr>
          <w:spacing w:val="-3"/>
          <w:sz w:val="22"/>
        </w:rPr>
        <w:t> </w:t>
      </w:r>
      <w:r>
        <w:rPr>
          <w:sz w:val="22"/>
        </w:rPr>
        <w:t>obtained</w:t>
      </w:r>
      <w:r>
        <w:rPr>
          <w:spacing w:val="-4"/>
          <w:sz w:val="22"/>
        </w:rPr>
        <w:t> </w:t>
      </w:r>
      <w:r>
        <w:rPr>
          <w:sz w:val="22"/>
        </w:rPr>
        <w:t>from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Wyche-1</w:t>
      </w:r>
      <w:r>
        <w:rPr>
          <w:spacing w:val="-3"/>
          <w:sz w:val="22"/>
        </w:rPr>
        <w:t> </w:t>
      </w:r>
      <w:r>
        <w:rPr>
          <w:sz w:val="22"/>
        </w:rPr>
        <w:t>core</w:t>
      </w:r>
      <w:r>
        <w:rPr>
          <w:spacing w:val="-47"/>
          <w:sz w:val="22"/>
        </w:rPr>
        <w:t> </w:t>
      </w:r>
      <w:r>
        <w:rPr>
          <w:sz w:val="22"/>
        </w:rPr>
        <w:t>for</w:t>
      </w:r>
      <w:r>
        <w:rPr>
          <w:spacing w:val="-1"/>
          <w:sz w:val="22"/>
        </w:rPr>
        <w:t> </w:t>
      </w:r>
      <w:r>
        <w:rPr>
          <w:sz w:val="22"/>
        </w:rPr>
        <w:t>geochemical</w:t>
      </w:r>
      <w:r>
        <w:rPr>
          <w:spacing w:val="-4"/>
          <w:sz w:val="22"/>
        </w:rPr>
        <w:t> </w:t>
      </w:r>
      <w:r>
        <w:rPr>
          <w:sz w:val="22"/>
        </w:rPr>
        <w:t>analyses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7"/>
        <w:rPr>
          <w:sz w:val="31"/>
        </w:rPr>
      </w:pPr>
    </w:p>
    <w:p>
      <w:pPr>
        <w:pStyle w:val="ListParagraph"/>
        <w:numPr>
          <w:ilvl w:val="1"/>
          <w:numId w:val="5"/>
        </w:numPr>
        <w:tabs>
          <w:tab w:pos="478" w:val="left" w:leader="none"/>
        </w:tabs>
        <w:spacing w:line="240" w:lineRule="auto" w:before="0" w:after="0"/>
        <w:ind w:left="477" w:right="0" w:hanging="358"/>
        <w:jc w:val="left"/>
        <w:rPr>
          <w:i/>
          <w:sz w:val="24"/>
        </w:rPr>
      </w:pPr>
      <w:r>
        <w:rPr>
          <w:i/>
          <w:sz w:val="24"/>
        </w:rPr>
        <w:t>Experimental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Procedure</w:t>
      </w:r>
    </w:p>
    <w:p>
      <w:pPr>
        <w:pStyle w:val="BodyText"/>
        <w:rPr>
          <w:i/>
        </w:rPr>
      </w:pPr>
    </w:p>
    <w:p>
      <w:pPr>
        <w:pStyle w:val="ListParagraph"/>
        <w:numPr>
          <w:ilvl w:val="2"/>
          <w:numId w:val="5"/>
        </w:numPr>
        <w:tabs>
          <w:tab w:pos="663" w:val="left" w:leader="none"/>
        </w:tabs>
        <w:spacing w:line="240" w:lineRule="auto" w:before="161" w:after="0"/>
        <w:ind w:left="662" w:right="0" w:hanging="543"/>
        <w:jc w:val="left"/>
        <w:rPr>
          <w:i/>
          <w:sz w:val="24"/>
        </w:rPr>
      </w:pPr>
      <w:r>
        <w:rPr>
          <w:i/>
          <w:sz w:val="24"/>
        </w:rPr>
        <w:t>Initial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Sample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Preparation</w:t>
      </w:r>
    </w:p>
    <w:p>
      <w:pPr>
        <w:pStyle w:val="BodyText"/>
        <w:rPr>
          <w:i/>
        </w:rPr>
      </w:pPr>
    </w:p>
    <w:p>
      <w:pPr>
        <w:pStyle w:val="BodyText"/>
        <w:spacing w:line="480" w:lineRule="auto" w:before="158"/>
        <w:ind w:left="120" w:right="636" w:firstLine="721"/>
      </w:pPr>
      <w:r>
        <w:rPr/>
        <w:t>Rock samples were taken from the core by breaking off portions with a rock hammer</w:t>
      </w:r>
      <w:r>
        <w:rPr>
          <w:spacing w:val="1"/>
        </w:rPr>
        <w:t> </w:t>
      </w:r>
      <w:r>
        <w:rPr/>
        <w:t>while the sample was wrapped in combusted foil. The samples were rinsed with DI water to</w:t>
      </w:r>
      <w:r>
        <w:rPr>
          <w:spacing w:val="1"/>
        </w:rPr>
        <w:t> </w:t>
      </w:r>
      <w:r>
        <w:rPr/>
        <w:t>remove any dust on their outside, then rinsed with a 1:4 solution of dichloromethane (DCM)</w:t>
      </w:r>
      <w:r>
        <w:rPr>
          <w:spacing w:val="1"/>
        </w:rPr>
        <w:t> </w:t>
      </w:r>
      <w:r>
        <w:rPr/>
        <w:t>and methanol (MeOH) to remove any residual contaminants from handling, plastics, drilling</w:t>
      </w:r>
      <w:r>
        <w:rPr>
          <w:spacing w:val="1"/>
        </w:rPr>
        <w:t> </w:t>
      </w:r>
      <w:r>
        <w:rPr/>
        <w:t>mud,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other</w:t>
      </w:r>
      <w:r>
        <w:rPr>
          <w:spacing w:val="-2"/>
        </w:rPr>
        <w:t> </w:t>
      </w:r>
      <w:r>
        <w:rPr/>
        <w:t>samples.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samples</w:t>
      </w:r>
      <w:r>
        <w:rPr>
          <w:spacing w:val="-2"/>
        </w:rPr>
        <w:t> </w:t>
      </w:r>
      <w:r>
        <w:rPr/>
        <w:t>were</w:t>
      </w:r>
      <w:r>
        <w:rPr>
          <w:spacing w:val="-3"/>
        </w:rPr>
        <w:t> </w:t>
      </w:r>
      <w:r>
        <w:rPr/>
        <w:t>then</w:t>
      </w:r>
      <w:r>
        <w:rPr>
          <w:spacing w:val="-2"/>
        </w:rPr>
        <w:t> </w:t>
      </w:r>
      <w:r>
        <w:rPr/>
        <w:t>left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dry</w:t>
      </w:r>
      <w:r>
        <w:rPr>
          <w:spacing w:val="-3"/>
        </w:rPr>
        <w:t> </w:t>
      </w:r>
      <w:r>
        <w:rPr/>
        <w:t>completely</w:t>
      </w:r>
      <w:r>
        <w:rPr>
          <w:spacing w:val="-4"/>
        </w:rPr>
        <w:t> </w:t>
      </w:r>
      <w:r>
        <w:rPr/>
        <w:t>before</w:t>
      </w:r>
      <w:r>
        <w:rPr>
          <w:spacing w:val="-1"/>
        </w:rPr>
        <w:t> </w:t>
      </w:r>
      <w:r>
        <w:rPr/>
        <w:t>being</w:t>
      </w:r>
      <w:r>
        <w:rPr>
          <w:spacing w:val="-2"/>
        </w:rPr>
        <w:t> </w:t>
      </w:r>
      <w:r>
        <w:rPr/>
        <w:t>crushed.</w:t>
      </w:r>
      <w:r>
        <w:rPr>
          <w:spacing w:val="-4"/>
        </w:rPr>
        <w:t> </w:t>
      </w:r>
      <w:r>
        <w:rPr/>
        <w:t>The</w:t>
      </w:r>
      <w:r>
        <w:rPr>
          <w:spacing w:val="-52"/>
        </w:rPr>
        <w:t> </w:t>
      </w:r>
      <w:r>
        <w:rPr/>
        <w:t>samples</w:t>
      </w:r>
      <w:r>
        <w:rPr>
          <w:spacing w:val="-3"/>
        </w:rPr>
        <w:t> </w:t>
      </w:r>
      <w:r>
        <w:rPr/>
        <w:t>were</w:t>
      </w:r>
      <w:r>
        <w:rPr>
          <w:spacing w:val="-3"/>
        </w:rPr>
        <w:t> </w:t>
      </w:r>
      <w:r>
        <w:rPr/>
        <w:t>crushed</w:t>
      </w:r>
      <w:r>
        <w:rPr>
          <w:spacing w:val="1"/>
        </w:rPr>
        <w:t> </w:t>
      </w:r>
      <w:r>
        <w:rPr/>
        <w:t>to</w:t>
      </w:r>
      <w:r>
        <w:rPr>
          <w:spacing w:val="-3"/>
        </w:rPr>
        <w:t> </w:t>
      </w:r>
      <w:r>
        <w:rPr/>
        <w:t>a</w:t>
      </w:r>
      <w:r>
        <w:rPr>
          <w:spacing w:val="1"/>
        </w:rPr>
        <w:t> </w:t>
      </w:r>
      <w:r>
        <w:rPr/>
        <w:t>fine</w:t>
      </w:r>
      <w:r>
        <w:rPr>
          <w:spacing w:val="-1"/>
        </w:rPr>
        <w:t> </w:t>
      </w:r>
      <w:r>
        <w:rPr/>
        <w:t>powder</w:t>
      </w:r>
      <w:r>
        <w:rPr>
          <w:spacing w:val="-2"/>
        </w:rPr>
        <w:t> </w:t>
      </w:r>
      <w:r>
        <w:rPr/>
        <w:t>using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clean</w:t>
      </w:r>
      <w:r>
        <w:rPr>
          <w:spacing w:val="-2"/>
        </w:rPr>
        <w:t> </w:t>
      </w:r>
      <w:r>
        <w:rPr/>
        <w:t>porcelain</w:t>
      </w:r>
      <w:r>
        <w:rPr>
          <w:spacing w:val="-1"/>
        </w:rPr>
        <w:t> </w:t>
      </w:r>
      <w:r>
        <w:rPr/>
        <w:t>mortar</w:t>
      </w:r>
      <w:r>
        <w:rPr>
          <w:spacing w:val="-2"/>
        </w:rPr>
        <w:t> </w:t>
      </w:r>
      <w:r>
        <w:rPr/>
        <w:t>and</w:t>
      </w:r>
      <w:r>
        <w:rPr>
          <w:spacing w:val="3"/>
        </w:rPr>
        <w:t> </w:t>
      </w:r>
      <w:r>
        <w:rPr/>
        <w:t>pestle</w:t>
      </w:r>
      <w:r>
        <w:rPr>
          <w:spacing w:val="-3"/>
        </w:rPr>
        <w:t> </w:t>
      </w:r>
      <w:r>
        <w:rPr/>
        <w:t>which</w:t>
      </w:r>
      <w:r>
        <w:rPr>
          <w:spacing w:val="-4"/>
        </w:rPr>
        <w:t> </w:t>
      </w:r>
      <w:r>
        <w:rPr/>
        <w:t>was</w:t>
      </w:r>
    </w:p>
    <w:p>
      <w:pPr>
        <w:spacing w:after="0" w:line="480" w:lineRule="auto"/>
        <w:sectPr>
          <w:type w:val="continuous"/>
          <w:pgSz w:w="12240" w:h="15840"/>
          <w:pgMar w:header="0" w:footer="1014" w:top="1440" w:bottom="1200" w:left="1320" w:right="820"/>
        </w:sectPr>
      </w:pPr>
    </w:p>
    <w:p>
      <w:pPr>
        <w:pStyle w:val="BodyText"/>
        <w:spacing w:line="480" w:lineRule="auto" w:before="39"/>
        <w:ind w:left="120" w:right="660"/>
      </w:pPr>
      <w:r>
        <w:rPr/>
        <w:t>cleaned</w:t>
      </w:r>
      <w:r>
        <w:rPr>
          <w:spacing w:val="-4"/>
        </w:rPr>
        <w:t> </w:t>
      </w:r>
      <w:r>
        <w:rPr/>
        <w:t>between each</w:t>
      </w:r>
      <w:r>
        <w:rPr>
          <w:spacing w:val="-4"/>
        </w:rPr>
        <w:t> </w:t>
      </w:r>
      <w:r>
        <w:rPr/>
        <w:t>sample</w:t>
      </w:r>
      <w:r>
        <w:rPr>
          <w:spacing w:val="-3"/>
        </w:rPr>
        <w:t> </w:t>
      </w:r>
      <w:r>
        <w:rPr/>
        <w:t>by first</w:t>
      </w:r>
      <w:r>
        <w:rPr>
          <w:spacing w:val="-3"/>
        </w:rPr>
        <w:t> </w:t>
      </w:r>
      <w:r>
        <w:rPr/>
        <w:t>rinsing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DI</w:t>
      </w:r>
      <w:r>
        <w:rPr>
          <w:spacing w:val="-5"/>
        </w:rPr>
        <w:t> </w:t>
      </w:r>
      <w:r>
        <w:rPr/>
        <w:t>water,</w:t>
      </w:r>
      <w:r>
        <w:rPr>
          <w:spacing w:val="1"/>
        </w:rPr>
        <w:t> </w:t>
      </w:r>
      <w:r>
        <w:rPr/>
        <w:t>grinding combusted</w:t>
      </w:r>
      <w:r>
        <w:rPr>
          <w:spacing w:val="-2"/>
        </w:rPr>
        <w:t> </w:t>
      </w:r>
      <w:r>
        <w:rPr/>
        <w:t>sand</w:t>
      </w:r>
      <w:r>
        <w:rPr>
          <w:spacing w:val="-3"/>
        </w:rPr>
        <w:t> </w:t>
      </w:r>
      <w:r>
        <w:rPr/>
        <w:t>into</w:t>
      </w:r>
      <w:r>
        <w:rPr>
          <w:spacing w:val="-51"/>
        </w:rPr>
        <w:t> </w:t>
      </w:r>
      <w:r>
        <w:rPr/>
        <w:t>powder, finally rinsing with 1:4 DCM:MeOH. The crushed rock powder was then stored in</w:t>
      </w:r>
      <w:r>
        <w:rPr>
          <w:spacing w:val="1"/>
        </w:rPr>
        <w:t> </w:t>
      </w:r>
      <w:r>
        <w:rPr/>
        <w:t>combusted</w:t>
      </w:r>
      <w:r>
        <w:rPr>
          <w:spacing w:val="-2"/>
        </w:rPr>
        <w:t> </w:t>
      </w:r>
      <w:r>
        <w:rPr/>
        <w:t>glass</w:t>
      </w:r>
      <w:r>
        <w:rPr>
          <w:spacing w:val="-1"/>
        </w:rPr>
        <w:t> </w:t>
      </w:r>
      <w:r>
        <w:rPr/>
        <w:t>jars.</w:t>
      </w:r>
    </w:p>
    <w:p>
      <w:pPr>
        <w:pStyle w:val="ListParagraph"/>
        <w:numPr>
          <w:ilvl w:val="2"/>
          <w:numId w:val="5"/>
        </w:numPr>
        <w:tabs>
          <w:tab w:pos="663" w:val="left" w:leader="none"/>
        </w:tabs>
        <w:spacing w:line="240" w:lineRule="auto" w:before="160" w:after="0"/>
        <w:ind w:left="662" w:right="0" w:hanging="543"/>
        <w:jc w:val="left"/>
        <w:rPr>
          <w:i/>
          <w:sz w:val="24"/>
        </w:rPr>
      </w:pPr>
      <w:r>
        <w:rPr>
          <w:i/>
          <w:sz w:val="24"/>
        </w:rPr>
        <w:t>Rock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Eval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Total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Organic Carbon</w:t>
      </w:r>
    </w:p>
    <w:p>
      <w:pPr>
        <w:pStyle w:val="BodyText"/>
        <w:rPr>
          <w:i/>
        </w:rPr>
      </w:pPr>
    </w:p>
    <w:p>
      <w:pPr>
        <w:pStyle w:val="BodyText"/>
        <w:spacing w:line="480" w:lineRule="auto" w:before="160"/>
        <w:ind w:left="120" w:right="642" w:firstLine="721"/>
      </w:pPr>
      <w:r>
        <w:rPr/>
        <w:t>Approximately 0.5g of each of the first 31 samples was transferred to a combusted 4mL</w:t>
      </w:r>
      <w:r>
        <w:rPr>
          <w:spacing w:val="1"/>
        </w:rPr>
        <w:t> </w:t>
      </w:r>
      <w:r>
        <w:rPr/>
        <w:t>vial and sent to the Research and Technology Center at Chesapeake Energy Corporation located</w:t>
      </w:r>
      <w:r>
        <w:rPr>
          <w:spacing w:val="-52"/>
        </w:rPr>
        <w:t> </w:t>
      </w:r>
      <w:r>
        <w:rPr/>
        <w:t>in Oklahoma City, OK for bulk geochemical evaluations. The TOC analysis was performed on a</w:t>
      </w:r>
      <w:r>
        <w:rPr>
          <w:spacing w:val="1"/>
        </w:rPr>
        <w:t> </w:t>
      </w:r>
      <w:r>
        <w:rPr/>
        <w:t>LECO-C144 Carbon series. A combusted ceramic crucible was loaded with 25 mg of rock powder</w:t>
      </w:r>
      <w:r>
        <w:rPr>
          <w:spacing w:val="-52"/>
        </w:rPr>
        <w:t> </w:t>
      </w:r>
      <w:r>
        <w:rPr/>
        <w:t>followed by the addition of 1mL of 5N HCl. The crucible was then heated to 115°C. Once the 5N</w:t>
      </w:r>
      <w:r>
        <w:rPr>
          <w:spacing w:val="-52"/>
        </w:rPr>
        <w:t> </w:t>
      </w:r>
      <w:r>
        <w:rPr/>
        <w:t>HCl evaporated, an additional 1mL of 5N HCl was added and left to dry. The sample was then</w:t>
      </w:r>
      <w:r>
        <w:rPr>
          <w:spacing w:val="1"/>
        </w:rPr>
        <w:t> </w:t>
      </w:r>
      <w:r>
        <w:rPr/>
        <w:t>washed with 2mL of distilled deionized water and completely dried. The LECO C-230 Carbon</w:t>
      </w:r>
      <w:r>
        <w:rPr>
          <w:spacing w:val="1"/>
        </w:rPr>
        <w:t> </w:t>
      </w:r>
      <w:r>
        <w:rPr/>
        <w:t>Determinator was calibrated prior to sample analysis using five blanks and two carbon</w:t>
      </w:r>
      <w:r>
        <w:rPr>
          <w:spacing w:val="1"/>
        </w:rPr>
        <w:t> </w:t>
      </w:r>
      <w:r>
        <w:rPr/>
        <w:t>standards (5.02%, part no. 502-319 and 1.89% part no. 502-320) with identical accelerants for</w:t>
      </w:r>
      <w:r>
        <w:rPr>
          <w:spacing w:val="1"/>
        </w:rPr>
        <w:t> </w:t>
      </w:r>
      <w:r>
        <w:rPr/>
        <w:t>each sample measurement. One LECO metal scoop (part no. 773-579) of copper metal (part no.</w:t>
      </w:r>
      <w:r>
        <w:rPr>
          <w:spacing w:val="-52"/>
        </w:rPr>
        <w:t> </w:t>
      </w:r>
      <w:r>
        <w:rPr/>
        <w:t>501-263)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Lecocell</w:t>
      </w:r>
      <w:r>
        <w:rPr>
          <w:spacing w:val="-2"/>
        </w:rPr>
        <w:t> </w:t>
      </w:r>
      <w:r>
        <w:rPr/>
        <w:t>II</w:t>
      </w:r>
      <w:r>
        <w:rPr>
          <w:spacing w:val="-2"/>
        </w:rPr>
        <w:t> </w:t>
      </w:r>
      <w:r>
        <w:rPr/>
        <w:t>(part</w:t>
      </w:r>
      <w:r>
        <w:rPr>
          <w:spacing w:val="-3"/>
        </w:rPr>
        <w:t> </w:t>
      </w:r>
      <w:r>
        <w:rPr/>
        <w:t>no.</w:t>
      </w:r>
      <w:r>
        <w:rPr>
          <w:spacing w:val="-3"/>
        </w:rPr>
        <w:t> </w:t>
      </w:r>
      <w:r>
        <w:rPr/>
        <w:t>501-008)</w:t>
      </w:r>
      <w:r>
        <w:rPr>
          <w:spacing w:val="-2"/>
        </w:rPr>
        <w:t> </w:t>
      </w:r>
      <w:r>
        <w:rPr/>
        <w:t>accelerants</w:t>
      </w:r>
      <w:r>
        <w:rPr>
          <w:spacing w:val="-1"/>
        </w:rPr>
        <w:t> </w:t>
      </w:r>
      <w:r>
        <w:rPr/>
        <w:t>were</w:t>
      </w:r>
      <w:r>
        <w:rPr>
          <w:spacing w:val="-2"/>
        </w:rPr>
        <w:t> </w:t>
      </w:r>
      <w:r>
        <w:rPr/>
        <w:t>added</w:t>
      </w:r>
      <w:r>
        <w:rPr>
          <w:spacing w:val="2"/>
        </w:rPr>
        <w:t> </w:t>
      </w:r>
      <w:r>
        <w:rPr/>
        <w:t>to</w:t>
      </w:r>
      <w:r>
        <w:rPr>
          <w:spacing w:val="-2"/>
        </w:rPr>
        <w:t> </w:t>
      </w:r>
      <w:r>
        <w:rPr/>
        <w:t>each</w:t>
      </w:r>
      <w:r>
        <w:rPr>
          <w:spacing w:val="-3"/>
        </w:rPr>
        <w:t> </w:t>
      </w:r>
      <w:r>
        <w:rPr/>
        <w:t>sample</w:t>
      </w:r>
      <w:r>
        <w:rPr>
          <w:spacing w:val="-3"/>
        </w:rPr>
        <w:t> </w:t>
      </w:r>
      <w:r>
        <w:rPr/>
        <w:t>before</w:t>
      </w:r>
      <w:r>
        <w:rPr>
          <w:spacing w:val="-3"/>
        </w:rPr>
        <w:t> </w:t>
      </w:r>
      <w:r>
        <w:rPr/>
        <w:t>being</w:t>
      </w:r>
      <w:r>
        <w:rPr>
          <w:spacing w:val="-52"/>
        </w:rPr>
        <w:t> </w:t>
      </w:r>
      <w:r>
        <w:rPr/>
        <w:t>loaded into the C-230 instrument. The two carbon standards were analyzed every 10 sample</w:t>
      </w:r>
      <w:r>
        <w:rPr>
          <w:spacing w:val="1"/>
        </w:rPr>
        <w:t> </w:t>
      </w:r>
      <w:r>
        <w:rPr/>
        <w:t>runs.</w:t>
      </w:r>
    </w:p>
    <w:p>
      <w:pPr>
        <w:pStyle w:val="ListParagraph"/>
        <w:numPr>
          <w:ilvl w:val="2"/>
          <w:numId w:val="5"/>
        </w:numPr>
        <w:tabs>
          <w:tab w:pos="663" w:val="left" w:leader="none"/>
        </w:tabs>
        <w:spacing w:line="240" w:lineRule="auto" w:before="159" w:after="0"/>
        <w:ind w:left="662" w:right="0" w:hanging="543"/>
        <w:jc w:val="left"/>
        <w:rPr>
          <w:i/>
          <w:sz w:val="24"/>
        </w:rPr>
      </w:pPr>
      <w:r>
        <w:rPr>
          <w:i/>
          <w:sz w:val="24"/>
        </w:rPr>
        <w:t>Extraction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for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Biomarker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Analysis</w:t>
      </w:r>
    </w:p>
    <w:p>
      <w:pPr>
        <w:pStyle w:val="BodyText"/>
        <w:rPr>
          <w:i/>
        </w:rPr>
      </w:pPr>
    </w:p>
    <w:p>
      <w:pPr>
        <w:pStyle w:val="BodyText"/>
        <w:spacing w:line="480" w:lineRule="auto" w:before="161"/>
        <w:ind w:left="120" w:right="660" w:firstLine="721"/>
      </w:pPr>
      <w:r>
        <w:rPr/>
        <w:t>Approximately</w:t>
      </w:r>
      <w:r>
        <w:rPr>
          <w:spacing w:val="-6"/>
        </w:rPr>
        <w:t> </w:t>
      </w:r>
      <w:r>
        <w:rPr/>
        <w:t>0.4-0.5g</w:t>
      </w:r>
      <w:r>
        <w:rPr>
          <w:spacing w:val="-6"/>
        </w:rPr>
        <w:t> </w:t>
      </w:r>
      <w:r>
        <w:rPr/>
        <w:t>of</w:t>
      </w:r>
      <w:r>
        <w:rPr>
          <w:spacing w:val="-2"/>
        </w:rPr>
        <w:t> </w:t>
      </w:r>
      <w:r>
        <w:rPr/>
        <w:t>crushed</w:t>
      </w:r>
      <w:r>
        <w:rPr>
          <w:spacing w:val="-3"/>
        </w:rPr>
        <w:t> </w:t>
      </w:r>
      <w:r>
        <w:rPr/>
        <w:t>rock</w:t>
      </w:r>
      <w:r>
        <w:rPr>
          <w:spacing w:val="-3"/>
        </w:rPr>
        <w:t> </w:t>
      </w:r>
      <w:r>
        <w:rPr/>
        <w:t>powder</w:t>
      </w:r>
      <w:r>
        <w:rPr>
          <w:spacing w:val="-4"/>
        </w:rPr>
        <w:t> </w:t>
      </w:r>
      <w:r>
        <w:rPr/>
        <w:t>was</w:t>
      </w:r>
      <w:r>
        <w:rPr>
          <w:spacing w:val="1"/>
        </w:rPr>
        <w:t> </w:t>
      </w:r>
      <w:r>
        <w:rPr/>
        <w:t>transferred</w:t>
      </w:r>
      <w:r>
        <w:rPr>
          <w:spacing w:val="2"/>
        </w:rPr>
        <w:t> </w:t>
      </w:r>
      <w:r>
        <w:rPr/>
        <w:t>into</w:t>
      </w:r>
      <w:r>
        <w:rPr>
          <w:spacing w:val="-2"/>
        </w:rPr>
        <w:t> </w:t>
      </w:r>
      <w:r>
        <w:rPr/>
        <w:t>a combusted</w:t>
      </w:r>
      <w:r>
        <w:rPr>
          <w:spacing w:val="-3"/>
        </w:rPr>
        <w:t> </w:t>
      </w:r>
      <w:r>
        <w:rPr/>
        <w:t>4mL</w:t>
      </w:r>
      <w:r>
        <w:rPr>
          <w:spacing w:val="-51"/>
        </w:rPr>
        <w:t> </w:t>
      </w:r>
      <w:r>
        <w:rPr/>
        <w:t>vial</w:t>
      </w:r>
      <w:r>
        <w:rPr>
          <w:spacing w:val="-2"/>
        </w:rPr>
        <w:t> </w:t>
      </w:r>
      <w:r>
        <w:rPr/>
        <w:t>using</w:t>
      </w:r>
      <w:r>
        <w:rPr>
          <w:spacing w:val="-4"/>
        </w:rPr>
        <w:t> </w:t>
      </w:r>
      <w:r>
        <w:rPr/>
        <w:t>a</w:t>
      </w:r>
      <w:r>
        <w:rPr>
          <w:spacing w:val="-2"/>
        </w:rPr>
        <w:t> </w:t>
      </w:r>
      <w:r>
        <w:rPr/>
        <w:t>spatula</w:t>
      </w:r>
      <w:r>
        <w:rPr>
          <w:spacing w:val="1"/>
        </w:rPr>
        <w:t> </w:t>
      </w:r>
      <w:r>
        <w:rPr/>
        <w:t>that</w:t>
      </w:r>
      <w:r>
        <w:rPr>
          <w:spacing w:val="-3"/>
        </w:rPr>
        <w:t> </w:t>
      </w:r>
      <w:r>
        <w:rPr/>
        <w:t>was</w:t>
      </w:r>
      <w:r>
        <w:rPr>
          <w:spacing w:val="-2"/>
        </w:rPr>
        <w:t> </w:t>
      </w:r>
      <w:r>
        <w:rPr/>
        <w:t>cleaned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chemwipe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1:1</w:t>
      </w:r>
      <w:r>
        <w:rPr>
          <w:spacing w:val="-3"/>
        </w:rPr>
        <w:t> </w:t>
      </w:r>
      <w:r>
        <w:rPr/>
        <w:t>DCM:MeOH</w:t>
      </w:r>
      <w:r>
        <w:rPr>
          <w:spacing w:val="-1"/>
        </w:rPr>
        <w:t> </w:t>
      </w:r>
      <w:r>
        <w:rPr/>
        <w:t>between</w:t>
      </w:r>
      <w:r>
        <w:rPr>
          <w:spacing w:val="-2"/>
        </w:rPr>
        <w:t> </w:t>
      </w:r>
      <w:r>
        <w:rPr/>
        <w:t>each</w:t>
      </w:r>
    </w:p>
    <w:p>
      <w:pPr>
        <w:spacing w:after="0" w:line="480" w:lineRule="auto"/>
        <w:sectPr>
          <w:footerReference w:type="default" r:id="rId30"/>
          <w:pgSz w:w="12240" w:h="15840"/>
          <w:pgMar w:footer="1014" w:header="0" w:top="1400" w:bottom="1200" w:left="1320" w:right="820"/>
        </w:sectPr>
      </w:pPr>
    </w:p>
    <w:p>
      <w:pPr>
        <w:pStyle w:val="BodyText"/>
        <w:spacing w:line="480" w:lineRule="auto" w:before="39"/>
        <w:ind w:left="120" w:right="660"/>
      </w:pPr>
      <w:r>
        <w:rPr/>
        <w:t>sample. The samples were spiked with standards 100ng of C46 GTGT, 1000ng of β-carotene,</w:t>
      </w:r>
      <w:r>
        <w:rPr>
          <w:spacing w:val="1"/>
        </w:rPr>
        <w:t> </w:t>
      </w:r>
      <w:r>
        <w:rPr/>
        <w:t>1000ng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Vo-tetraphenylporphyrin</w:t>
      </w:r>
      <w:r>
        <w:rPr>
          <w:spacing w:val="-4"/>
        </w:rPr>
        <w:t> </w:t>
      </w:r>
      <w:r>
        <w:rPr/>
        <w:t>(Vo-TPP),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1000ng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Ni-tetraphenylporphyrin</w:t>
      </w:r>
      <w:r>
        <w:rPr>
          <w:spacing w:val="-4"/>
        </w:rPr>
        <w:t> </w:t>
      </w:r>
      <w:r>
        <w:rPr/>
        <w:t>(Ni-TPP).</w:t>
      </w:r>
    </w:p>
    <w:p>
      <w:pPr>
        <w:pStyle w:val="BodyText"/>
        <w:spacing w:line="480" w:lineRule="auto" w:before="160"/>
        <w:ind w:left="120" w:right="688" w:firstLine="721"/>
      </w:pPr>
      <w:r>
        <w:rPr/>
        <w:t>The</w:t>
      </w:r>
      <w:r>
        <w:rPr>
          <w:spacing w:val="1"/>
        </w:rPr>
        <w:t> </w:t>
      </w:r>
      <w:r>
        <w:rPr/>
        <w:t>samples</w:t>
      </w:r>
      <w:r>
        <w:rPr>
          <w:spacing w:val="-1"/>
        </w:rPr>
        <w:t> </w:t>
      </w:r>
      <w:r>
        <w:rPr/>
        <w:t>then</w:t>
      </w:r>
      <w:r>
        <w:rPr>
          <w:spacing w:val="-2"/>
        </w:rPr>
        <w:t> </w:t>
      </w:r>
      <w:r>
        <w:rPr/>
        <w:t>had</w:t>
      </w:r>
      <w:r>
        <w:rPr>
          <w:spacing w:val="-2"/>
        </w:rPr>
        <w:t> </w:t>
      </w:r>
      <w:r>
        <w:rPr/>
        <w:t>1.5mL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1:1</w:t>
      </w:r>
      <w:r>
        <w:rPr>
          <w:spacing w:val="-4"/>
        </w:rPr>
        <w:t> </w:t>
      </w:r>
      <w:r>
        <w:rPr/>
        <w:t>DCM:MeOH</w:t>
      </w:r>
      <w:r>
        <w:rPr>
          <w:spacing w:val="-3"/>
        </w:rPr>
        <w:t> </w:t>
      </w:r>
      <w:r>
        <w:rPr/>
        <w:t>added</w:t>
      </w:r>
      <w:r>
        <w:rPr>
          <w:spacing w:val="-2"/>
        </w:rPr>
        <w:t> </w:t>
      </w:r>
      <w:r>
        <w:rPr/>
        <w:t>to them.</w:t>
      </w:r>
      <w:r>
        <w:rPr>
          <w:spacing w:val="-5"/>
        </w:rPr>
        <w:t> </w:t>
      </w:r>
      <w:r>
        <w:rPr/>
        <w:t>They</w:t>
      </w:r>
      <w:r>
        <w:rPr>
          <w:spacing w:val="-2"/>
        </w:rPr>
        <w:t> </w:t>
      </w:r>
      <w:r>
        <w:rPr/>
        <w:t>were</w:t>
      </w:r>
      <w:r>
        <w:rPr>
          <w:spacing w:val="-2"/>
        </w:rPr>
        <w:t> </w:t>
      </w:r>
      <w:r>
        <w:rPr/>
        <w:t>mixed</w:t>
      </w:r>
      <w:r>
        <w:rPr>
          <w:spacing w:val="-4"/>
        </w:rPr>
        <w:t> </w:t>
      </w:r>
      <w:r>
        <w:rPr/>
        <w:t>with</w:t>
      </w:r>
      <w:r>
        <w:rPr>
          <w:spacing w:val="-2"/>
        </w:rPr>
        <w:t> </w:t>
      </w:r>
      <w:r>
        <w:rPr/>
        <w:t>a</w:t>
      </w:r>
      <w:r>
        <w:rPr>
          <w:spacing w:val="-51"/>
        </w:rPr>
        <w:t> </w:t>
      </w:r>
      <w:r>
        <w:rPr/>
        <w:t>vortexer for a few seconds then sonicated for 20 minutes. After they had been sonicated, they</w:t>
      </w:r>
      <w:r>
        <w:rPr>
          <w:spacing w:val="1"/>
        </w:rPr>
        <w:t> </w:t>
      </w:r>
      <w:r>
        <w:rPr/>
        <w:t>were centrifuged for 5 minutes at 3000 rpm. The solvent was then transferred into a</w:t>
      </w:r>
      <w:r>
        <w:rPr>
          <w:spacing w:val="1"/>
        </w:rPr>
        <w:t> </w:t>
      </w:r>
      <w:r>
        <w:rPr/>
        <w:t>combusted and weighted 4mL vial which was then placed on a hot plate set to low and had</w:t>
      </w:r>
      <w:r>
        <w:rPr>
          <w:spacing w:val="1"/>
        </w:rPr>
        <w:t> </w:t>
      </w:r>
      <w:r>
        <w:rPr/>
        <w:t>nitrogen blown over them to evaporate the solvent. The extraction process was repeated a</w:t>
      </w:r>
      <w:r>
        <w:rPr>
          <w:spacing w:val="1"/>
        </w:rPr>
        <w:t> </w:t>
      </w:r>
      <w:r>
        <w:rPr/>
        <w:t>total of 4 times. After the 4</w:t>
      </w:r>
      <w:r>
        <w:rPr>
          <w:vertAlign w:val="superscript"/>
        </w:rPr>
        <w:t>th</w:t>
      </w:r>
      <w:r>
        <w:rPr>
          <w:vertAlign w:val="baseline"/>
        </w:rPr>
        <w:t> extraction the solvent was dried completely and the vial and the</w:t>
      </w:r>
      <w:r>
        <w:rPr>
          <w:spacing w:val="1"/>
          <w:vertAlign w:val="baseline"/>
        </w:rPr>
        <w:t> </w:t>
      </w:r>
      <w:r>
        <w:rPr>
          <w:vertAlign w:val="baseline"/>
        </w:rPr>
        <w:t>total lipid extract (TLE) were weighed. If there was still color in the solvent after the 4</w:t>
      </w:r>
      <w:r>
        <w:rPr>
          <w:vertAlign w:val="superscript"/>
        </w:rPr>
        <w:t>th</w:t>
      </w:r>
      <w:r>
        <w:rPr>
          <w:spacing w:val="1"/>
          <w:vertAlign w:val="baseline"/>
        </w:rPr>
        <w:t> </w:t>
      </w:r>
      <w:r>
        <w:rPr>
          <w:vertAlign w:val="baseline"/>
        </w:rPr>
        <w:t>extraction</w:t>
      </w:r>
      <w:r>
        <w:rPr>
          <w:spacing w:val="-2"/>
          <w:vertAlign w:val="baseline"/>
        </w:rPr>
        <w:t> </w:t>
      </w:r>
      <w:r>
        <w:rPr>
          <w:vertAlign w:val="baseline"/>
        </w:rPr>
        <w:t>it</w:t>
      </w:r>
      <w:r>
        <w:rPr>
          <w:spacing w:val="-1"/>
          <w:vertAlign w:val="baseline"/>
        </w:rPr>
        <w:t> </w:t>
      </w:r>
      <w:r>
        <w:rPr>
          <w:vertAlign w:val="baseline"/>
        </w:rPr>
        <w:t>was</w:t>
      </w:r>
      <w:r>
        <w:rPr>
          <w:spacing w:val="-1"/>
          <w:vertAlign w:val="baseline"/>
        </w:rPr>
        <w:t> </w:t>
      </w:r>
      <w:r>
        <w:rPr>
          <w:vertAlign w:val="baseline"/>
        </w:rPr>
        <w:t>noted.</w:t>
      </w:r>
    </w:p>
    <w:p>
      <w:pPr>
        <w:pStyle w:val="BodyText"/>
        <w:spacing w:line="480" w:lineRule="auto" w:before="161"/>
        <w:ind w:left="120" w:right="651" w:firstLine="721"/>
      </w:pPr>
      <w:r>
        <w:rPr/>
        <w:t>After weighing the TLE, 1mL of 1:1 DCM:MeOH was added to the 4mL vial and 500μL</w:t>
      </w:r>
      <w:r>
        <w:rPr>
          <w:spacing w:val="1"/>
        </w:rPr>
        <w:t> </w:t>
      </w:r>
      <w:r>
        <w:rPr/>
        <w:t>was</w:t>
      </w:r>
      <w:r>
        <w:rPr>
          <w:spacing w:val="-2"/>
        </w:rPr>
        <w:t> </w:t>
      </w:r>
      <w:r>
        <w:rPr/>
        <w:t>transferred</w:t>
      </w:r>
      <w:r>
        <w:rPr>
          <w:spacing w:val="-2"/>
        </w:rPr>
        <w:t> </w:t>
      </w:r>
      <w:r>
        <w:rPr/>
        <w:t>to</w:t>
      </w:r>
      <w:r>
        <w:rPr>
          <w:spacing w:val="1"/>
        </w:rPr>
        <w:t> </w:t>
      </w:r>
      <w:r>
        <w:rPr/>
        <w:t>a</w:t>
      </w:r>
      <w:r>
        <w:rPr>
          <w:spacing w:val="-4"/>
        </w:rPr>
        <w:t> </w:t>
      </w:r>
      <w:r>
        <w:rPr/>
        <w:t>2mL</w:t>
      </w:r>
      <w:r>
        <w:rPr>
          <w:spacing w:val="-3"/>
        </w:rPr>
        <w:t> </w:t>
      </w:r>
      <w:r>
        <w:rPr/>
        <w:t>vial.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2mL</w:t>
      </w:r>
      <w:r>
        <w:rPr>
          <w:spacing w:val="-4"/>
        </w:rPr>
        <w:t> </w:t>
      </w:r>
      <w:r>
        <w:rPr/>
        <w:t>vial</w:t>
      </w:r>
      <w:r>
        <w:rPr>
          <w:spacing w:val="-2"/>
        </w:rPr>
        <w:t> </w:t>
      </w:r>
      <w:r>
        <w:rPr/>
        <w:t>was</w:t>
      </w:r>
      <w:r>
        <w:rPr>
          <w:spacing w:val="-2"/>
        </w:rPr>
        <w:t> </w:t>
      </w:r>
      <w:r>
        <w:rPr/>
        <w:t>then placed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the hot</w:t>
      </w:r>
      <w:r>
        <w:rPr>
          <w:spacing w:val="-2"/>
        </w:rPr>
        <w:t> </w:t>
      </w:r>
      <w:r>
        <w:rPr/>
        <w:t>plate</w:t>
      </w:r>
      <w:r>
        <w:rPr>
          <w:spacing w:val="-2"/>
        </w:rPr>
        <w:t> </w:t>
      </w:r>
      <w:r>
        <w:rPr/>
        <w:t>set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very</w:t>
      </w:r>
      <w:r>
        <w:rPr>
          <w:spacing w:val="-3"/>
        </w:rPr>
        <w:t> </w:t>
      </w:r>
      <w:r>
        <w:rPr/>
        <w:t>low</w:t>
      </w:r>
      <w:r>
        <w:rPr>
          <w:spacing w:val="2"/>
        </w:rPr>
        <w:t> </w:t>
      </w:r>
      <w:r>
        <w:rPr/>
        <w:t>and</w:t>
      </w:r>
      <w:r>
        <w:rPr>
          <w:spacing w:val="-51"/>
        </w:rPr>
        <w:t> </w:t>
      </w:r>
      <w:r>
        <w:rPr/>
        <w:t>had nitrogen blown over it until the solvent was completely dried. Then 1mL of MeOH was</w:t>
      </w:r>
      <w:r>
        <w:rPr>
          <w:spacing w:val="1"/>
        </w:rPr>
        <w:t> </w:t>
      </w:r>
      <w:r>
        <w:rPr/>
        <w:t>added into the now dried 2mL vial, the vial was then ultrasonicated for 5 minutes and</w:t>
      </w:r>
      <w:r>
        <w:rPr>
          <w:spacing w:val="1"/>
        </w:rPr>
        <w:t> </w:t>
      </w:r>
      <w:r>
        <w:rPr/>
        <w:t>centrifuged for 5 minutes at 3000 rpm. The solvent was then transferred into a new clean 2mL</w:t>
      </w:r>
      <w:r>
        <w:rPr>
          <w:spacing w:val="1"/>
        </w:rPr>
        <w:t> </w:t>
      </w:r>
      <w:r>
        <w:rPr/>
        <w:t>vial. The samples were then placed into the Q-TOF LC/MS for characterization. Figure 12 shows</w:t>
      </w:r>
      <w:r>
        <w:rPr>
          <w:spacing w:val="1"/>
        </w:rPr>
        <w:t> </w:t>
      </w:r>
      <w:r>
        <w:rPr/>
        <w:t>a</w:t>
      </w:r>
      <w:r>
        <w:rPr>
          <w:spacing w:val="-2"/>
        </w:rPr>
        <w:t> </w:t>
      </w:r>
      <w:r>
        <w:rPr/>
        <w:t>graphic</w:t>
      </w:r>
      <w:r>
        <w:rPr>
          <w:spacing w:val="1"/>
        </w:rPr>
        <w:t> </w:t>
      </w:r>
      <w:r>
        <w:rPr/>
        <w:t>outlining the</w:t>
      </w:r>
      <w:r>
        <w:rPr>
          <w:spacing w:val="3"/>
        </w:rPr>
        <w:t> </w:t>
      </w:r>
      <w:r>
        <w:rPr/>
        <w:t>experimental</w:t>
      </w:r>
      <w:r>
        <w:rPr>
          <w:spacing w:val="-2"/>
        </w:rPr>
        <w:t> </w:t>
      </w:r>
      <w:r>
        <w:rPr/>
        <w:t>procedure.</w:t>
      </w:r>
    </w:p>
    <w:p>
      <w:pPr>
        <w:spacing w:after="0" w:line="480" w:lineRule="auto"/>
        <w:sectPr>
          <w:footerReference w:type="default" r:id="rId31"/>
          <w:pgSz w:w="12240" w:h="15840"/>
          <w:pgMar w:footer="1014" w:header="0" w:top="1400" w:bottom="1200" w:left="1320" w:right="820"/>
          <w:pgNumType w:start="1"/>
        </w:sectPr>
      </w:pPr>
    </w:p>
    <w:p>
      <w:pPr>
        <w:pStyle w:val="BodyText"/>
        <w:spacing w:before="6" w:after="1"/>
        <w:rPr>
          <w:sz w:val="13"/>
        </w:rPr>
      </w:pPr>
    </w:p>
    <w:p>
      <w:pPr>
        <w:pStyle w:val="BodyText"/>
        <w:ind w:left="2611"/>
        <w:rPr>
          <w:sz w:val="20"/>
        </w:rPr>
      </w:pPr>
      <w:r>
        <w:rPr>
          <w:sz w:val="20"/>
        </w:rPr>
        <w:drawing>
          <wp:inline distT="0" distB="0" distL="0" distR="0">
            <wp:extent cx="3243071" cy="4535424"/>
            <wp:effectExtent l="0" t="0" r="0" b="0"/>
            <wp:docPr id="23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2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3071" cy="4535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2"/>
      </w:pPr>
    </w:p>
    <w:p>
      <w:pPr>
        <w:spacing w:before="56"/>
        <w:ind w:left="120" w:right="0" w:firstLine="0"/>
        <w:jc w:val="left"/>
        <w:rPr>
          <w:sz w:val="22"/>
        </w:rPr>
      </w:pPr>
      <w:r>
        <w:rPr>
          <w:sz w:val="22"/>
        </w:rPr>
        <w:t>Figure</w:t>
      </w:r>
      <w:r>
        <w:rPr>
          <w:spacing w:val="-2"/>
          <w:sz w:val="22"/>
        </w:rPr>
        <w:t> </w:t>
      </w:r>
      <w:r>
        <w:rPr>
          <w:sz w:val="22"/>
        </w:rPr>
        <w:t>12.</w:t>
      </w:r>
      <w:r>
        <w:rPr>
          <w:spacing w:val="-3"/>
          <w:sz w:val="22"/>
        </w:rPr>
        <w:t> </w:t>
      </w:r>
      <w:r>
        <w:rPr>
          <w:sz w:val="22"/>
        </w:rPr>
        <w:t>Experimental</w:t>
      </w:r>
      <w:r>
        <w:rPr>
          <w:spacing w:val="-3"/>
          <w:sz w:val="22"/>
        </w:rPr>
        <w:t> </w:t>
      </w:r>
      <w:r>
        <w:rPr>
          <w:sz w:val="22"/>
        </w:rPr>
        <w:t>procedure</w:t>
      </w:r>
      <w:r>
        <w:rPr>
          <w:spacing w:val="-3"/>
          <w:sz w:val="22"/>
        </w:rPr>
        <w:t> </w:t>
      </w:r>
      <w:r>
        <w:rPr>
          <w:sz w:val="22"/>
        </w:rPr>
        <w:t>for</w:t>
      </w:r>
      <w:r>
        <w:rPr>
          <w:spacing w:val="-3"/>
          <w:sz w:val="22"/>
        </w:rPr>
        <w:t> </w:t>
      </w:r>
      <w:r>
        <w:rPr>
          <w:sz w:val="22"/>
        </w:rPr>
        <w:t>preparation,</w:t>
      </w:r>
      <w:r>
        <w:rPr>
          <w:spacing w:val="-1"/>
          <w:sz w:val="22"/>
        </w:rPr>
        <w:t> </w:t>
      </w:r>
      <w:r>
        <w:rPr>
          <w:sz w:val="22"/>
        </w:rPr>
        <w:t>extraction,</w:t>
      </w:r>
      <w:r>
        <w:rPr>
          <w:spacing w:val="-1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analysis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biomarkers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ListParagraph"/>
        <w:numPr>
          <w:ilvl w:val="2"/>
          <w:numId w:val="5"/>
        </w:numPr>
        <w:tabs>
          <w:tab w:pos="663" w:val="left" w:leader="none"/>
        </w:tabs>
        <w:spacing w:line="240" w:lineRule="auto" w:before="141" w:after="0"/>
        <w:ind w:left="662" w:right="0" w:hanging="543"/>
        <w:jc w:val="left"/>
        <w:rPr>
          <w:i/>
          <w:sz w:val="24"/>
        </w:rPr>
      </w:pPr>
      <w:r>
        <w:rPr>
          <w:i/>
          <w:sz w:val="24"/>
        </w:rPr>
        <w:t>Liquid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Chromatography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Quadrupole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Time-of-Flight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Mass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Spectrometry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(LC-qTOF-MS)</w:t>
      </w:r>
    </w:p>
    <w:p>
      <w:pPr>
        <w:pStyle w:val="BodyText"/>
        <w:rPr>
          <w:i/>
        </w:rPr>
      </w:pPr>
    </w:p>
    <w:p>
      <w:pPr>
        <w:pStyle w:val="BodyText"/>
        <w:spacing w:line="477" w:lineRule="auto" w:before="152"/>
        <w:ind w:left="120" w:right="660" w:firstLine="721"/>
      </w:pPr>
      <w:r>
        <w:rPr/>
        <w:t>Analysis was done on an Agilent 1290 series UPLC system coupled with an Agilent 6530</w:t>
      </w:r>
      <w:r>
        <w:rPr>
          <w:spacing w:val="1"/>
        </w:rPr>
        <w:t> </w:t>
      </w:r>
      <w:r>
        <w:rPr/>
        <w:t>qTOF mass spectrometer through an Agilent jet stream dual electrospray ionization (AJS-ESI)</w:t>
      </w:r>
      <w:r>
        <w:rPr>
          <w:spacing w:val="1"/>
        </w:rPr>
        <w:t> </w:t>
      </w:r>
      <w:r>
        <w:rPr>
          <w:position w:val="2"/>
        </w:rPr>
        <w:t>interface. As an ESI drying gas N</w:t>
      </w:r>
      <w:r>
        <w:rPr>
          <w:sz w:val="16"/>
        </w:rPr>
        <w:t>2 </w:t>
      </w:r>
      <w:r>
        <w:rPr>
          <w:position w:val="2"/>
        </w:rPr>
        <w:t>was used with a temperature set to 300°C, the flow rate of N</w:t>
      </w:r>
      <w:r>
        <w:rPr>
          <w:sz w:val="16"/>
        </w:rPr>
        <w:t>2</w:t>
      </w:r>
      <w:r>
        <w:rPr>
          <w:spacing w:val="-34"/>
          <w:sz w:val="16"/>
        </w:rPr>
        <w:t> </w:t>
      </w:r>
      <w:r>
        <w:rPr>
          <w:position w:val="2"/>
        </w:rPr>
        <w:t>was 8 L min</w:t>
      </w:r>
      <w:r>
        <w:rPr>
          <w:position w:val="2"/>
          <w:vertAlign w:val="superscript"/>
        </w:rPr>
        <w:t>-1</w:t>
      </w:r>
      <w:r>
        <w:rPr>
          <w:position w:val="2"/>
          <w:vertAlign w:val="baseline"/>
        </w:rPr>
        <w:t> with the nebulizer gas (N</w:t>
      </w:r>
      <w:r>
        <w:rPr>
          <w:sz w:val="16"/>
          <w:vertAlign w:val="baseline"/>
        </w:rPr>
        <w:t>2</w:t>
      </w:r>
      <w:r>
        <w:rPr>
          <w:position w:val="2"/>
          <w:vertAlign w:val="baseline"/>
        </w:rPr>
        <w:t>) pressure at 35 psi. The qTOF parameters were set to:</w:t>
      </w:r>
      <w:r>
        <w:rPr>
          <w:spacing w:val="1"/>
          <w:position w:val="2"/>
          <w:vertAlign w:val="baseline"/>
        </w:rPr>
        <w:t> </w:t>
      </w:r>
      <w:r>
        <w:rPr>
          <w:vertAlign w:val="baseline"/>
        </w:rPr>
        <w:t>capillary voltage 3.5 kV, fragmentor voltage 175 V, skimmer voltage 65 V, and octupole voltage</w:t>
      </w:r>
      <w:r>
        <w:rPr>
          <w:spacing w:val="-52"/>
          <w:vertAlign w:val="baseline"/>
        </w:rPr>
        <w:t> </w:t>
      </w:r>
      <w:r>
        <w:rPr>
          <w:vertAlign w:val="baseline"/>
        </w:rPr>
        <w:t>750</w:t>
      </w:r>
      <w:r>
        <w:rPr>
          <w:spacing w:val="-1"/>
          <w:vertAlign w:val="baseline"/>
        </w:rPr>
        <w:t> </w:t>
      </w:r>
      <w:r>
        <w:rPr>
          <w:vertAlign w:val="baseline"/>
        </w:rPr>
        <w:t>V</w:t>
      </w:r>
      <w:r>
        <w:rPr>
          <w:spacing w:val="-3"/>
          <w:vertAlign w:val="baseline"/>
        </w:rPr>
        <w:t> </w:t>
      </w:r>
      <w:r>
        <w:rPr>
          <w:vertAlign w:val="baseline"/>
        </w:rPr>
        <w:t>in</w:t>
      </w:r>
      <w:r>
        <w:rPr>
          <w:spacing w:val="-2"/>
          <w:vertAlign w:val="baseline"/>
        </w:rPr>
        <w:t> </w:t>
      </w:r>
      <w:r>
        <w:rPr>
          <w:vertAlign w:val="baseline"/>
        </w:rPr>
        <w:t>auto</w:t>
      </w:r>
      <w:r>
        <w:rPr>
          <w:spacing w:val="-1"/>
          <w:vertAlign w:val="baseline"/>
        </w:rPr>
        <w:t> </w:t>
      </w:r>
      <w:r>
        <w:rPr>
          <w:vertAlign w:val="baseline"/>
        </w:rPr>
        <w:t>MS/MS scanning</w:t>
      </w:r>
      <w:r>
        <w:rPr>
          <w:spacing w:val="-4"/>
          <w:vertAlign w:val="baseline"/>
        </w:rPr>
        <w:t> </w:t>
      </w:r>
      <w:r>
        <w:rPr>
          <w:vertAlign w:val="baseline"/>
        </w:rPr>
        <w:t>mode</w:t>
      </w:r>
      <w:r>
        <w:rPr>
          <w:spacing w:val="-1"/>
          <w:vertAlign w:val="baseline"/>
        </w:rPr>
        <w:t> </w:t>
      </w:r>
      <w:r>
        <w:rPr>
          <w:vertAlign w:val="baseline"/>
        </w:rPr>
        <w:t>with</w:t>
      </w:r>
      <w:r>
        <w:rPr>
          <w:spacing w:val="2"/>
          <w:vertAlign w:val="baseline"/>
        </w:rPr>
        <w:t> </w:t>
      </w:r>
      <w:r>
        <w:rPr>
          <w:vertAlign w:val="baseline"/>
        </w:rPr>
        <w:t>an</w:t>
      </w:r>
      <w:r>
        <w:rPr>
          <w:spacing w:val="-4"/>
          <w:vertAlign w:val="baseline"/>
        </w:rPr>
        <w:t> </w:t>
      </w:r>
      <w:r>
        <w:rPr>
          <w:vertAlign w:val="baseline"/>
        </w:rPr>
        <w:t>MS range</w:t>
      </w:r>
      <w:r>
        <w:rPr>
          <w:spacing w:val="-2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m/z</w:t>
      </w:r>
      <w:r>
        <w:rPr>
          <w:spacing w:val="-3"/>
          <w:vertAlign w:val="baseline"/>
        </w:rPr>
        <w:t> </w:t>
      </w:r>
      <w:r>
        <w:rPr>
          <w:vertAlign w:val="baseline"/>
        </w:rPr>
        <w:t>50-2000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-4"/>
          <w:vertAlign w:val="baseline"/>
        </w:rPr>
        <w:t> </w:t>
      </w:r>
      <w:r>
        <w:rPr>
          <w:vertAlign w:val="baseline"/>
        </w:rPr>
        <w:t>an</w:t>
      </w:r>
      <w:r>
        <w:rPr>
          <w:spacing w:val="-3"/>
          <w:vertAlign w:val="baseline"/>
        </w:rPr>
        <w:t> </w:t>
      </w:r>
      <w:r>
        <w:rPr>
          <w:vertAlign w:val="baseline"/>
        </w:rPr>
        <w:t>MS/MS range</w:t>
      </w:r>
      <w:r>
        <w:rPr>
          <w:spacing w:val="-3"/>
          <w:vertAlign w:val="baseline"/>
        </w:rPr>
        <w:t> </w:t>
      </w:r>
      <w:r>
        <w:rPr>
          <w:vertAlign w:val="baseline"/>
        </w:rPr>
        <w:t>of</w:t>
      </w:r>
    </w:p>
    <w:p>
      <w:pPr>
        <w:spacing w:after="0" w:line="477" w:lineRule="auto"/>
        <w:sectPr>
          <w:pgSz w:w="12240" w:h="15840"/>
          <w:pgMar w:header="0" w:footer="1014" w:top="1500" w:bottom="1200" w:left="1320" w:right="820"/>
        </w:sectPr>
      </w:pPr>
    </w:p>
    <w:p>
      <w:pPr>
        <w:pStyle w:val="BodyText"/>
        <w:spacing w:line="480" w:lineRule="auto" w:before="38"/>
        <w:ind w:left="120" w:right="657"/>
      </w:pPr>
      <w:r>
        <w:rPr>
          <w:position w:val="2"/>
        </w:rPr>
        <w:t>m/z 20-2000. The collision gas used for CID was N</w:t>
      </w:r>
      <w:r>
        <w:rPr>
          <w:sz w:val="16"/>
        </w:rPr>
        <w:t>2</w:t>
      </w:r>
      <w:r>
        <w:rPr>
          <w:position w:val="2"/>
        </w:rPr>
        <w:t>. Depending on the application the CID</w:t>
      </w:r>
      <w:r>
        <w:rPr>
          <w:spacing w:val="1"/>
          <w:position w:val="2"/>
        </w:rPr>
        <w:t> </w:t>
      </w:r>
      <w:r>
        <w:rPr/>
        <w:t>voltage of collision cell was set from 40 to 200 eV. Compound separation was achieved by</w:t>
      </w:r>
      <w:r>
        <w:rPr>
          <w:spacing w:val="1"/>
        </w:rPr>
        <w:t> </w:t>
      </w:r>
      <w:r>
        <w:rPr/>
        <w:t>injecting 10 μl of sample into an ACE UltraCore Super C18 column (5 μm, 2.1 x 250 mm, ACE,</w:t>
      </w:r>
      <w:r>
        <w:rPr>
          <w:spacing w:val="1"/>
        </w:rPr>
        <w:t> </w:t>
      </w:r>
      <w:r>
        <w:rPr/>
        <w:t>Aberdeen, UK) maintained at 45°C. The LC program was set to have a flow rate of 0.2 mL min</w:t>
      </w:r>
      <w:r>
        <w:rPr>
          <w:vertAlign w:val="superscript"/>
        </w:rPr>
        <w:t>-1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baseline"/>
        </w:rPr>
        <w:t>first hold 100% A for 5 min, to 70% A and 30% B to 25 min, followed by a gradient to 50% B at</w:t>
      </w:r>
      <w:r>
        <w:rPr>
          <w:spacing w:val="1"/>
          <w:vertAlign w:val="baseline"/>
        </w:rPr>
        <w:t> </w:t>
      </w:r>
      <w:r>
        <w:rPr>
          <w:vertAlign w:val="baseline"/>
        </w:rPr>
        <w:t>50 min and hold for 5 min, and finally re-equilibrated with 100% A at a flow rate of 0.4 mL min</w:t>
      </w:r>
      <w:r>
        <w:rPr>
          <w:vertAlign w:val="superscript"/>
        </w:rPr>
        <w:t>-1</w:t>
      </w:r>
      <w:r>
        <w:rPr>
          <w:spacing w:val="-52"/>
          <w:vertAlign w:val="baseline"/>
        </w:rPr>
        <w:t> </w:t>
      </w:r>
      <w:r>
        <w:rPr>
          <w:position w:val="2"/>
          <w:vertAlign w:val="baseline"/>
        </w:rPr>
        <w:t>for 5 min. Eluent A was 95: 5: 0.04: 0.10 of methanol/H</w:t>
      </w:r>
      <w:r>
        <w:rPr>
          <w:sz w:val="16"/>
          <w:vertAlign w:val="baseline"/>
        </w:rPr>
        <w:t>2</w:t>
      </w:r>
      <w:r>
        <w:rPr>
          <w:position w:val="2"/>
          <w:vertAlign w:val="baseline"/>
        </w:rPr>
        <w:t>O/formic acid/14.8 M NH</w:t>
      </w:r>
      <w:r>
        <w:rPr>
          <w:sz w:val="16"/>
          <w:vertAlign w:val="baseline"/>
        </w:rPr>
        <w:t>3</w:t>
      </w:r>
      <w:r>
        <w:rPr>
          <w:position w:val="2"/>
          <w:vertAlign w:val="baseline"/>
        </w:rPr>
        <w:t>(aq.), eluent</w:t>
      </w:r>
      <w:r>
        <w:rPr>
          <w:spacing w:val="1"/>
          <w:position w:val="2"/>
          <w:vertAlign w:val="baseline"/>
        </w:rPr>
        <w:t> </w:t>
      </w:r>
      <w:r>
        <w:rPr>
          <w:position w:val="2"/>
          <w:vertAlign w:val="baseline"/>
        </w:rPr>
        <w:t>B</w:t>
      </w:r>
      <w:r>
        <w:rPr>
          <w:spacing w:val="-2"/>
          <w:position w:val="2"/>
          <w:vertAlign w:val="baseline"/>
        </w:rPr>
        <w:t> </w:t>
      </w:r>
      <w:r>
        <w:rPr>
          <w:position w:val="2"/>
          <w:vertAlign w:val="baseline"/>
        </w:rPr>
        <w:t>was</w:t>
      </w:r>
      <w:r>
        <w:rPr>
          <w:spacing w:val="-1"/>
          <w:position w:val="2"/>
          <w:vertAlign w:val="baseline"/>
        </w:rPr>
        <w:t> </w:t>
      </w:r>
      <w:r>
        <w:rPr>
          <w:position w:val="2"/>
          <w:vertAlign w:val="baseline"/>
        </w:rPr>
        <w:t>50:</w:t>
      </w:r>
      <w:r>
        <w:rPr>
          <w:spacing w:val="3"/>
          <w:position w:val="2"/>
          <w:vertAlign w:val="baseline"/>
        </w:rPr>
        <w:t> </w:t>
      </w:r>
      <w:r>
        <w:rPr>
          <w:position w:val="2"/>
          <w:vertAlign w:val="baseline"/>
        </w:rPr>
        <w:t>50:</w:t>
      </w:r>
      <w:r>
        <w:rPr>
          <w:spacing w:val="-2"/>
          <w:position w:val="2"/>
          <w:vertAlign w:val="baseline"/>
        </w:rPr>
        <w:t> </w:t>
      </w:r>
      <w:r>
        <w:rPr>
          <w:position w:val="2"/>
          <w:vertAlign w:val="baseline"/>
        </w:rPr>
        <w:t>0.04:</w:t>
      </w:r>
      <w:r>
        <w:rPr>
          <w:spacing w:val="-2"/>
          <w:position w:val="2"/>
          <w:vertAlign w:val="baseline"/>
        </w:rPr>
        <w:t> </w:t>
      </w:r>
      <w:r>
        <w:rPr>
          <w:position w:val="2"/>
          <w:vertAlign w:val="baseline"/>
        </w:rPr>
        <w:t>0.10</w:t>
      </w:r>
      <w:r>
        <w:rPr>
          <w:spacing w:val="-4"/>
          <w:position w:val="2"/>
          <w:vertAlign w:val="baseline"/>
        </w:rPr>
        <w:t> </w:t>
      </w:r>
      <w:r>
        <w:rPr>
          <w:position w:val="2"/>
          <w:vertAlign w:val="baseline"/>
        </w:rPr>
        <w:t>of</w:t>
      </w:r>
      <w:r>
        <w:rPr>
          <w:spacing w:val="-1"/>
          <w:position w:val="2"/>
          <w:vertAlign w:val="baseline"/>
        </w:rPr>
        <w:t> </w:t>
      </w:r>
      <w:r>
        <w:rPr>
          <w:position w:val="2"/>
          <w:vertAlign w:val="baseline"/>
        </w:rPr>
        <w:t>hexane/2-propanol/formic</w:t>
      </w:r>
      <w:r>
        <w:rPr>
          <w:spacing w:val="-3"/>
          <w:position w:val="2"/>
          <w:vertAlign w:val="baseline"/>
        </w:rPr>
        <w:t> </w:t>
      </w:r>
      <w:r>
        <w:rPr>
          <w:position w:val="2"/>
          <w:vertAlign w:val="baseline"/>
        </w:rPr>
        <w:t>acid/14.8</w:t>
      </w:r>
      <w:r>
        <w:rPr>
          <w:spacing w:val="-4"/>
          <w:position w:val="2"/>
          <w:vertAlign w:val="baseline"/>
        </w:rPr>
        <w:t> </w:t>
      </w:r>
      <w:r>
        <w:rPr>
          <w:position w:val="2"/>
          <w:vertAlign w:val="baseline"/>
        </w:rPr>
        <w:t>M</w:t>
      </w:r>
      <w:r>
        <w:rPr>
          <w:spacing w:val="3"/>
          <w:position w:val="2"/>
          <w:vertAlign w:val="baseline"/>
        </w:rPr>
        <w:t> </w:t>
      </w:r>
      <w:r>
        <w:rPr>
          <w:position w:val="2"/>
          <w:vertAlign w:val="baseline"/>
        </w:rPr>
        <w:t>NH</w:t>
      </w:r>
      <w:r>
        <w:rPr>
          <w:sz w:val="16"/>
          <w:vertAlign w:val="baseline"/>
        </w:rPr>
        <w:t>3</w:t>
      </w:r>
      <w:r>
        <w:rPr>
          <w:position w:val="2"/>
          <w:vertAlign w:val="baseline"/>
        </w:rPr>
        <w:t>(aq.).</w:t>
      </w:r>
    </w:p>
    <w:p>
      <w:pPr>
        <w:pStyle w:val="ListParagraph"/>
        <w:numPr>
          <w:ilvl w:val="2"/>
          <w:numId w:val="5"/>
        </w:numPr>
        <w:tabs>
          <w:tab w:pos="663" w:val="left" w:leader="none"/>
        </w:tabs>
        <w:spacing w:line="240" w:lineRule="auto" w:before="162" w:after="0"/>
        <w:ind w:left="662" w:right="0" w:hanging="543"/>
        <w:jc w:val="left"/>
        <w:rPr>
          <w:i/>
          <w:sz w:val="24"/>
        </w:rPr>
      </w:pPr>
      <w:r>
        <w:rPr>
          <w:i/>
          <w:sz w:val="24"/>
        </w:rPr>
        <w:t>Biomarker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Detection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Quantification</w:t>
      </w:r>
    </w:p>
    <w:p>
      <w:pPr>
        <w:pStyle w:val="BodyText"/>
        <w:rPr>
          <w:i/>
        </w:rPr>
      </w:pPr>
    </w:p>
    <w:p>
      <w:pPr>
        <w:pStyle w:val="BodyText"/>
        <w:spacing w:line="480" w:lineRule="auto" w:before="160"/>
        <w:ind w:left="120" w:right="660" w:firstLine="721"/>
      </w:pPr>
      <w:r>
        <w:rPr/>
        <w:t>Data analyses were performed by using Agilent MassHunter Qualitative Analysis</w:t>
      </w:r>
      <w:r>
        <w:rPr>
          <w:spacing w:val="1"/>
        </w:rPr>
        <w:t> </w:t>
      </w:r>
      <w:r>
        <w:rPr/>
        <w:t>software (version B.08.00). Compounds were detected based on their accurate masses, MS</w:t>
      </w:r>
      <w:r>
        <w:rPr>
          <w:vertAlign w:val="superscript"/>
        </w:rPr>
        <w:t>2</w:t>
      </w:r>
      <w:r>
        <w:rPr>
          <w:spacing w:val="1"/>
          <w:vertAlign w:val="baseline"/>
        </w:rPr>
        <w:t> </w:t>
      </w:r>
      <w:r>
        <w:rPr>
          <w:vertAlign w:val="baseline"/>
        </w:rPr>
        <w:t>fragmentation patterns and relative retention time. Peaks of targeted biomarkers were</w:t>
      </w:r>
      <w:r>
        <w:rPr>
          <w:spacing w:val="1"/>
          <w:vertAlign w:val="baseline"/>
        </w:rPr>
        <w:t> </w:t>
      </w:r>
      <w:r>
        <w:rPr>
          <w:vertAlign w:val="baseline"/>
        </w:rPr>
        <w:t>extracted with the type set to EIC (extracted ion chromatograph), MS level set to MS, polarity</w:t>
      </w:r>
      <w:r>
        <w:rPr>
          <w:spacing w:val="1"/>
          <w:vertAlign w:val="baseline"/>
        </w:rPr>
        <w:t> </w:t>
      </w:r>
      <w:r>
        <w:rPr>
          <w:vertAlign w:val="baseline"/>
        </w:rPr>
        <w:t>positive,</w:t>
      </w:r>
      <w:r>
        <w:rPr>
          <w:spacing w:val="-4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single</w:t>
      </w:r>
      <w:r>
        <w:rPr>
          <w:spacing w:val="-1"/>
          <w:vertAlign w:val="baseline"/>
        </w:rPr>
        <w:t> </w:t>
      </w:r>
      <w:r>
        <w:rPr>
          <w:vertAlign w:val="baseline"/>
        </w:rPr>
        <w:t>m/z</w:t>
      </w:r>
      <w:r>
        <w:rPr>
          <w:spacing w:val="-3"/>
          <w:vertAlign w:val="baseline"/>
        </w:rPr>
        <w:t> </w:t>
      </w:r>
      <w:r>
        <w:rPr>
          <w:vertAlign w:val="baseline"/>
        </w:rPr>
        <w:t>expansion</w:t>
      </w:r>
      <w:r>
        <w:rPr>
          <w:spacing w:val="-3"/>
          <w:vertAlign w:val="baseline"/>
        </w:rPr>
        <w:t> </w:t>
      </w:r>
      <w:r>
        <w:rPr>
          <w:vertAlign w:val="baseline"/>
        </w:rPr>
        <w:t>set</w:t>
      </w:r>
      <w:r>
        <w:rPr>
          <w:spacing w:val="-2"/>
          <w:vertAlign w:val="baseline"/>
        </w:rPr>
        <w:t> </w:t>
      </w:r>
      <w:r>
        <w:rPr>
          <w:vertAlign w:val="baseline"/>
        </w:rPr>
        <w:t>to</w:t>
      </w:r>
      <w:r>
        <w:rPr>
          <w:spacing w:val="-2"/>
          <w:vertAlign w:val="baseline"/>
        </w:rPr>
        <w:t> </w:t>
      </w:r>
      <w:r>
        <w:rPr>
          <w:vertAlign w:val="baseline"/>
        </w:rPr>
        <w:t>symmetric</w:t>
      </w:r>
      <w:r>
        <w:rPr>
          <w:spacing w:val="-2"/>
          <w:vertAlign w:val="baseline"/>
        </w:rPr>
        <w:t> </w:t>
      </w:r>
      <w:r>
        <w:rPr>
          <w:vertAlign w:val="baseline"/>
        </w:rPr>
        <w:t>(m/z)</w:t>
      </w:r>
      <w:r>
        <w:rPr>
          <w:spacing w:val="1"/>
          <w:vertAlign w:val="baseline"/>
        </w:rPr>
        <w:t> </w:t>
      </w:r>
      <w:r>
        <w:rPr>
          <w:vertAlign w:val="baseline"/>
        </w:rPr>
        <w:t>±0.0200</w:t>
      </w:r>
      <w:r>
        <w:rPr>
          <w:spacing w:val="-3"/>
          <w:vertAlign w:val="baseline"/>
        </w:rPr>
        <w:t> </w:t>
      </w:r>
      <w:r>
        <w:rPr>
          <w:vertAlign w:val="baseline"/>
        </w:rPr>
        <w:t>for</w:t>
      </w:r>
      <w:r>
        <w:rPr>
          <w:spacing w:val="-2"/>
          <w:vertAlign w:val="baseline"/>
        </w:rPr>
        <w:t> </w:t>
      </w:r>
      <w:r>
        <w:rPr>
          <w:vertAlign w:val="baseline"/>
        </w:rPr>
        <w:t>most</w:t>
      </w:r>
      <w:r>
        <w:rPr>
          <w:spacing w:val="-2"/>
          <w:vertAlign w:val="baseline"/>
        </w:rPr>
        <w:t> </w:t>
      </w:r>
      <w:r>
        <w:rPr>
          <w:vertAlign w:val="baseline"/>
        </w:rPr>
        <w:t>of</w:t>
      </w:r>
      <w:r>
        <w:rPr>
          <w:spacing w:val="-2"/>
          <w:vertAlign w:val="baseline"/>
        </w:rPr>
        <w:t> </w:t>
      </w:r>
      <w:r>
        <w:rPr>
          <w:vertAlign w:val="baseline"/>
        </w:rPr>
        <w:t>the</w:t>
      </w:r>
      <w:r>
        <w:rPr>
          <w:spacing w:val="-2"/>
          <w:vertAlign w:val="baseline"/>
        </w:rPr>
        <w:t> </w:t>
      </w:r>
      <w:r>
        <w:rPr>
          <w:vertAlign w:val="baseline"/>
        </w:rPr>
        <w:t>samples</w:t>
      </w:r>
      <w:r>
        <w:rPr>
          <w:spacing w:val="-4"/>
          <w:vertAlign w:val="baseline"/>
        </w:rPr>
        <w:t> </w:t>
      </w:r>
      <w:r>
        <w:rPr>
          <w:vertAlign w:val="baseline"/>
        </w:rPr>
        <w:t>and</w:t>
      </w:r>
    </w:p>
    <w:p>
      <w:pPr>
        <w:pStyle w:val="BodyText"/>
        <w:spacing w:line="480" w:lineRule="auto"/>
        <w:ind w:left="120" w:right="1165"/>
      </w:pPr>
      <w:r>
        <w:rPr/>
        <w:t>±0.0250 for Wch-35-39,44-47. Compounds analyzed generally fell into three categories,</w:t>
      </w:r>
      <w:r>
        <w:rPr>
          <w:spacing w:val="1"/>
        </w:rPr>
        <w:t> </w:t>
      </w:r>
      <w:r>
        <w:rPr/>
        <w:t>carotenoids,</w:t>
      </w:r>
      <w:r>
        <w:rPr>
          <w:spacing w:val="-3"/>
        </w:rPr>
        <w:t> </w:t>
      </w:r>
      <w:r>
        <w:rPr/>
        <w:t>metalloporphyrins,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MTTCs.</w:t>
      </w:r>
      <w:r>
        <w:rPr>
          <w:spacing w:val="51"/>
        </w:rPr>
        <w:t> </w:t>
      </w:r>
      <w:r>
        <w:rPr/>
        <w:t>Their</w:t>
      </w:r>
      <w:r>
        <w:rPr>
          <w:spacing w:val="-2"/>
        </w:rPr>
        <w:t> </w:t>
      </w:r>
      <w:r>
        <w:rPr/>
        <w:t>concentrations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calculated</w:t>
      </w:r>
      <w:r>
        <w:rPr>
          <w:spacing w:val="-2"/>
        </w:rPr>
        <w:t> </w:t>
      </w:r>
      <w:r>
        <w:rPr/>
        <w:t>using</w:t>
      </w:r>
      <w:r>
        <w:rPr>
          <w:spacing w:val="-3"/>
        </w:rPr>
        <w:t> </w:t>
      </w:r>
      <w:r>
        <w:rPr/>
        <w:t>the</w:t>
      </w:r>
      <w:r>
        <w:rPr>
          <w:spacing w:val="-51"/>
        </w:rPr>
        <w:t> </w:t>
      </w:r>
      <w:r>
        <w:rPr/>
        <w:t>equation</w:t>
      </w:r>
      <w:r>
        <w:rPr>
          <w:spacing w:val="-1"/>
        </w:rPr>
        <w:t> </w:t>
      </w:r>
      <w:r>
        <w:rPr/>
        <w:t>below.</w:t>
      </w:r>
    </w:p>
    <w:p>
      <w:pPr>
        <w:spacing w:line="146" w:lineRule="auto" w:before="181"/>
        <w:ind w:left="175" w:right="0" w:firstLine="0"/>
        <w:jc w:val="left"/>
        <w:rPr>
          <w:rFonts w:ascii="Cambria" w:hAnsi="Cambria" w:eastAsia="Cambria"/>
          <w:sz w:val="24"/>
        </w:rPr>
      </w:pPr>
      <w:r>
        <w:rPr/>
        <w:pict>
          <v:rect style="position:absolute;margin-left:74.760002pt;margin-top:19.209558pt;width:89.519995pt;height:.839996pt;mso-position-horizontal-relative:page;mso-position-vertical-relative:paragraph;z-index:-21420544" id="docshape160" filled="true" fillcolor="#000000" stroked="false">
            <v:fill type="solid"/>
            <w10:wrap type="none"/>
          </v:rect>
        </w:pict>
      </w:r>
      <w:r>
        <w:rPr/>
        <w:pict>
          <v:rect style="position:absolute;margin-left:175.440002pt;margin-top:19.209558pt;width:132.840008pt;height:.839996pt;mso-position-horizontal-relative:page;mso-position-vertical-relative:paragraph;z-index:-21420032" id="docshape161" filled="true" fillcolor="#000000" stroked="false">
            <v:fill type="solid"/>
            <w10:wrap type="none"/>
          </v:rect>
        </w:pict>
      </w:r>
      <w:r>
        <w:rPr/>
        <w:pict>
          <v:rect style="position:absolute;margin-left:468.359985pt;margin-top:19.209558pt;width:19.080002pt;height:.839996pt;mso-position-horizontal-relative:page;mso-position-vertical-relative:paragraph;z-index:-21419520" id="docshape162" filled="true" fillcolor="#000000" stroked="false">
            <v:fill type="solid"/>
            <w10:wrap type="none"/>
          </v:rect>
        </w:pict>
      </w:r>
      <w:r>
        <w:rPr>
          <w:rFonts w:ascii="Cambria" w:hAnsi="Cambria" w:eastAsia="Cambria"/>
          <w:w w:val="275"/>
          <w:sz w:val="17"/>
        </w:rPr>
        <w:t> </w:t>
      </w:r>
      <w:r>
        <w:rPr>
          <w:rFonts w:ascii="Cambria" w:hAnsi="Cambria" w:eastAsia="Cambria"/>
          <w:w w:val="110"/>
          <w:sz w:val="17"/>
        </w:rPr>
        <w:t>ompound</w:t>
      </w:r>
      <w:r>
        <w:rPr>
          <w:rFonts w:ascii="Cambria" w:hAnsi="Cambria" w:eastAsia="Cambria"/>
          <w:spacing w:val="2"/>
          <w:w w:val="110"/>
          <w:sz w:val="17"/>
        </w:rPr>
        <w:t> </w:t>
      </w:r>
      <w:r>
        <w:rPr>
          <w:rFonts w:ascii="Cambria" w:hAnsi="Cambria" w:eastAsia="Cambria"/>
          <w:w w:val="110"/>
          <w:sz w:val="17"/>
        </w:rPr>
        <w:t>peak</w:t>
      </w:r>
      <w:r>
        <w:rPr>
          <w:rFonts w:ascii="Cambria" w:hAnsi="Cambria" w:eastAsia="Cambria"/>
          <w:spacing w:val="2"/>
          <w:w w:val="110"/>
          <w:sz w:val="17"/>
        </w:rPr>
        <w:t> </w:t>
      </w:r>
      <w:r>
        <w:rPr>
          <w:rFonts w:ascii="Cambria" w:hAnsi="Cambria" w:eastAsia="Cambria"/>
          <w:w w:val="110"/>
          <w:sz w:val="17"/>
        </w:rPr>
        <w:t>area</w:t>
      </w:r>
      <w:r>
        <w:rPr>
          <w:rFonts w:ascii="Cambria" w:hAnsi="Cambria" w:eastAsia="Cambria"/>
          <w:spacing w:val="17"/>
          <w:w w:val="110"/>
          <w:sz w:val="17"/>
        </w:rPr>
        <w:t> </w:t>
      </w:r>
      <w:r>
        <w:rPr>
          <w:rFonts w:ascii="Cambria" w:hAnsi="Cambria" w:eastAsia="Cambria"/>
          <w:w w:val="110"/>
          <w:position w:val="-13"/>
          <w:sz w:val="24"/>
        </w:rPr>
        <w:t>∗</w:t>
      </w:r>
      <w:r>
        <w:rPr>
          <w:rFonts w:ascii="Cambria" w:hAnsi="Cambria" w:eastAsia="Cambria"/>
          <w:spacing w:val="-1"/>
          <w:w w:val="110"/>
          <w:position w:val="-13"/>
          <w:sz w:val="24"/>
        </w:rPr>
        <w:t> </w:t>
      </w:r>
      <w:r>
        <w:rPr>
          <w:rFonts w:ascii="Cambria" w:hAnsi="Cambria" w:eastAsia="Cambria"/>
          <w:w w:val="110"/>
          <w:sz w:val="17"/>
        </w:rPr>
        <w:t>mass</w:t>
      </w:r>
      <w:r>
        <w:rPr>
          <w:rFonts w:ascii="Cambria" w:hAnsi="Cambria" w:eastAsia="Cambria"/>
          <w:spacing w:val="4"/>
          <w:w w:val="110"/>
          <w:sz w:val="17"/>
        </w:rPr>
        <w:t> </w:t>
      </w:r>
      <w:r>
        <w:rPr>
          <w:rFonts w:ascii="Cambria" w:hAnsi="Cambria" w:eastAsia="Cambria"/>
          <w:w w:val="125"/>
          <w:sz w:val="17"/>
        </w:rPr>
        <w:t>of</w:t>
      </w:r>
      <w:r>
        <w:rPr>
          <w:rFonts w:ascii="Cambria" w:hAnsi="Cambria" w:eastAsia="Cambria"/>
          <w:spacing w:val="-1"/>
          <w:w w:val="125"/>
          <w:sz w:val="17"/>
        </w:rPr>
        <w:t> </w:t>
      </w:r>
      <w:r>
        <w:rPr>
          <w:rFonts w:ascii="Cambria" w:hAnsi="Cambria" w:eastAsia="Cambria"/>
          <w:w w:val="110"/>
          <w:sz w:val="17"/>
        </w:rPr>
        <w:t>standard</w:t>
      </w:r>
      <w:r>
        <w:rPr>
          <w:rFonts w:ascii="Cambria" w:hAnsi="Cambria" w:eastAsia="Cambria"/>
          <w:spacing w:val="7"/>
          <w:w w:val="110"/>
          <w:sz w:val="17"/>
        </w:rPr>
        <w:t> </w:t>
      </w:r>
      <w:r>
        <w:rPr>
          <w:rFonts w:ascii="Cambria" w:hAnsi="Cambria" w:eastAsia="Cambria"/>
          <w:w w:val="110"/>
          <w:sz w:val="17"/>
        </w:rPr>
        <w:t>injected</w:t>
      </w:r>
      <w:r>
        <w:rPr>
          <w:rFonts w:ascii="Cambria" w:hAnsi="Cambria" w:eastAsia="Cambria"/>
          <w:spacing w:val="5"/>
          <w:w w:val="110"/>
          <w:sz w:val="17"/>
        </w:rPr>
        <w:t> </w:t>
      </w:r>
      <w:r>
        <w:rPr>
          <w:rFonts w:ascii="Cambria" w:hAnsi="Cambria" w:eastAsia="Cambria"/>
          <w:w w:val="110"/>
          <w:position w:val="1"/>
          <w:sz w:val="17"/>
        </w:rPr>
        <w:t>(</w:t>
      </w:r>
      <w:r>
        <w:rPr>
          <w:rFonts w:ascii="Cambria" w:hAnsi="Cambria" w:eastAsia="Cambria"/>
          <w:w w:val="110"/>
          <w:sz w:val="17"/>
        </w:rPr>
        <w:t>ng</w:t>
      </w:r>
      <w:r>
        <w:rPr>
          <w:rFonts w:ascii="Cambria" w:hAnsi="Cambria" w:eastAsia="Cambria"/>
          <w:w w:val="110"/>
          <w:position w:val="1"/>
          <w:sz w:val="17"/>
        </w:rPr>
        <w:t>)</w:t>
      </w:r>
      <w:r>
        <w:rPr>
          <w:rFonts w:ascii="Cambria" w:hAnsi="Cambria" w:eastAsia="Cambria"/>
          <w:spacing w:val="30"/>
          <w:w w:val="110"/>
          <w:position w:val="1"/>
          <w:sz w:val="17"/>
        </w:rPr>
        <w:t> </w:t>
      </w:r>
      <w:r>
        <w:rPr>
          <w:rFonts w:ascii="Cambria" w:hAnsi="Cambria" w:eastAsia="Cambria"/>
          <w:w w:val="110"/>
          <w:position w:val="-13"/>
          <w:sz w:val="24"/>
        </w:rPr>
        <w:t>=</w:t>
      </w:r>
      <w:r>
        <w:rPr>
          <w:rFonts w:ascii="Cambria" w:hAnsi="Cambria" w:eastAsia="Cambria"/>
          <w:spacing w:val="12"/>
          <w:w w:val="110"/>
          <w:position w:val="-13"/>
          <w:sz w:val="24"/>
        </w:rPr>
        <w:t> </w:t>
      </w:r>
      <w:r>
        <w:rPr>
          <w:rFonts w:ascii="Cambria" w:hAnsi="Cambria" w:eastAsia="Cambria"/>
          <w:w w:val="110"/>
          <w:position w:val="-13"/>
          <w:sz w:val="24"/>
        </w:rPr>
        <w:t>𝐶𝑜𝑚𝑝𝑜𝑢𝑛𝑑</w:t>
      </w:r>
      <w:r>
        <w:rPr>
          <w:rFonts w:ascii="Cambria" w:hAnsi="Cambria" w:eastAsia="Cambria"/>
          <w:spacing w:val="12"/>
          <w:w w:val="110"/>
          <w:position w:val="-13"/>
          <w:sz w:val="24"/>
        </w:rPr>
        <w:t> </w:t>
      </w:r>
      <w:r>
        <w:rPr>
          <w:rFonts w:ascii="Cambria" w:hAnsi="Cambria" w:eastAsia="Cambria"/>
          <w:w w:val="110"/>
          <w:position w:val="-13"/>
          <w:sz w:val="24"/>
        </w:rPr>
        <w:t>𝑐𝑜𝑛𝑐𝑒𝑛𝑡𝑟𝑎𝑡𝑖𝑜𝑛</w:t>
      </w:r>
      <w:r>
        <w:rPr>
          <w:rFonts w:ascii="Cambria" w:hAnsi="Cambria" w:eastAsia="Cambria"/>
          <w:spacing w:val="6"/>
          <w:w w:val="110"/>
          <w:position w:val="-13"/>
          <w:sz w:val="24"/>
        </w:rPr>
        <w:t> </w:t>
      </w:r>
      <w:r>
        <w:rPr>
          <w:rFonts w:ascii="Cambria" w:hAnsi="Cambria" w:eastAsia="Cambria"/>
          <w:w w:val="110"/>
          <w:position w:val="-13"/>
          <w:sz w:val="24"/>
        </w:rPr>
        <w:t>(</w:t>
      </w:r>
      <w:r>
        <w:rPr>
          <w:rFonts w:ascii="Cambria" w:hAnsi="Cambria" w:eastAsia="Cambria"/>
          <w:spacing w:val="26"/>
          <w:w w:val="110"/>
          <w:position w:val="-13"/>
          <w:sz w:val="24"/>
        </w:rPr>
        <w:t> </w:t>
      </w:r>
      <w:r>
        <w:rPr>
          <w:rFonts w:ascii="Cambria" w:hAnsi="Cambria" w:eastAsia="Cambria"/>
          <w:w w:val="110"/>
          <w:sz w:val="17"/>
        </w:rPr>
        <w:t>ng</w:t>
      </w:r>
      <w:r>
        <w:rPr>
          <w:rFonts w:ascii="Cambria" w:hAnsi="Cambria" w:eastAsia="Cambria"/>
          <w:spacing w:val="7"/>
          <w:w w:val="110"/>
          <w:sz w:val="17"/>
        </w:rPr>
        <w:t> </w:t>
      </w:r>
      <w:r>
        <w:rPr>
          <w:rFonts w:ascii="Cambria" w:hAnsi="Cambria" w:eastAsia="Cambria"/>
          <w:w w:val="110"/>
          <w:position w:val="-13"/>
          <w:sz w:val="24"/>
        </w:rPr>
        <w:t>)</w:t>
      </w:r>
    </w:p>
    <w:p>
      <w:pPr>
        <w:spacing w:after="0" w:line="146" w:lineRule="auto"/>
        <w:jc w:val="left"/>
        <w:rPr>
          <w:rFonts w:ascii="Cambria" w:hAnsi="Cambria" w:eastAsia="Cambria"/>
          <w:sz w:val="24"/>
        </w:rPr>
        <w:sectPr>
          <w:pgSz w:w="12240" w:h="15840"/>
          <w:pgMar w:header="0" w:footer="1014" w:top="1400" w:bottom="1200" w:left="1320" w:right="820"/>
        </w:sectPr>
      </w:pPr>
    </w:p>
    <w:p>
      <w:pPr>
        <w:spacing w:line="180" w:lineRule="exact" w:before="0"/>
        <w:ind w:left="223" w:right="0" w:firstLine="0"/>
        <w:jc w:val="left"/>
        <w:rPr>
          <w:rFonts w:ascii="Cambria"/>
          <w:sz w:val="17"/>
        </w:rPr>
      </w:pPr>
      <w:r>
        <w:rPr>
          <w:rFonts w:ascii="Cambria"/>
          <w:w w:val="250"/>
          <w:sz w:val="17"/>
        </w:rPr>
        <w:t> </w:t>
      </w:r>
      <w:r>
        <w:rPr>
          <w:rFonts w:ascii="Cambria"/>
          <w:w w:val="120"/>
          <w:sz w:val="17"/>
        </w:rPr>
        <w:t>tandard</w:t>
      </w:r>
      <w:r>
        <w:rPr>
          <w:rFonts w:ascii="Cambria"/>
          <w:spacing w:val="3"/>
          <w:w w:val="120"/>
          <w:sz w:val="17"/>
        </w:rPr>
        <w:t> </w:t>
      </w:r>
      <w:r>
        <w:rPr>
          <w:rFonts w:ascii="Cambria"/>
          <w:w w:val="120"/>
          <w:sz w:val="17"/>
        </w:rPr>
        <w:t>peak</w:t>
      </w:r>
      <w:r>
        <w:rPr>
          <w:rFonts w:ascii="Cambria"/>
          <w:spacing w:val="-1"/>
          <w:w w:val="120"/>
          <w:sz w:val="17"/>
        </w:rPr>
        <w:t> </w:t>
      </w:r>
      <w:r>
        <w:rPr>
          <w:rFonts w:ascii="Cambria"/>
          <w:w w:val="120"/>
          <w:sz w:val="17"/>
        </w:rPr>
        <w:t>area</w:t>
      </w:r>
    </w:p>
    <w:p>
      <w:pPr>
        <w:spacing w:line="180" w:lineRule="exact" w:before="0"/>
        <w:ind w:left="223" w:right="0" w:firstLine="0"/>
        <w:jc w:val="left"/>
        <w:rPr>
          <w:rFonts w:ascii="Cambria"/>
          <w:sz w:val="17"/>
        </w:rPr>
      </w:pPr>
      <w:r>
        <w:rPr/>
        <w:br w:type="column"/>
      </w:r>
      <w:r>
        <w:rPr>
          <w:rFonts w:ascii="Cambria"/>
          <w:w w:val="371"/>
          <w:sz w:val="17"/>
        </w:rPr>
        <w:t> </w:t>
      </w:r>
      <w:r>
        <w:rPr>
          <w:rFonts w:ascii="Cambria"/>
          <w:w w:val="125"/>
          <w:sz w:val="17"/>
        </w:rPr>
        <w:t>t     </w:t>
      </w:r>
      <w:r>
        <w:rPr>
          <w:rFonts w:ascii="Cambria"/>
          <w:spacing w:val="19"/>
          <w:w w:val="125"/>
          <w:sz w:val="17"/>
        </w:rPr>
        <w:t> </w:t>
      </w:r>
      <w:r>
        <w:rPr>
          <w:rFonts w:ascii="Cambria"/>
          <w:w w:val="125"/>
          <w:position w:val="1"/>
          <w:sz w:val="17"/>
        </w:rPr>
        <w:t>(</w:t>
      </w:r>
      <w:r>
        <w:rPr>
          <w:rFonts w:ascii="Cambria"/>
          <w:w w:val="125"/>
          <w:sz w:val="17"/>
        </w:rPr>
        <w:t>g</w:t>
      </w:r>
      <w:r>
        <w:rPr>
          <w:rFonts w:ascii="Cambria"/>
          <w:w w:val="125"/>
          <w:position w:val="1"/>
          <w:sz w:val="17"/>
        </w:rPr>
        <w:t>)</w:t>
      </w:r>
    </w:p>
    <w:p>
      <w:pPr>
        <w:spacing w:line="180" w:lineRule="exact" w:before="0"/>
        <w:ind w:left="223" w:right="0" w:firstLine="0"/>
        <w:jc w:val="left"/>
        <w:rPr>
          <w:rFonts w:ascii="Cambria"/>
          <w:sz w:val="17"/>
        </w:rPr>
      </w:pPr>
      <w:r>
        <w:rPr/>
        <w:br w:type="column"/>
      </w:r>
      <w:r>
        <w:rPr>
          <w:rFonts w:ascii="Cambria"/>
          <w:w w:val="135"/>
          <w:sz w:val="17"/>
        </w:rPr>
        <w:t>g</w:t>
      </w:r>
      <w:r>
        <w:rPr>
          <w:rFonts w:ascii="Cambria"/>
          <w:spacing w:val="1"/>
          <w:sz w:val="17"/>
        </w:rPr>
        <w:t> </w:t>
      </w:r>
      <w:r>
        <w:rPr>
          <w:rFonts w:ascii="Cambria"/>
          <w:spacing w:val="2"/>
          <w:w w:val="316"/>
          <w:sz w:val="17"/>
        </w:rPr>
        <w:t> </w:t>
      </w:r>
      <w:r>
        <w:rPr>
          <w:rFonts w:ascii="Cambria"/>
          <w:w w:val="275"/>
          <w:sz w:val="17"/>
        </w:rPr>
        <w:t> </w:t>
      </w:r>
    </w:p>
    <w:p>
      <w:pPr>
        <w:spacing w:after="0" w:line="180" w:lineRule="exact"/>
        <w:jc w:val="left"/>
        <w:rPr>
          <w:rFonts w:ascii="Cambria"/>
          <w:sz w:val="17"/>
        </w:rPr>
        <w:sectPr>
          <w:type w:val="continuous"/>
          <w:pgSz w:w="12240" w:h="15840"/>
          <w:pgMar w:header="0" w:footer="1014" w:top="1400" w:bottom="280" w:left="1320" w:right="820"/>
          <w:cols w:num="3" w:equalWidth="0">
            <w:col w:w="1954" w:space="950"/>
            <w:col w:w="1045" w:space="3875"/>
            <w:col w:w="2276"/>
          </w:cols>
        </w:sect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spacing w:line="480" w:lineRule="auto" w:before="204"/>
        <w:ind w:left="120" w:right="917"/>
      </w:pPr>
      <w:r>
        <w:rPr>
          <w:position w:val="2"/>
        </w:rPr>
        <w:t>The aromatic carotenoids, MTTCs, and TMPBQ were all normalized using the C</w:t>
      </w:r>
      <w:r>
        <w:rPr>
          <w:sz w:val="16"/>
        </w:rPr>
        <w:t>46</w:t>
      </w:r>
      <w:r>
        <w:rPr>
          <w:spacing w:val="1"/>
          <w:sz w:val="16"/>
        </w:rPr>
        <w:t> </w:t>
      </w:r>
      <w:r>
        <w:rPr>
          <w:position w:val="2"/>
        </w:rPr>
        <w:t>GTGT</w:t>
      </w:r>
      <w:r>
        <w:rPr>
          <w:spacing w:val="1"/>
          <w:position w:val="2"/>
        </w:rPr>
        <w:t> </w:t>
      </w:r>
      <w:r>
        <w:rPr/>
        <w:t>standard.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VO</w:t>
      </w:r>
      <w:r>
        <w:rPr>
          <w:spacing w:val="-1"/>
        </w:rPr>
        <w:t> </w:t>
      </w:r>
      <w:r>
        <w:rPr/>
        <w:t>porphyrins</w:t>
      </w:r>
      <w:r>
        <w:rPr>
          <w:spacing w:val="-3"/>
        </w:rPr>
        <w:t> </w:t>
      </w:r>
      <w:r>
        <w:rPr/>
        <w:t>were</w:t>
      </w:r>
      <w:r>
        <w:rPr>
          <w:spacing w:val="-3"/>
        </w:rPr>
        <w:t> </w:t>
      </w:r>
      <w:r>
        <w:rPr/>
        <w:t>normalized</w:t>
      </w:r>
      <w:r>
        <w:rPr>
          <w:spacing w:val="-4"/>
        </w:rPr>
        <w:t> </w:t>
      </w:r>
      <w:r>
        <w:rPr/>
        <w:t>using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VO-TPP</w:t>
      </w:r>
      <w:r>
        <w:rPr>
          <w:spacing w:val="-3"/>
        </w:rPr>
        <w:t> </w:t>
      </w:r>
      <w:r>
        <w:rPr/>
        <w:t>standard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Ni</w:t>
      </w:r>
      <w:r>
        <w:rPr>
          <w:spacing w:val="-3"/>
        </w:rPr>
        <w:t> </w:t>
      </w:r>
      <w:r>
        <w:rPr/>
        <w:t>porphyrins</w:t>
      </w:r>
      <w:r>
        <w:rPr>
          <w:spacing w:val="-52"/>
        </w:rPr>
        <w:t> </w:t>
      </w:r>
      <w:r>
        <w:rPr/>
        <w:t>were</w:t>
      </w:r>
      <w:r>
        <w:rPr>
          <w:spacing w:val="-3"/>
        </w:rPr>
        <w:t> </w:t>
      </w:r>
      <w:r>
        <w:rPr/>
        <w:t>normalized</w:t>
      </w:r>
      <w:r>
        <w:rPr>
          <w:spacing w:val="-1"/>
        </w:rPr>
        <w:t> </w:t>
      </w:r>
      <w:r>
        <w:rPr/>
        <w:t>using Ni-TPP</w:t>
      </w:r>
      <w:r>
        <w:rPr>
          <w:spacing w:val="-2"/>
        </w:rPr>
        <w:t> </w:t>
      </w:r>
      <w:r>
        <w:rPr/>
        <w:t>standard.</w:t>
      </w:r>
    </w:p>
    <w:p>
      <w:pPr>
        <w:spacing w:after="0" w:line="480" w:lineRule="auto"/>
        <w:sectPr>
          <w:type w:val="continuous"/>
          <w:pgSz w:w="12240" w:h="15840"/>
          <w:pgMar w:header="0" w:footer="1014" w:top="1400" w:bottom="280" w:left="1320" w:right="820"/>
        </w:sectPr>
      </w:pPr>
    </w:p>
    <w:p>
      <w:pPr>
        <w:pStyle w:val="ListParagraph"/>
        <w:numPr>
          <w:ilvl w:val="2"/>
          <w:numId w:val="5"/>
        </w:numPr>
        <w:tabs>
          <w:tab w:pos="663" w:val="left" w:leader="none"/>
        </w:tabs>
        <w:spacing w:line="240" w:lineRule="auto" w:before="39" w:after="0"/>
        <w:ind w:left="662" w:right="0" w:hanging="543"/>
        <w:jc w:val="left"/>
        <w:rPr>
          <w:i/>
          <w:sz w:val="24"/>
        </w:rPr>
      </w:pPr>
      <w:r>
        <w:rPr>
          <w:i/>
          <w:sz w:val="24"/>
        </w:rPr>
        <w:t>Carbon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Isotope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Measurement</w:t>
      </w:r>
    </w:p>
    <w:p>
      <w:pPr>
        <w:pStyle w:val="BodyText"/>
        <w:rPr>
          <w:i/>
        </w:rPr>
      </w:pPr>
    </w:p>
    <w:p>
      <w:pPr>
        <w:pStyle w:val="BodyText"/>
        <w:spacing w:line="480" w:lineRule="auto" w:before="161"/>
        <w:ind w:left="120" w:right="633" w:firstLine="721"/>
      </w:pPr>
      <w:r>
        <w:rPr/>
        <w:t>Carbonate was completely removed prior to organic carbon isotopic analysis. Samples</w:t>
      </w:r>
      <w:r>
        <w:rPr>
          <w:spacing w:val="1"/>
        </w:rPr>
        <w:t> </w:t>
      </w:r>
      <w:r>
        <w:rPr/>
        <w:t>were</w:t>
      </w:r>
      <w:r>
        <w:rPr>
          <w:spacing w:val="-3"/>
        </w:rPr>
        <w:t> </w:t>
      </w:r>
      <w:r>
        <w:rPr/>
        <w:t>placed</w:t>
      </w:r>
      <w:r>
        <w:rPr>
          <w:spacing w:val="-2"/>
        </w:rPr>
        <w:t> </w:t>
      </w:r>
      <w:r>
        <w:rPr/>
        <w:t>into</w:t>
      </w:r>
      <w:r>
        <w:rPr>
          <w:spacing w:val="-3"/>
        </w:rPr>
        <w:t> </w:t>
      </w:r>
      <w:r>
        <w:rPr/>
        <w:t>an</w:t>
      </w:r>
      <w:r>
        <w:rPr>
          <w:spacing w:val="-3"/>
        </w:rPr>
        <w:t> </w:t>
      </w:r>
      <w:r>
        <w:rPr/>
        <w:t>acid-resistant</w:t>
      </w:r>
      <w:r>
        <w:rPr>
          <w:spacing w:val="-3"/>
        </w:rPr>
        <w:t> </w:t>
      </w:r>
      <w:r>
        <w:rPr/>
        <w:t>tray,</w:t>
      </w:r>
      <w:r>
        <w:rPr>
          <w:spacing w:val="-2"/>
        </w:rPr>
        <w:t> </w:t>
      </w:r>
      <w:r>
        <w:rPr/>
        <w:t>submerged</w:t>
      </w:r>
      <w:r>
        <w:rPr>
          <w:spacing w:val="2"/>
        </w:rPr>
        <w:t> </w:t>
      </w:r>
      <w:r>
        <w:rPr/>
        <w:t>in</w:t>
      </w:r>
      <w:r>
        <w:rPr>
          <w:spacing w:val="-3"/>
        </w:rPr>
        <w:t> </w:t>
      </w:r>
      <w:r>
        <w:rPr/>
        <w:t>3N</w:t>
      </w:r>
      <w:r>
        <w:rPr>
          <w:spacing w:val="2"/>
        </w:rPr>
        <w:t> </w:t>
      </w:r>
      <w:r>
        <w:rPr/>
        <w:t>HCl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let</w:t>
      </w:r>
      <w:r>
        <w:rPr>
          <w:spacing w:val="-1"/>
        </w:rPr>
        <w:t> </w:t>
      </w:r>
      <w:r>
        <w:rPr/>
        <w:t>sit</w:t>
      </w:r>
      <w:r>
        <w:rPr>
          <w:spacing w:val="-2"/>
        </w:rPr>
        <w:t> </w:t>
      </w:r>
      <w:r>
        <w:rPr/>
        <w:t>overnight.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following</w:t>
      </w:r>
      <w:r>
        <w:rPr>
          <w:spacing w:val="-51"/>
        </w:rPr>
        <w:t> </w:t>
      </w:r>
      <w:r>
        <w:rPr/>
        <w:t>day, additional 3N HCl was added until there was no visible reaction. Samples were then</w:t>
      </w:r>
      <w:r>
        <w:rPr>
          <w:spacing w:val="1"/>
        </w:rPr>
        <w:t> </w:t>
      </w:r>
      <w:r>
        <w:rPr/>
        <w:t>brought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neutral</w:t>
      </w:r>
      <w:r>
        <w:rPr>
          <w:spacing w:val="-4"/>
        </w:rPr>
        <w:t> </w:t>
      </w:r>
      <w:r>
        <w:rPr/>
        <w:t>pH</w:t>
      </w:r>
      <w:r>
        <w:rPr>
          <w:spacing w:val="-2"/>
        </w:rPr>
        <w:t> </w:t>
      </w:r>
      <w:r>
        <w:rPr/>
        <w:t>using</w:t>
      </w:r>
      <w:r>
        <w:rPr>
          <w:spacing w:val="-1"/>
        </w:rPr>
        <w:t> </w:t>
      </w:r>
      <w:r>
        <w:rPr/>
        <w:t>water and dried</w:t>
      </w:r>
      <w:r>
        <w:rPr>
          <w:spacing w:val="1"/>
        </w:rPr>
        <w:t> </w:t>
      </w:r>
      <w:r>
        <w:rPr/>
        <w:t>completely before</w:t>
      </w:r>
      <w:r>
        <w:rPr>
          <w:spacing w:val="-3"/>
        </w:rPr>
        <w:t> </w:t>
      </w:r>
      <w:r>
        <w:rPr/>
        <w:t>analysis.</w:t>
      </w:r>
      <w:r>
        <w:rPr>
          <w:spacing w:val="-2"/>
        </w:rPr>
        <w:t> </w:t>
      </w:r>
      <w:r>
        <w:rPr/>
        <w:t>Approximately</w:t>
      </w:r>
      <w:r>
        <w:rPr>
          <w:spacing w:val="-4"/>
        </w:rPr>
        <w:t> </w:t>
      </w:r>
      <w:r>
        <w:rPr/>
        <w:t>1-2</w:t>
      </w:r>
      <w:r>
        <w:rPr>
          <w:spacing w:val="-3"/>
        </w:rPr>
        <w:t> </w:t>
      </w:r>
      <w:r>
        <w:rPr/>
        <w:t>ng</w:t>
      </w:r>
      <w:r>
        <w:rPr>
          <w:spacing w:val="-51"/>
        </w:rPr>
        <w:t> </w:t>
      </w:r>
      <w:r>
        <w:rPr/>
        <w:t>of each sample was transferred to tin capsules (Costech 041074) and loaded onto a Costech</w:t>
      </w:r>
      <w:r>
        <w:rPr>
          <w:spacing w:val="1"/>
        </w:rPr>
        <w:t> </w:t>
      </w:r>
      <w:r>
        <w:rPr/>
        <w:t>zero blank autosampler attached to a Costech 4010 Elemental Analyzer (EA) interfaced to a</w:t>
      </w:r>
      <w:r>
        <w:rPr>
          <w:spacing w:val="1"/>
        </w:rPr>
        <w:t> </w:t>
      </w:r>
      <w:r>
        <w:rPr/>
        <w:t>Thermo</w:t>
      </w:r>
      <w:r>
        <w:rPr>
          <w:spacing w:val="-1"/>
        </w:rPr>
        <w:t> </w:t>
      </w:r>
      <w:r>
        <w:rPr/>
        <w:t>Delta V Plus</w:t>
      </w:r>
      <w:r>
        <w:rPr>
          <w:spacing w:val="3"/>
        </w:rPr>
        <w:t> </w:t>
      </w:r>
      <w:r>
        <w:rPr/>
        <w:t>isotope</w:t>
      </w:r>
      <w:r>
        <w:rPr>
          <w:spacing w:val="4"/>
        </w:rPr>
        <w:t> </w:t>
      </w:r>
      <w:r>
        <w:rPr/>
        <w:t>ratio</w:t>
      </w:r>
      <w:r>
        <w:rPr>
          <w:spacing w:val="-1"/>
        </w:rPr>
        <w:t> </w:t>
      </w:r>
      <w:r>
        <w:rPr/>
        <w:t>mass spectrometer (IRMS)</w:t>
      </w:r>
      <w:r>
        <w:rPr>
          <w:spacing w:val="-1"/>
        </w:rPr>
        <w:t> </w:t>
      </w:r>
      <w:r>
        <w:rPr/>
        <w:t>via a</w:t>
      </w:r>
      <w:r>
        <w:rPr>
          <w:spacing w:val="3"/>
        </w:rPr>
        <w:t> </w:t>
      </w:r>
      <w:r>
        <w:rPr/>
        <w:t>Conflo</w:t>
      </w:r>
      <w:r>
        <w:rPr>
          <w:spacing w:val="-1"/>
        </w:rPr>
        <w:t> </w:t>
      </w:r>
      <w:r>
        <w:rPr/>
        <w:t>III valve. Two</w:t>
      </w:r>
      <w:r>
        <w:rPr>
          <w:spacing w:val="1"/>
        </w:rPr>
        <w:t> </w:t>
      </w:r>
      <w:r>
        <w:rPr/>
        <w:t>reagents, silvered cobalt oxide (Costech 011007) and chromium oxide (Costech 011001) were</w:t>
      </w:r>
      <w:r>
        <w:rPr>
          <w:spacing w:val="1"/>
        </w:rPr>
        <w:t> </w:t>
      </w:r>
      <w:r>
        <w:rPr/>
        <w:t>used in the quartz combustion column held at 1000°C, while reduced copper wire (Costech</w:t>
      </w:r>
      <w:r>
        <w:rPr>
          <w:spacing w:val="1"/>
        </w:rPr>
        <w:t> </w:t>
      </w:r>
      <w:r>
        <w:rPr/>
        <w:t>011013) was used in the reduction column held at 650°C. The gas chromatograph (GC) oven</w:t>
      </w:r>
      <w:r>
        <w:rPr>
          <w:spacing w:val="1"/>
        </w:rPr>
        <w:t> </w:t>
      </w:r>
      <w:r>
        <w:rPr/>
        <w:t>temperature was held at 55°C. Air was removed via a purge with high purity He before flash</w:t>
      </w:r>
      <w:r>
        <w:rPr>
          <w:spacing w:val="1"/>
        </w:rPr>
        <w:t> </w:t>
      </w:r>
      <w:r>
        <w:rPr>
          <w:position w:val="2"/>
        </w:rPr>
        <w:t>combustion,</w:t>
      </w:r>
      <w:r>
        <w:rPr>
          <w:spacing w:val="-2"/>
          <w:position w:val="2"/>
        </w:rPr>
        <w:t> </w:t>
      </w:r>
      <w:r>
        <w:rPr>
          <w:position w:val="2"/>
        </w:rPr>
        <w:t>achieved</w:t>
      </w:r>
      <w:r>
        <w:rPr>
          <w:spacing w:val="-3"/>
          <w:position w:val="2"/>
        </w:rPr>
        <w:t> </w:t>
      </w:r>
      <w:r>
        <w:rPr>
          <w:position w:val="2"/>
        </w:rPr>
        <w:t>by introducing</w:t>
      </w:r>
      <w:r>
        <w:rPr>
          <w:spacing w:val="-2"/>
          <w:position w:val="2"/>
        </w:rPr>
        <w:t> </w:t>
      </w:r>
      <w:r>
        <w:rPr>
          <w:position w:val="2"/>
        </w:rPr>
        <w:t>a</w:t>
      </w:r>
      <w:r>
        <w:rPr>
          <w:spacing w:val="-2"/>
          <w:position w:val="2"/>
        </w:rPr>
        <w:t> </w:t>
      </w:r>
      <w:r>
        <w:rPr>
          <w:position w:val="2"/>
        </w:rPr>
        <w:t>substantial</w:t>
      </w:r>
      <w:r>
        <w:rPr>
          <w:spacing w:val="-2"/>
          <w:position w:val="2"/>
        </w:rPr>
        <w:t> </w:t>
      </w:r>
      <w:r>
        <w:rPr>
          <w:position w:val="2"/>
        </w:rPr>
        <w:t>O</w:t>
      </w:r>
      <w:r>
        <w:rPr>
          <w:sz w:val="16"/>
        </w:rPr>
        <w:t>2</w:t>
      </w:r>
      <w:r>
        <w:rPr>
          <w:spacing w:val="17"/>
          <w:sz w:val="16"/>
        </w:rPr>
        <w:t> </w:t>
      </w:r>
      <w:r>
        <w:rPr>
          <w:position w:val="2"/>
        </w:rPr>
        <w:t>pulse</w:t>
      </w:r>
      <w:r>
        <w:rPr>
          <w:spacing w:val="-1"/>
          <w:position w:val="2"/>
        </w:rPr>
        <w:t> </w:t>
      </w:r>
      <w:r>
        <w:rPr>
          <w:position w:val="2"/>
        </w:rPr>
        <w:t>coincident</w:t>
      </w:r>
      <w:r>
        <w:rPr>
          <w:spacing w:val="-2"/>
          <w:position w:val="2"/>
        </w:rPr>
        <w:t> </w:t>
      </w:r>
      <w:r>
        <w:rPr>
          <w:position w:val="2"/>
        </w:rPr>
        <w:t>with</w:t>
      </w:r>
      <w:r>
        <w:rPr>
          <w:spacing w:val="-2"/>
          <w:position w:val="2"/>
        </w:rPr>
        <w:t> </w:t>
      </w:r>
      <w:r>
        <w:rPr>
          <w:position w:val="2"/>
        </w:rPr>
        <w:t>the</w:t>
      </w:r>
      <w:r>
        <w:rPr>
          <w:spacing w:val="1"/>
          <w:position w:val="2"/>
        </w:rPr>
        <w:t> </w:t>
      </w:r>
      <w:r>
        <w:rPr>
          <w:position w:val="2"/>
        </w:rPr>
        <w:t>sample</w:t>
      </w:r>
      <w:r>
        <w:rPr>
          <w:spacing w:val="-3"/>
          <w:position w:val="2"/>
        </w:rPr>
        <w:t> </w:t>
      </w:r>
      <w:r>
        <w:rPr>
          <w:position w:val="2"/>
        </w:rPr>
        <w:t>drop.</w:t>
      </w:r>
    </w:p>
    <w:p>
      <w:pPr>
        <w:pStyle w:val="BodyText"/>
        <w:spacing w:line="480" w:lineRule="auto"/>
        <w:ind w:left="120" w:right="837"/>
        <w:jc w:val="both"/>
      </w:pPr>
      <w:r>
        <w:rPr/>
        <w:t>Helium was used as the carrier gas at a flow rate of 100 mL/min, transporting the combusted</w:t>
      </w:r>
      <w:r>
        <w:rPr>
          <w:spacing w:val="1"/>
        </w:rPr>
        <w:t> </w:t>
      </w:r>
      <w:r>
        <w:rPr/>
        <w:t>sample to a Thermo Conflo III interface that introduced sample to the ion source of the IRMS.</w:t>
      </w:r>
      <w:r>
        <w:rPr>
          <w:spacing w:val="-52"/>
        </w:rPr>
        <w:t> </w:t>
      </w:r>
      <w:r>
        <w:rPr>
          <w:position w:val="2"/>
        </w:rPr>
        <w:t>The</w:t>
      </w:r>
      <w:r>
        <w:rPr>
          <w:spacing w:val="-1"/>
          <w:position w:val="2"/>
        </w:rPr>
        <w:t> </w:t>
      </w:r>
      <w:r>
        <w:rPr>
          <w:position w:val="2"/>
        </w:rPr>
        <w:t>organic</w:t>
      </w:r>
      <w:r>
        <w:rPr>
          <w:spacing w:val="-2"/>
          <w:position w:val="2"/>
        </w:rPr>
        <w:t> </w:t>
      </w:r>
      <w:r>
        <w:rPr>
          <w:position w:val="2"/>
        </w:rPr>
        <w:t>carbon</w:t>
      </w:r>
      <w:r>
        <w:rPr>
          <w:spacing w:val="-2"/>
          <w:position w:val="2"/>
        </w:rPr>
        <w:t> </w:t>
      </w:r>
      <w:r>
        <w:rPr>
          <w:position w:val="2"/>
        </w:rPr>
        <w:t>isotopic</w:t>
      </w:r>
      <w:r>
        <w:rPr>
          <w:spacing w:val="-4"/>
          <w:position w:val="2"/>
        </w:rPr>
        <w:t> </w:t>
      </w:r>
      <w:r>
        <w:rPr>
          <w:position w:val="2"/>
        </w:rPr>
        <w:t>composition</w:t>
      </w:r>
      <w:r>
        <w:rPr>
          <w:spacing w:val="2"/>
          <w:position w:val="2"/>
        </w:rPr>
        <w:t> </w:t>
      </w:r>
      <w:r>
        <w:rPr>
          <w:position w:val="2"/>
        </w:rPr>
        <w:t>(δ</w:t>
      </w:r>
      <w:r>
        <w:rPr>
          <w:position w:val="2"/>
          <w:vertAlign w:val="superscript"/>
        </w:rPr>
        <w:t>13</w:t>
      </w:r>
      <w:r>
        <w:rPr>
          <w:position w:val="2"/>
          <w:vertAlign w:val="baseline"/>
        </w:rPr>
        <w:t>C</w:t>
      </w:r>
      <w:r>
        <w:rPr>
          <w:sz w:val="16"/>
          <w:vertAlign w:val="baseline"/>
        </w:rPr>
        <w:t>org</w:t>
      </w:r>
      <w:r>
        <w:rPr>
          <w:position w:val="2"/>
          <w:vertAlign w:val="baseline"/>
        </w:rPr>
        <w:t>)</w:t>
      </w:r>
      <w:r>
        <w:rPr>
          <w:spacing w:val="-3"/>
          <w:position w:val="2"/>
          <w:vertAlign w:val="baseline"/>
        </w:rPr>
        <w:t> </w:t>
      </w:r>
      <w:r>
        <w:rPr>
          <w:position w:val="2"/>
          <w:vertAlign w:val="baseline"/>
        </w:rPr>
        <w:t>was</w:t>
      </w:r>
      <w:r>
        <w:rPr>
          <w:spacing w:val="-2"/>
          <w:position w:val="2"/>
          <w:vertAlign w:val="baseline"/>
        </w:rPr>
        <w:t> </w:t>
      </w:r>
      <w:r>
        <w:rPr>
          <w:position w:val="2"/>
          <w:vertAlign w:val="baseline"/>
        </w:rPr>
        <w:t>reported</w:t>
      </w:r>
      <w:r>
        <w:rPr>
          <w:spacing w:val="-1"/>
          <w:position w:val="2"/>
          <w:vertAlign w:val="baseline"/>
        </w:rPr>
        <w:t> </w:t>
      </w:r>
      <w:r>
        <w:rPr>
          <w:position w:val="2"/>
          <w:vertAlign w:val="baseline"/>
        </w:rPr>
        <w:t>relative</w:t>
      </w:r>
      <w:r>
        <w:rPr>
          <w:spacing w:val="-3"/>
          <w:position w:val="2"/>
          <w:vertAlign w:val="baseline"/>
        </w:rPr>
        <w:t> </w:t>
      </w:r>
      <w:r>
        <w:rPr>
          <w:position w:val="2"/>
          <w:vertAlign w:val="baseline"/>
        </w:rPr>
        <w:t>to</w:t>
      </w:r>
      <w:r>
        <w:rPr>
          <w:spacing w:val="-2"/>
          <w:position w:val="2"/>
          <w:vertAlign w:val="baseline"/>
        </w:rPr>
        <w:t> </w:t>
      </w:r>
      <w:r>
        <w:rPr>
          <w:position w:val="2"/>
          <w:vertAlign w:val="baseline"/>
        </w:rPr>
        <w:t>the</w:t>
      </w:r>
      <w:r>
        <w:rPr>
          <w:spacing w:val="-2"/>
          <w:position w:val="2"/>
          <w:vertAlign w:val="baseline"/>
        </w:rPr>
        <w:t> </w:t>
      </w:r>
      <w:r>
        <w:rPr>
          <w:position w:val="2"/>
          <w:vertAlign w:val="baseline"/>
        </w:rPr>
        <w:t>VPDB</w:t>
      </w:r>
      <w:r>
        <w:rPr>
          <w:spacing w:val="-3"/>
          <w:position w:val="2"/>
          <w:vertAlign w:val="baseline"/>
        </w:rPr>
        <w:t> </w:t>
      </w:r>
      <w:r>
        <w:rPr>
          <w:position w:val="2"/>
          <w:vertAlign w:val="baseline"/>
        </w:rPr>
        <w:t>standard.</w:t>
      </w:r>
    </w:p>
    <w:p>
      <w:pPr>
        <w:spacing w:after="0" w:line="480" w:lineRule="auto"/>
        <w:jc w:val="both"/>
        <w:sectPr>
          <w:pgSz w:w="12240" w:h="15840"/>
          <w:pgMar w:header="0" w:footer="1014" w:top="1400" w:bottom="1200" w:left="1320" w:right="820"/>
        </w:sectPr>
      </w:pPr>
    </w:p>
    <w:p>
      <w:pPr>
        <w:pStyle w:val="Heading1"/>
        <w:ind w:right="3509"/>
      </w:pPr>
      <w:bookmarkStart w:name="_TOC_250003" w:id="3"/>
      <w:r>
        <w:rPr/>
        <w:t>CHAPTER</w:t>
      </w:r>
      <w:r>
        <w:rPr>
          <w:spacing w:val="-3"/>
        </w:rPr>
        <w:t> </w:t>
      </w:r>
      <w:bookmarkEnd w:id="3"/>
      <w:r>
        <w:rPr/>
        <w:t>III</w:t>
      </w:r>
    </w:p>
    <w:p>
      <w:pPr>
        <w:pStyle w:val="BodyText"/>
        <w:rPr>
          <w:b/>
          <w:sz w:val="20"/>
        </w:rPr>
      </w:pPr>
    </w:p>
    <w:p>
      <w:pPr>
        <w:pStyle w:val="Heading2"/>
        <w:numPr>
          <w:ilvl w:val="0"/>
          <w:numId w:val="5"/>
        </w:numPr>
        <w:tabs>
          <w:tab w:pos="363" w:val="left" w:leader="none"/>
        </w:tabs>
        <w:spacing w:line="240" w:lineRule="auto" w:before="209" w:after="0"/>
        <w:ind w:left="362" w:right="0" w:hanging="243"/>
        <w:jc w:val="left"/>
      </w:pPr>
      <w:bookmarkStart w:name="_TOC_250002" w:id="4"/>
      <w:bookmarkEnd w:id="4"/>
      <w:r>
        <w:rPr/>
        <w:t>Results</w:t>
      </w:r>
    </w:p>
    <w:p>
      <w:pPr>
        <w:pStyle w:val="BodyText"/>
        <w:rPr>
          <w:b/>
        </w:rPr>
      </w:pPr>
    </w:p>
    <w:p>
      <w:pPr>
        <w:pStyle w:val="BodyText"/>
        <w:spacing w:line="480" w:lineRule="auto" w:before="161"/>
        <w:ind w:left="120" w:right="660" w:firstLine="720"/>
      </w:pPr>
      <w:r>
        <w:rPr/>
        <w:t>The recovery of standard β-carotene is generally poor. This is likely due to the</w:t>
      </w:r>
      <w:r>
        <w:rPr>
          <w:spacing w:val="1"/>
        </w:rPr>
        <w:t> </w:t>
      </w:r>
      <w:r>
        <w:rPr/>
        <w:t>absorption of β-carotene by some yet uknown minerals rich in the shale and preventing its</w:t>
      </w:r>
      <w:r>
        <w:rPr>
          <w:spacing w:val="1"/>
        </w:rPr>
        <w:t> </w:t>
      </w:r>
      <w:r>
        <w:rPr/>
        <w:t>extraction, possibly related to the multiple double bonds in the central carbon chain of β-</w:t>
      </w:r>
      <w:r>
        <w:rPr>
          <w:spacing w:val="1"/>
        </w:rPr>
        <w:t> </w:t>
      </w:r>
      <w:r>
        <w:rPr/>
        <w:t>carotene. The real mechanism for organic molecule absorption to minerals requires further</w:t>
      </w:r>
      <w:r>
        <w:rPr>
          <w:spacing w:val="1"/>
        </w:rPr>
        <w:t> </w:t>
      </w:r>
      <w:r>
        <w:rPr/>
        <w:t>investigation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understand.</w:t>
      </w:r>
      <w:r>
        <w:rPr>
          <w:spacing w:val="1"/>
        </w:rPr>
        <w:t> </w:t>
      </w:r>
      <w:r>
        <w:rPr/>
        <w:t>Figure</w:t>
      </w:r>
      <w:r>
        <w:rPr>
          <w:spacing w:val="-3"/>
        </w:rPr>
        <w:t> </w:t>
      </w:r>
      <w:r>
        <w:rPr/>
        <w:t>13</w:t>
      </w:r>
      <w:r>
        <w:rPr>
          <w:spacing w:val="3"/>
        </w:rPr>
        <w:t> </w:t>
      </w:r>
      <w:r>
        <w:rPr/>
        <w:t>shows</w:t>
      </w:r>
      <w:r>
        <w:rPr>
          <w:spacing w:val="-4"/>
        </w:rPr>
        <w:t> </w:t>
      </w:r>
      <w:r>
        <w:rPr/>
        <w:t>the</w:t>
      </w:r>
      <w:r>
        <w:rPr>
          <w:spacing w:val="1"/>
        </w:rPr>
        <w:t> </w:t>
      </w:r>
      <w:r>
        <w:rPr/>
        <w:t>depth</w:t>
      </w:r>
      <w:r>
        <w:rPr>
          <w:spacing w:val="-3"/>
        </w:rPr>
        <w:t> </w:t>
      </w:r>
      <w:r>
        <w:rPr/>
        <w:t>profile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each</w:t>
      </w:r>
      <w:r>
        <w:rPr>
          <w:spacing w:val="-5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major</w:t>
      </w:r>
      <w:r>
        <w:rPr>
          <w:spacing w:val="-1"/>
        </w:rPr>
        <w:t> </w:t>
      </w:r>
      <w:r>
        <w:rPr/>
        <w:t>compound</w:t>
      </w:r>
      <w:r>
        <w:rPr>
          <w:spacing w:val="-52"/>
        </w:rPr>
        <w:t> </w:t>
      </w:r>
      <w:r>
        <w:rPr/>
        <w:t>groups</w:t>
      </w:r>
      <w:r>
        <w:rPr>
          <w:spacing w:val="-4"/>
        </w:rPr>
        <w:t> </w:t>
      </w:r>
      <w:r>
        <w:rPr/>
        <w:t>side</w:t>
      </w:r>
      <w:r>
        <w:rPr>
          <w:spacing w:val="-1"/>
        </w:rPr>
        <w:t> </w:t>
      </w:r>
      <w:r>
        <w:rPr/>
        <w:t>by</w:t>
      </w:r>
      <w:r>
        <w:rPr>
          <w:spacing w:val="1"/>
        </w:rPr>
        <w:t> </w:t>
      </w:r>
      <w:r>
        <w:rPr/>
        <w:t>side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ease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comparison.</w:t>
      </w:r>
    </w:p>
    <w:p>
      <w:pPr>
        <w:pStyle w:val="BodyText"/>
        <w:spacing w:before="11"/>
        <w:rPr>
          <w:sz w:val="10"/>
        </w:rPr>
      </w:pPr>
      <w:r>
        <w:rPr/>
        <w:drawing>
          <wp:anchor distT="0" distB="0" distL="0" distR="0" allowOverlap="1" layoutInCell="1" locked="0" behindDoc="0" simplePos="0" relativeHeight="206">
            <wp:simplePos x="0" y="0"/>
            <wp:positionH relativeFrom="page">
              <wp:posOffset>911352</wp:posOffset>
            </wp:positionH>
            <wp:positionV relativeFrom="paragraph">
              <wp:posOffset>99776</wp:posOffset>
            </wp:positionV>
            <wp:extent cx="5944726" cy="4340352"/>
            <wp:effectExtent l="0" t="0" r="0" b="0"/>
            <wp:wrapTopAndBottom/>
            <wp:docPr id="25" name="image1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3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4726" cy="4340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89"/>
        <w:ind w:left="120" w:right="812" w:firstLine="0"/>
        <w:jc w:val="left"/>
        <w:rPr>
          <w:sz w:val="22"/>
        </w:rPr>
      </w:pPr>
      <w:r>
        <w:rPr>
          <w:sz w:val="22"/>
        </w:rPr>
        <w:t>Figure 13. General Depth Plot of TOC, Isorenieratane(</w:t>
      </w:r>
      <w:r>
        <w:rPr>
          <w:b/>
          <w:sz w:val="22"/>
        </w:rPr>
        <w:t>I</w:t>
      </w:r>
      <w:r>
        <w:rPr>
          <w:sz w:val="22"/>
        </w:rPr>
        <w:t>), Paleorenieratane (</w:t>
      </w:r>
      <w:r>
        <w:rPr>
          <w:b/>
          <w:sz w:val="22"/>
        </w:rPr>
        <w:t>II</w:t>
      </w:r>
      <w:r>
        <w:rPr>
          <w:sz w:val="22"/>
        </w:rPr>
        <w:t>), VO-Porphyrin(</w:t>
      </w:r>
      <w:r>
        <w:rPr>
          <w:b/>
          <w:sz w:val="22"/>
        </w:rPr>
        <w:t>VII-XI</w:t>
      </w:r>
      <w:r>
        <w:rPr>
          <w:sz w:val="22"/>
        </w:rPr>
        <w:t>), Ni-</w:t>
      </w:r>
      <w:r>
        <w:rPr>
          <w:spacing w:val="-47"/>
          <w:sz w:val="22"/>
        </w:rPr>
        <w:t> </w:t>
      </w:r>
      <w:r>
        <w:rPr>
          <w:sz w:val="22"/>
        </w:rPr>
        <w:t>Porphyrin(</w:t>
      </w:r>
      <w:r>
        <w:rPr>
          <w:b/>
          <w:sz w:val="22"/>
        </w:rPr>
        <w:t>X-XII</w:t>
      </w:r>
      <w:r>
        <w:rPr>
          <w:sz w:val="22"/>
        </w:rPr>
        <w:t>),</w:t>
      </w:r>
      <w:r>
        <w:rPr>
          <w:spacing w:val="-1"/>
          <w:sz w:val="22"/>
        </w:rPr>
        <w:t> </w:t>
      </w:r>
      <w:r>
        <w:rPr>
          <w:sz w:val="22"/>
        </w:rPr>
        <w:t>α-MTTC(</w:t>
      </w:r>
      <w:r>
        <w:rPr>
          <w:b/>
          <w:sz w:val="22"/>
        </w:rPr>
        <w:t>XVI</w:t>
      </w:r>
      <w:r>
        <w:rPr>
          <w:sz w:val="22"/>
        </w:rPr>
        <w:t>), and</w:t>
      </w:r>
      <w:r>
        <w:rPr>
          <w:spacing w:val="-2"/>
          <w:sz w:val="22"/>
        </w:rPr>
        <w:t> </w:t>
      </w:r>
      <w:r>
        <w:rPr>
          <w:sz w:val="22"/>
        </w:rPr>
        <w:t>Total</w:t>
      </w:r>
      <w:r>
        <w:rPr>
          <w:spacing w:val="-2"/>
          <w:sz w:val="22"/>
        </w:rPr>
        <w:t> </w:t>
      </w:r>
      <w:r>
        <w:rPr>
          <w:sz w:val="22"/>
        </w:rPr>
        <w:t>TMPBQ(</w:t>
      </w:r>
      <w:r>
        <w:rPr>
          <w:b/>
          <w:sz w:val="22"/>
        </w:rPr>
        <w:t>XVII</w:t>
      </w:r>
      <w:r>
        <w:rPr>
          <w:sz w:val="22"/>
        </w:rPr>
        <w:t>)</w:t>
      </w:r>
    </w:p>
    <w:p>
      <w:pPr>
        <w:spacing w:after="0"/>
        <w:jc w:val="left"/>
        <w:rPr>
          <w:sz w:val="22"/>
        </w:rPr>
        <w:sectPr>
          <w:pgSz w:w="12240" w:h="15840"/>
          <w:pgMar w:header="0" w:footer="1014" w:top="1400" w:bottom="1200" w:left="1320" w:right="820"/>
        </w:sectPr>
      </w:pPr>
    </w:p>
    <w:p>
      <w:pPr>
        <w:pStyle w:val="ListParagraph"/>
        <w:numPr>
          <w:ilvl w:val="1"/>
          <w:numId w:val="5"/>
        </w:numPr>
        <w:tabs>
          <w:tab w:pos="478" w:val="left" w:leader="none"/>
        </w:tabs>
        <w:spacing w:line="240" w:lineRule="auto" w:before="39" w:after="0"/>
        <w:ind w:left="477" w:right="0" w:hanging="358"/>
        <w:jc w:val="left"/>
        <w:rPr>
          <w:i/>
          <w:sz w:val="24"/>
        </w:rPr>
      </w:pPr>
      <w:r>
        <w:rPr>
          <w:i/>
          <w:sz w:val="24"/>
        </w:rPr>
        <w:t>Aromatic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Carotenoids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Derivatives</w:t>
      </w:r>
    </w:p>
    <w:p>
      <w:pPr>
        <w:pStyle w:val="BodyText"/>
        <w:rPr>
          <w:i/>
        </w:rPr>
      </w:pPr>
    </w:p>
    <w:p>
      <w:pPr>
        <w:pStyle w:val="BodyText"/>
        <w:spacing w:line="480" w:lineRule="auto" w:before="160"/>
        <w:ind w:left="120" w:right="895" w:firstLine="720"/>
      </w:pPr>
      <w:r>
        <w:rPr>
          <w:position w:val="2"/>
        </w:rPr>
        <w:t>The carotenoids analyzed were C</w:t>
      </w:r>
      <w:r>
        <w:rPr>
          <w:sz w:val="16"/>
        </w:rPr>
        <w:t>38</w:t>
      </w:r>
      <w:r>
        <w:rPr>
          <w:position w:val="2"/>
        </w:rPr>
        <w:t>, C</w:t>
      </w:r>
      <w:r>
        <w:rPr>
          <w:sz w:val="16"/>
        </w:rPr>
        <w:t>39</w:t>
      </w:r>
      <w:r>
        <w:rPr>
          <w:position w:val="2"/>
        </w:rPr>
        <w:t>, isorenieratane, paleorenieratane, C</w:t>
      </w:r>
      <w:r>
        <w:rPr>
          <w:sz w:val="16"/>
        </w:rPr>
        <w:t>41</w:t>
      </w:r>
      <w:r>
        <w:rPr>
          <w:position w:val="2"/>
        </w:rPr>
        <w:t>, and C</w:t>
      </w:r>
      <w:r>
        <w:rPr>
          <w:sz w:val="16"/>
        </w:rPr>
        <w:t>42</w:t>
      </w:r>
      <w:r>
        <w:rPr>
          <w:spacing w:val="-34"/>
          <w:sz w:val="16"/>
        </w:rPr>
        <w:t> </w:t>
      </w:r>
      <w:r>
        <w:rPr/>
        <w:t>(Appendix I: </w:t>
      </w:r>
      <w:r>
        <w:rPr>
          <w:b/>
        </w:rPr>
        <w:t>I-VI</w:t>
      </w:r>
      <w:r>
        <w:rPr/>
        <w:t>; Appendix III: </w:t>
      </w:r>
      <w:r>
        <w:rPr>
          <w:b/>
        </w:rPr>
        <w:t>I-VI</w:t>
      </w:r>
      <w:r>
        <w:rPr/>
        <w:t>). An example of a chromatogram and the structure of</w:t>
      </w:r>
      <w:r>
        <w:rPr>
          <w:spacing w:val="1"/>
        </w:rPr>
        <w:t> </w:t>
      </w:r>
      <w:r>
        <w:rPr/>
        <w:t>isorenieratane</w:t>
      </w:r>
      <w:r>
        <w:rPr>
          <w:spacing w:val="2"/>
        </w:rPr>
        <w:t> </w:t>
      </w:r>
      <w:r>
        <w:rPr/>
        <w:t>and</w:t>
      </w:r>
      <w:r>
        <w:rPr>
          <w:spacing w:val="-2"/>
        </w:rPr>
        <w:t> </w:t>
      </w:r>
      <w:r>
        <w:rPr/>
        <w:t>paleorenieratane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seen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figure</w:t>
      </w:r>
      <w:r>
        <w:rPr>
          <w:spacing w:val="1"/>
        </w:rPr>
        <w:t> </w:t>
      </w:r>
      <w:r>
        <w:rPr/>
        <w:t>14.</w:t>
      </w:r>
    </w:p>
    <w:p>
      <w:pPr>
        <w:pStyle w:val="BodyText"/>
        <w:spacing w:before="1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207">
            <wp:simplePos x="0" y="0"/>
            <wp:positionH relativeFrom="page">
              <wp:posOffset>935736</wp:posOffset>
            </wp:positionH>
            <wp:positionV relativeFrom="paragraph">
              <wp:posOffset>148113</wp:posOffset>
            </wp:positionV>
            <wp:extent cx="5900927" cy="2194560"/>
            <wp:effectExtent l="0" t="0" r="0" b="0"/>
            <wp:wrapTopAndBottom/>
            <wp:docPr id="27" name="image1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4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0927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76" w:lineRule="auto" w:before="201"/>
        <w:ind w:left="120" w:right="660" w:firstLine="0"/>
        <w:jc w:val="left"/>
        <w:rPr>
          <w:sz w:val="22"/>
        </w:rPr>
      </w:pPr>
      <w:r>
        <w:rPr>
          <w:sz w:val="22"/>
        </w:rPr>
        <w:t>Figure</w:t>
      </w:r>
      <w:r>
        <w:rPr>
          <w:spacing w:val="-2"/>
          <w:sz w:val="22"/>
        </w:rPr>
        <w:t> </w:t>
      </w:r>
      <w:r>
        <w:rPr>
          <w:sz w:val="22"/>
        </w:rPr>
        <w:t>14.</w:t>
      </w:r>
      <w:r>
        <w:rPr>
          <w:spacing w:val="-3"/>
          <w:sz w:val="22"/>
        </w:rPr>
        <w:t> </w:t>
      </w:r>
      <w:r>
        <w:rPr>
          <w:sz w:val="22"/>
        </w:rPr>
        <w:t>Example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the chromatogram and</w:t>
      </w:r>
      <w:r>
        <w:rPr>
          <w:spacing w:val="-4"/>
          <w:sz w:val="22"/>
        </w:rPr>
        <w:t> </w:t>
      </w:r>
      <w:r>
        <w:rPr>
          <w:sz w:val="22"/>
        </w:rPr>
        <w:t>molecular</w:t>
      </w:r>
      <w:r>
        <w:rPr>
          <w:spacing w:val="-4"/>
          <w:sz w:val="22"/>
        </w:rPr>
        <w:t> </w:t>
      </w:r>
      <w:r>
        <w:rPr>
          <w:sz w:val="22"/>
        </w:rPr>
        <w:t>structures</w:t>
      </w:r>
      <w:r>
        <w:rPr>
          <w:spacing w:val="-1"/>
          <w:sz w:val="22"/>
        </w:rPr>
        <w:t> </w:t>
      </w:r>
      <w:r>
        <w:rPr>
          <w:sz w:val="22"/>
        </w:rPr>
        <w:t>for</w:t>
      </w:r>
      <w:r>
        <w:rPr>
          <w:spacing w:val="-1"/>
          <w:sz w:val="22"/>
        </w:rPr>
        <w:t> </w:t>
      </w:r>
      <w:r>
        <w:rPr>
          <w:sz w:val="22"/>
        </w:rPr>
        <w:t>isorenieratane</w:t>
      </w:r>
      <w:r>
        <w:rPr>
          <w:spacing w:val="-2"/>
          <w:sz w:val="22"/>
        </w:rPr>
        <w:t> </w:t>
      </w:r>
      <w:r>
        <w:rPr>
          <w:sz w:val="22"/>
        </w:rPr>
        <w:t>and</w:t>
      </w:r>
      <w:r>
        <w:rPr>
          <w:spacing w:val="-47"/>
          <w:sz w:val="22"/>
        </w:rPr>
        <w:t> </w:t>
      </w:r>
      <w:r>
        <w:rPr>
          <w:sz w:val="22"/>
        </w:rPr>
        <w:t>paleorenieratane.</w:t>
      </w:r>
    </w:p>
    <w:p>
      <w:pPr>
        <w:pStyle w:val="BodyText"/>
        <w:rPr>
          <w:sz w:val="22"/>
        </w:rPr>
      </w:pPr>
    </w:p>
    <w:p>
      <w:pPr>
        <w:pStyle w:val="BodyText"/>
        <w:spacing w:before="4"/>
        <w:rPr>
          <w:sz w:val="31"/>
        </w:rPr>
      </w:pPr>
    </w:p>
    <w:p>
      <w:pPr>
        <w:spacing w:line="480" w:lineRule="auto" w:before="1"/>
        <w:ind w:left="120" w:right="694" w:firstLine="720"/>
        <w:jc w:val="left"/>
        <w:rPr>
          <w:sz w:val="23"/>
        </w:rPr>
      </w:pPr>
      <w:r>
        <w:rPr>
          <w:sz w:val="23"/>
        </w:rPr>
        <w:t>There</w:t>
      </w:r>
      <w:r>
        <w:rPr>
          <w:spacing w:val="-2"/>
          <w:sz w:val="23"/>
        </w:rPr>
        <w:t> </w:t>
      </w:r>
      <w:r>
        <w:rPr>
          <w:sz w:val="23"/>
        </w:rPr>
        <w:t>is</w:t>
      </w:r>
      <w:r>
        <w:rPr>
          <w:spacing w:val="-3"/>
          <w:sz w:val="23"/>
        </w:rPr>
        <w:t> </w:t>
      </w:r>
      <w:r>
        <w:rPr>
          <w:sz w:val="23"/>
        </w:rPr>
        <w:t>some</w:t>
      </w:r>
      <w:r>
        <w:rPr>
          <w:spacing w:val="-1"/>
          <w:sz w:val="23"/>
        </w:rPr>
        <w:t> </w:t>
      </w:r>
      <w:r>
        <w:rPr>
          <w:sz w:val="23"/>
        </w:rPr>
        <w:t>variability</w:t>
      </w:r>
      <w:r>
        <w:rPr>
          <w:spacing w:val="-1"/>
          <w:sz w:val="23"/>
        </w:rPr>
        <w:t> </w:t>
      </w:r>
      <w:r>
        <w:rPr>
          <w:sz w:val="23"/>
        </w:rPr>
        <w:t>in</w:t>
      </w:r>
      <w:r>
        <w:rPr>
          <w:spacing w:val="-4"/>
          <w:sz w:val="23"/>
        </w:rPr>
        <w:t> </w:t>
      </w:r>
      <w:r>
        <w:rPr>
          <w:sz w:val="23"/>
        </w:rPr>
        <w:t>the</w:t>
      </w:r>
      <w:r>
        <w:rPr>
          <w:spacing w:val="-1"/>
          <w:sz w:val="23"/>
        </w:rPr>
        <w:t> </w:t>
      </w:r>
      <w:r>
        <w:rPr>
          <w:sz w:val="23"/>
        </w:rPr>
        <w:t>concentrations</w:t>
      </w:r>
      <w:r>
        <w:rPr>
          <w:spacing w:val="-3"/>
          <w:sz w:val="23"/>
        </w:rPr>
        <w:t> </w:t>
      </w:r>
      <w:r>
        <w:rPr>
          <w:sz w:val="23"/>
        </w:rPr>
        <w:t>in</w:t>
      </w:r>
      <w:r>
        <w:rPr>
          <w:spacing w:val="-1"/>
          <w:sz w:val="23"/>
        </w:rPr>
        <w:t> </w:t>
      </w:r>
      <w:r>
        <w:rPr>
          <w:sz w:val="23"/>
        </w:rPr>
        <w:t>the</w:t>
      </w:r>
      <w:r>
        <w:rPr>
          <w:spacing w:val="1"/>
          <w:sz w:val="23"/>
        </w:rPr>
        <w:t> </w:t>
      </w:r>
      <w:r>
        <w:rPr>
          <w:sz w:val="23"/>
        </w:rPr>
        <w:t>Lower</w:t>
      </w:r>
      <w:r>
        <w:rPr>
          <w:spacing w:val="-1"/>
          <w:sz w:val="23"/>
        </w:rPr>
        <w:t> </w:t>
      </w:r>
      <w:r>
        <w:rPr>
          <w:sz w:val="23"/>
        </w:rPr>
        <w:t>Woodford</w:t>
      </w:r>
      <w:r>
        <w:rPr>
          <w:spacing w:val="-3"/>
          <w:sz w:val="23"/>
        </w:rPr>
        <w:t> </w:t>
      </w:r>
      <w:r>
        <w:rPr>
          <w:sz w:val="23"/>
        </w:rPr>
        <w:t>Shale for</w:t>
      </w:r>
      <w:r>
        <w:rPr>
          <w:spacing w:val="-1"/>
          <w:sz w:val="23"/>
        </w:rPr>
        <w:t> </w:t>
      </w:r>
      <w:r>
        <w:rPr>
          <w:sz w:val="23"/>
        </w:rPr>
        <w:t>each</w:t>
      </w:r>
      <w:r>
        <w:rPr>
          <w:spacing w:val="-4"/>
          <w:sz w:val="23"/>
        </w:rPr>
        <w:t> </w:t>
      </w:r>
      <w:r>
        <w:rPr>
          <w:sz w:val="23"/>
        </w:rPr>
        <w:t>of</w:t>
      </w:r>
      <w:r>
        <w:rPr>
          <w:spacing w:val="-3"/>
          <w:sz w:val="23"/>
        </w:rPr>
        <w:t> </w:t>
      </w:r>
      <w:r>
        <w:rPr>
          <w:sz w:val="23"/>
        </w:rPr>
        <w:t>the</w:t>
      </w:r>
      <w:r>
        <w:rPr>
          <w:spacing w:val="-49"/>
          <w:sz w:val="23"/>
        </w:rPr>
        <w:t> </w:t>
      </w:r>
      <w:r>
        <w:rPr>
          <w:sz w:val="23"/>
        </w:rPr>
        <w:t>compounds although they remain relatively low before decreasing around the Lower/Middle</w:t>
      </w:r>
      <w:r>
        <w:rPr>
          <w:spacing w:val="1"/>
          <w:sz w:val="23"/>
        </w:rPr>
        <w:t> </w:t>
      </w:r>
      <w:r>
        <w:rPr>
          <w:sz w:val="23"/>
        </w:rPr>
        <w:t>Woodford Shale boundary. Aromatic carotenoids generally show a significant increase in</w:t>
      </w:r>
      <w:r>
        <w:rPr>
          <w:spacing w:val="1"/>
          <w:sz w:val="23"/>
        </w:rPr>
        <w:t> </w:t>
      </w:r>
      <w:r>
        <w:rPr>
          <w:sz w:val="23"/>
        </w:rPr>
        <w:t>abundance during the Middle Woodford Shale (Figure 15). Beginning at about 170.00 ft the</w:t>
      </w:r>
      <w:r>
        <w:rPr>
          <w:spacing w:val="1"/>
          <w:sz w:val="23"/>
        </w:rPr>
        <w:t> </w:t>
      </w:r>
      <w:r>
        <w:rPr>
          <w:sz w:val="23"/>
        </w:rPr>
        <w:t>abundance</w:t>
      </w:r>
      <w:r>
        <w:rPr>
          <w:spacing w:val="-1"/>
          <w:sz w:val="23"/>
        </w:rPr>
        <w:t> </w:t>
      </w:r>
      <w:r>
        <w:rPr>
          <w:sz w:val="23"/>
        </w:rPr>
        <w:t>begins</w:t>
      </w:r>
      <w:r>
        <w:rPr>
          <w:spacing w:val="1"/>
          <w:sz w:val="23"/>
        </w:rPr>
        <w:t> </w:t>
      </w:r>
      <w:r>
        <w:rPr>
          <w:sz w:val="23"/>
        </w:rPr>
        <w:t>to</w:t>
      </w:r>
      <w:r>
        <w:rPr>
          <w:spacing w:val="-3"/>
          <w:sz w:val="23"/>
        </w:rPr>
        <w:t> </w:t>
      </w:r>
      <w:r>
        <w:rPr>
          <w:sz w:val="23"/>
        </w:rPr>
        <w:t>increase</w:t>
      </w:r>
      <w:r>
        <w:rPr>
          <w:spacing w:val="-3"/>
          <w:sz w:val="23"/>
        </w:rPr>
        <w:t> </w:t>
      </w:r>
      <w:r>
        <w:rPr>
          <w:sz w:val="23"/>
        </w:rPr>
        <w:t>and</w:t>
      </w:r>
      <w:r>
        <w:rPr>
          <w:spacing w:val="-2"/>
          <w:sz w:val="23"/>
        </w:rPr>
        <w:t> </w:t>
      </w:r>
      <w:r>
        <w:rPr>
          <w:sz w:val="23"/>
        </w:rPr>
        <w:t>almost</w:t>
      </w:r>
      <w:r>
        <w:rPr>
          <w:spacing w:val="-3"/>
          <w:sz w:val="23"/>
        </w:rPr>
        <w:t> </w:t>
      </w:r>
      <w:r>
        <w:rPr>
          <w:sz w:val="23"/>
        </w:rPr>
        <w:t>completely</w:t>
      </w:r>
      <w:r>
        <w:rPr>
          <w:spacing w:val="-4"/>
          <w:sz w:val="23"/>
        </w:rPr>
        <w:t> </w:t>
      </w:r>
      <w:r>
        <w:rPr>
          <w:sz w:val="23"/>
        </w:rPr>
        <w:t>drops</w:t>
      </w:r>
      <w:r>
        <w:rPr>
          <w:spacing w:val="-1"/>
          <w:sz w:val="23"/>
        </w:rPr>
        <w:t> </w:t>
      </w:r>
      <w:r>
        <w:rPr>
          <w:sz w:val="23"/>
        </w:rPr>
        <w:t>off</w:t>
      </w:r>
      <w:r>
        <w:rPr>
          <w:spacing w:val="-2"/>
          <w:sz w:val="23"/>
        </w:rPr>
        <w:t> </w:t>
      </w:r>
      <w:r>
        <w:rPr>
          <w:sz w:val="23"/>
        </w:rPr>
        <w:t>in</w:t>
      </w:r>
      <w:r>
        <w:rPr>
          <w:spacing w:val="-3"/>
          <w:sz w:val="23"/>
        </w:rPr>
        <w:t> </w:t>
      </w:r>
      <w:r>
        <w:rPr>
          <w:sz w:val="23"/>
        </w:rPr>
        <w:t>concentration</w:t>
      </w:r>
      <w:r>
        <w:rPr>
          <w:spacing w:val="-3"/>
          <w:sz w:val="23"/>
        </w:rPr>
        <w:t> </w:t>
      </w:r>
      <w:r>
        <w:rPr>
          <w:sz w:val="23"/>
        </w:rPr>
        <w:t>at</w:t>
      </w:r>
      <w:r>
        <w:rPr>
          <w:spacing w:val="-3"/>
          <w:sz w:val="23"/>
        </w:rPr>
        <w:t> </w:t>
      </w:r>
      <w:r>
        <w:rPr>
          <w:sz w:val="23"/>
        </w:rPr>
        <w:t>about</w:t>
      </w:r>
      <w:r>
        <w:rPr>
          <w:spacing w:val="-2"/>
          <w:sz w:val="23"/>
        </w:rPr>
        <w:t> </w:t>
      </w:r>
      <w:r>
        <w:rPr>
          <w:sz w:val="23"/>
        </w:rPr>
        <w:t>130.00</w:t>
      </w:r>
      <w:r>
        <w:rPr>
          <w:spacing w:val="-1"/>
          <w:sz w:val="23"/>
        </w:rPr>
        <w:t> </w:t>
      </w:r>
      <w:r>
        <w:rPr>
          <w:sz w:val="23"/>
        </w:rPr>
        <w:t>ft.</w:t>
      </w:r>
      <w:r>
        <w:rPr>
          <w:spacing w:val="-49"/>
          <w:sz w:val="23"/>
        </w:rPr>
        <w:t> </w:t>
      </w:r>
      <w:r>
        <w:rPr>
          <w:sz w:val="23"/>
        </w:rPr>
        <w:t>There is also much variability in the concentrations in the Middle Woodford Shale with low</w:t>
      </w:r>
      <w:r>
        <w:rPr>
          <w:spacing w:val="1"/>
          <w:sz w:val="23"/>
        </w:rPr>
        <w:t> </w:t>
      </w:r>
      <w:r>
        <w:rPr>
          <w:sz w:val="23"/>
        </w:rPr>
        <w:t>concentrations between 160.17-153.58 ft, 145.17 ft, and 134 ft. They all reach their peak</w:t>
      </w:r>
      <w:r>
        <w:rPr>
          <w:spacing w:val="1"/>
          <w:sz w:val="23"/>
        </w:rPr>
        <w:t> </w:t>
      </w:r>
      <w:r>
        <w:rPr>
          <w:position w:val="2"/>
          <w:sz w:val="23"/>
        </w:rPr>
        <w:t>concentrations at 147.08 ft except for the C</w:t>
      </w:r>
      <w:r>
        <w:rPr>
          <w:sz w:val="15"/>
        </w:rPr>
        <w:t>42 </w:t>
      </w:r>
      <w:r>
        <w:rPr>
          <w:position w:val="2"/>
          <w:sz w:val="23"/>
        </w:rPr>
        <w:t>Carotenoid which sees a peak at 132.75 ft. The</w:t>
      </w:r>
      <w:r>
        <w:rPr>
          <w:spacing w:val="1"/>
          <w:position w:val="2"/>
          <w:sz w:val="23"/>
        </w:rPr>
        <w:t> </w:t>
      </w:r>
      <w:r>
        <w:rPr>
          <w:position w:val="2"/>
          <w:sz w:val="23"/>
        </w:rPr>
        <w:t>concentrations</w:t>
      </w:r>
      <w:r>
        <w:rPr>
          <w:spacing w:val="1"/>
          <w:position w:val="2"/>
          <w:sz w:val="23"/>
        </w:rPr>
        <w:t> </w:t>
      </w:r>
      <w:r>
        <w:rPr>
          <w:position w:val="2"/>
          <w:sz w:val="23"/>
        </w:rPr>
        <w:t>detected are</w:t>
      </w:r>
      <w:r>
        <w:rPr>
          <w:spacing w:val="-1"/>
          <w:position w:val="2"/>
          <w:sz w:val="23"/>
        </w:rPr>
        <w:t> </w:t>
      </w:r>
      <w:r>
        <w:rPr>
          <w:position w:val="2"/>
          <w:sz w:val="23"/>
        </w:rPr>
        <w:t>nearly</w:t>
      </w:r>
      <w:r>
        <w:rPr>
          <w:spacing w:val="-2"/>
          <w:position w:val="2"/>
          <w:sz w:val="23"/>
        </w:rPr>
        <w:t> </w:t>
      </w:r>
      <w:r>
        <w:rPr>
          <w:position w:val="2"/>
          <w:sz w:val="23"/>
        </w:rPr>
        <w:t>zero</w:t>
      </w:r>
      <w:r>
        <w:rPr>
          <w:spacing w:val="-2"/>
          <w:position w:val="2"/>
          <w:sz w:val="23"/>
        </w:rPr>
        <w:t> </w:t>
      </w:r>
      <w:r>
        <w:rPr>
          <w:position w:val="2"/>
          <w:sz w:val="23"/>
        </w:rPr>
        <w:t>in</w:t>
      </w:r>
      <w:r>
        <w:rPr>
          <w:spacing w:val="-3"/>
          <w:position w:val="2"/>
          <w:sz w:val="23"/>
        </w:rPr>
        <w:t> </w:t>
      </w:r>
      <w:r>
        <w:rPr>
          <w:position w:val="2"/>
          <w:sz w:val="23"/>
        </w:rPr>
        <w:t>the Upper</w:t>
      </w:r>
      <w:r>
        <w:rPr>
          <w:spacing w:val="2"/>
          <w:position w:val="2"/>
          <w:sz w:val="23"/>
        </w:rPr>
        <w:t> </w:t>
      </w:r>
      <w:r>
        <w:rPr>
          <w:position w:val="2"/>
          <w:sz w:val="23"/>
        </w:rPr>
        <w:t>Woodford</w:t>
      </w:r>
      <w:r>
        <w:rPr>
          <w:spacing w:val="-3"/>
          <w:position w:val="2"/>
          <w:sz w:val="23"/>
        </w:rPr>
        <w:t> </w:t>
      </w:r>
      <w:r>
        <w:rPr>
          <w:position w:val="2"/>
          <w:sz w:val="23"/>
        </w:rPr>
        <w:t>Shale,</w:t>
      </w:r>
      <w:r>
        <w:rPr>
          <w:spacing w:val="1"/>
          <w:position w:val="2"/>
          <w:sz w:val="23"/>
        </w:rPr>
        <w:t> </w:t>
      </w:r>
      <w:r>
        <w:rPr>
          <w:position w:val="2"/>
          <w:sz w:val="23"/>
        </w:rPr>
        <w:t>with</w:t>
      </w:r>
      <w:r>
        <w:rPr>
          <w:spacing w:val="-2"/>
          <w:position w:val="2"/>
          <w:sz w:val="23"/>
        </w:rPr>
        <w:t> </w:t>
      </w:r>
      <w:r>
        <w:rPr>
          <w:position w:val="2"/>
          <w:sz w:val="23"/>
        </w:rPr>
        <w:t>only</w:t>
      </w:r>
      <w:r>
        <w:rPr>
          <w:spacing w:val="-1"/>
          <w:position w:val="2"/>
          <w:sz w:val="23"/>
        </w:rPr>
        <w:t> </w:t>
      </w:r>
      <w:r>
        <w:rPr>
          <w:position w:val="2"/>
          <w:sz w:val="23"/>
        </w:rPr>
        <w:t>C</w:t>
      </w:r>
      <w:r>
        <w:rPr>
          <w:sz w:val="15"/>
        </w:rPr>
        <w:t>39</w:t>
      </w:r>
      <w:r>
        <w:rPr>
          <w:position w:val="2"/>
          <w:sz w:val="23"/>
        </w:rPr>
        <w:t>,</w:t>
      </w:r>
    </w:p>
    <w:p>
      <w:pPr>
        <w:spacing w:after="0" w:line="480" w:lineRule="auto"/>
        <w:jc w:val="left"/>
        <w:rPr>
          <w:sz w:val="23"/>
        </w:rPr>
        <w:sectPr>
          <w:pgSz w:w="12240" w:h="15840"/>
          <w:pgMar w:header="0" w:footer="1014" w:top="1400" w:bottom="1200" w:left="1320" w:right="820"/>
        </w:sectPr>
      </w:pPr>
    </w:p>
    <w:p>
      <w:pPr>
        <w:spacing w:line="480" w:lineRule="auto" w:before="39"/>
        <w:ind w:left="120" w:right="597" w:firstLine="0"/>
        <w:jc w:val="left"/>
        <w:rPr>
          <w:sz w:val="23"/>
        </w:rPr>
      </w:pPr>
      <w:r>
        <w:rPr>
          <w:sz w:val="23"/>
        </w:rPr>
        <w:t>isorenieratane(</w:t>
      </w:r>
      <w:r>
        <w:rPr>
          <w:b/>
          <w:sz w:val="23"/>
        </w:rPr>
        <w:t>I</w:t>
      </w:r>
      <w:r>
        <w:rPr>
          <w:sz w:val="23"/>
        </w:rPr>
        <w:t>), and paleorenieratane(</w:t>
      </w:r>
      <w:r>
        <w:rPr>
          <w:b/>
          <w:sz w:val="23"/>
        </w:rPr>
        <w:t>II</w:t>
      </w:r>
      <w:r>
        <w:rPr>
          <w:sz w:val="23"/>
        </w:rPr>
        <w:t>) showing small isolated peaks at 109.17 ft and 93.83 ft.</w:t>
      </w:r>
      <w:r>
        <w:rPr>
          <w:spacing w:val="1"/>
          <w:sz w:val="23"/>
        </w:rPr>
        <w:t> </w:t>
      </w:r>
      <w:r>
        <w:rPr>
          <w:sz w:val="23"/>
        </w:rPr>
        <w:t>The peak and subsequent decrease corresponds to a general transgression and lithology change</w:t>
      </w:r>
      <w:r>
        <w:rPr>
          <w:spacing w:val="1"/>
          <w:sz w:val="23"/>
        </w:rPr>
        <w:t> </w:t>
      </w:r>
      <w:r>
        <w:rPr>
          <w:sz w:val="23"/>
        </w:rPr>
        <w:t>seen</w:t>
      </w:r>
      <w:r>
        <w:rPr>
          <w:spacing w:val="-3"/>
          <w:sz w:val="23"/>
        </w:rPr>
        <w:t> </w:t>
      </w:r>
      <w:r>
        <w:rPr>
          <w:sz w:val="23"/>
        </w:rPr>
        <w:t>in</w:t>
      </w:r>
      <w:r>
        <w:rPr>
          <w:spacing w:val="-3"/>
          <w:sz w:val="23"/>
        </w:rPr>
        <w:t> </w:t>
      </w:r>
      <w:r>
        <w:rPr>
          <w:sz w:val="23"/>
        </w:rPr>
        <w:t>the</w:t>
      </w:r>
      <w:r>
        <w:rPr>
          <w:spacing w:val="-3"/>
          <w:sz w:val="23"/>
        </w:rPr>
        <w:t> </w:t>
      </w:r>
      <w:r>
        <w:rPr>
          <w:sz w:val="23"/>
        </w:rPr>
        <w:t>core</w:t>
      </w:r>
      <w:r>
        <w:rPr>
          <w:spacing w:val="-1"/>
          <w:sz w:val="23"/>
        </w:rPr>
        <w:t> </w:t>
      </w:r>
      <w:r>
        <w:rPr>
          <w:sz w:val="23"/>
        </w:rPr>
        <w:t>(Figure</w:t>
      </w:r>
      <w:r>
        <w:rPr>
          <w:spacing w:val="-1"/>
          <w:sz w:val="23"/>
        </w:rPr>
        <w:t> </w:t>
      </w:r>
      <w:r>
        <w:rPr>
          <w:sz w:val="23"/>
        </w:rPr>
        <w:t>16).</w:t>
      </w:r>
      <w:r>
        <w:rPr>
          <w:spacing w:val="-3"/>
          <w:sz w:val="23"/>
        </w:rPr>
        <w:t> </w:t>
      </w:r>
      <w:r>
        <w:rPr>
          <w:sz w:val="23"/>
        </w:rPr>
        <w:t>In</w:t>
      </w:r>
      <w:r>
        <w:rPr>
          <w:spacing w:val="-3"/>
          <w:sz w:val="23"/>
        </w:rPr>
        <w:t> </w:t>
      </w:r>
      <w:r>
        <w:rPr>
          <w:sz w:val="23"/>
        </w:rPr>
        <w:t>figure</w:t>
      </w:r>
      <w:r>
        <w:rPr>
          <w:spacing w:val="-1"/>
          <w:sz w:val="23"/>
        </w:rPr>
        <w:t> </w:t>
      </w:r>
      <w:r>
        <w:rPr>
          <w:sz w:val="23"/>
        </w:rPr>
        <w:t>16 the</w:t>
      </w:r>
      <w:r>
        <w:rPr>
          <w:spacing w:val="-1"/>
          <w:sz w:val="23"/>
        </w:rPr>
        <w:t> </w:t>
      </w:r>
      <w:r>
        <w:rPr>
          <w:sz w:val="23"/>
        </w:rPr>
        <w:t>general</w:t>
      </w:r>
      <w:r>
        <w:rPr>
          <w:spacing w:val="-4"/>
          <w:sz w:val="23"/>
        </w:rPr>
        <w:t> </w:t>
      </w:r>
      <w:r>
        <w:rPr>
          <w:sz w:val="23"/>
        </w:rPr>
        <w:t>regression</w:t>
      </w:r>
      <w:r>
        <w:rPr>
          <w:spacing w:val="-1"/>
          <w:sz w:val="23"/>
        </w:rPr>
        <w:t> </w:t>
      </w:r>
      <w:r>
        <w:rPr>
          <w:sz w:val="23"/>
        </w:rPr>
        <w:t>ends</w:t>
      </w:r>
      <w:r>
        <w:rPr>
          <w:spacing w:val="1"/>
          <w:sz w:val="23"/>
        </w:rPr>
        <w:t> </w:t>
      </w:r>
      <w:r>
        <w:rPr>
          <w:sz w:val="23"/>
        </w:rPr>
        <w:t>at</w:t>
      </w:r>
      <w:r>
        <w:rPr>
          <w:spacing w:val="-1"/>
          <w:sz w:val="23"/>
        </w:rPr>
        <w:t> </w:t>
      </w:r>
      <w:r>
        <w:rPr>
          <w:sz w:val="23"/>
        </w:rPr>
        <w:t>around</w:t>
      </w:r>
      <w:r>
        <w:rPr>
          <w:spacing w:val="-3"/>
          <w:sz w:val="23"/>
        </w:rPr>
        <w:t> </w:t>
      </w:r>
      <w:r>
        <w:rPr>
          <w:sz w:val="23"/>
        </w:rPr>
        <w:t>150</w:t>
      </w:r>
      <w:r>
        <w:rPr>
          <w:spacing w:val="-3"/>
          <w:sz w:val="23"/>
        </w:rPr>
        <w:t> </w:t>
      </w:r>
      <w:r>
        <w:rPr>
          <w:sz w:val="23"/>
        </w:rPr>
        <w:t>ft</w:t>
      </w:r>
      <w:r>
        <w:rPr>
          <w:spacing w:val="-1"/>
          <w:sz w:val="23"/>
        </w:rPr>
        <w:t> </w:t>
      </w:r>
      <w:r>
        <w:rPr>
          <w:sz w:val="23"/>
        </w:rPr>
        <w:t>and</w:t>
      </w:r>
      <w:r>
        <w:rPr>
          <w:spacing w:val="-3"/>
          <w:sz w:val="23"/>
        </w:rPr>
        <w:t> </w:t>
      </w:r>
      <w:r>
        <w:rPr>
          <w:sz w:val="23"/>
        </w:rPr>
        <w:t>begins</w:t>
      </w:r>
      <w:r>
        <w:rPr>
          <w:spacing w:val="1"/>
          <w:sz w:val="23"/>
        </w:rPr>
        <w:t> </w:t>
      </w:r>
      <w:r>
        <w:rPr>
          <w:sz w:val="23"/>
        </w:rPr>
        <w:t>the</w:t>
      </w:r>
      <w:r>
        <w:rPr>
          <w:spacing w:val="-49"/>
          <w:sz w:val="23"/>
        </w:rPr>
        <w:t> </w:t>
      </w:r>
      <w:r>
        <w:rPr>
          <w:sz w:val="23"/>
        </w:rPr>
        <w:t>general transgression, this is close to where the carotenoid concentrations peak and then begin to</w:t>
      </w:r>
      <w:r>
        <w:rPr>
          <w:spacing w:val="1"/>
          <w:sz w:val="23"/>
        </w:rPr>
        <w:t> </w:t>
      </w:r>
      <w:r>
        <w:rPr>
          <w:sz w:val="23"/>
        </w:rPr>
        <w:t>decrease. The lithology here changed from mixed siliceous/argillaceous mudstone with thin clay</w:t>
      </w:r>
      <w:r>
        <w:rPr>
          <w:spacing w:val="1"/>
          <w:sz w:val="23"/>
        </w:rPr>
        <w:t> </w:t>
      </w:r>
      <w:r>
        <w:rPr>
          <w:sz w:val="23"/>
        </w:rPr>
        <w:t>laminations</w:t>
      </w:r>
      <w:r>
        <w:rPr>
          <w:spacing w:val="-1"/>
          <w:sz w:val="23"/>
        </w:rPr>
        <w:t> </w:t>
      </w:r>
      <w:r>
        <w:rPr>
          <w:sz w:val="23"/>
        </w:rPr>
        <w:t>to</w:t>
      </w:r>
      <w:r>
        <w:rPr>
          <w:spacing w:val="-2"/>
          <w:sz w:val="23"/>
        </w:rPr>
        <w:t> </w:t>
      </w:r>
      <w:r>
        <w:rPr>
          <w:sz w:val="23"/>
        </w:rPr>
        <w:t>black</w:t>
      </w:r>
      <w:r>
        <w:rPr>
          <w:spacing w:val="-2"/>
          <w:sz w:val="23"/>
        </w:rPr>
        <w:t> </w:t>
      </w:r>
      <w:r>
        <w:rPr>
          <w:sz w:val="23"/>
        </w:rPr>
        <w:t>to dark gray</w:t>
      </w:r>
      <w:r>
        <w:rPr>
          <w:spacing w:val="-3"/>
          <w:sz w:val="23"/>
        </w:rPr>
        <w:t> </w:t>
      </w:r>
      <w:r>
        <w:rPr>
          <w:sz w:val="23"/>
        </w:rPr>
        <w:t>laminated argillaceous mudstone.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2"/>
        </w:rPr>
      </w:pPr>
      <w:r>
        <w:rPr/>
        <w:drawing>
          <wp:anchor distT="0" distB="0" distL="0" distR="0" allowOverlap="1" layoutInCell="1" locked="0" behindDoc="0" simplePos="0" relativeHeight="208">
            <wp:simplePos x="0" y="0"/>
            <wp:positionH relativeFrom="page">
              <wp:posOffset>911352</wp:posOffset>
            </wp:positionH>
            <wp:positionV relativeFrom="paragraph">
              <wp:posOffset>108862</wp:posOffset>
            </wp:positionV>
            <wp:extent cx="5940552" cy="4514088"/>
            <wp:effectExtent l="0" t="0" r="0" b="0"/>
            <wp:wrapTopAndBottom/>
            <wp:docPr id="29" name="image1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15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552" cy="4514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86"/>
        <w:ind w:left="120" w:right="660" w:firstLine="0"/>
        <w:jc w:val="left"/>
        <w:rPr>
          <w:sz w:val="22"/>
        </w:rPr>
      </w:pPr>
      <w:r>
        <w:rPr>
          <w:sz w:val="22"/>
        </w:rPr>
        <w:t>Figure 15. Depth profile of the Aromatic Carotenoid Methylation Derivatives(</w:t>
      </w:r>
      <w:r>
        <w:rPr>
          <w:b/>
          <w:sz w:val="22"/>
        </w:rPr>
        <w:t>I-VI</w:t>
      </w:r>
      <w:r>
        <w:rPr>
          <w:sz w:val="22"/>
        </w:rPr>
        <w:t>). The line at 118ft</w:t>
      </w:r>
      <w:r>
        <w:rPr>
          <w:spacing w:val="1"/>
          <w:sz w:val="22"/>
        </w:rPr>
        <w:t> </w:t>
      </w:r>
      <w:r>
        <w:rPr>
          <w:sz w:val="22"/>
        </w:rPr>
        <w:t>divides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Upper</w:t>
      </w:r>
      <w:r>
        <w:rPr>
          <w:spacing w:val="-3"/>
          <w:sz w:val="22"/>
        </w:rPr>
        <w:t> </w:t>
      </w:r>
      <w:r>
        <w:rPr>
          <w:sz w:val="22"/>
        </w:rPr>
        <w:t>Woodford</w:t>
      </w:r>
      <w:r>
        <w:rPr>
          <w:spacing w:val="-1"/>
          <w:sz w:val="22"/>
        </w:rPr>
        <w:t> </w:t>
      </w:r>
      <w:r>
        <w:rPr>
          <w:sz w:val="22"/>
        </w:rPr>
        <w:t>Shale</w:t>
      </w:r>
      <w:r>
        <w:rPr>
          <w:spacing w:val="-1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Middle</w:t>
      </w:r>
      <w:r>
        <w:rPr>
          <w:spacing w:val="-3"/>
          <w:sz w:val="22"/>
        </w:rPr>
        <w:t> </w:t>
      </w:r>
      <w:r>
        <w:rPr>
          <w:sz w:val="22"/>
        </w:rPr>
        <w:t>Woodford</w:t>
      </w:r>
      <w:r>
        <w:rPr>
          <w:spacing w:val="-3"/>
          <w:sz w:val="22"/>
        </w:rPr>
        <w:t> </w:t>
      </w:r>
      <w:r>
        <w:rPr>
          <w:sz w:val="22"/>
        </w:rPr>
        <w:t>Shale,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line</w:t>
      </w:r>
      <w:r>
        <w:rPr>
          <w:spacing w:val="-1"/>
          <w:sz w:val="22"/>
        </w:rPr>
        <w:t> </w:t>
      </w:r>
      <w:r>
        <w:rPr>
          <w:sz w:val="22"/>
        </w:rPr>
        <w:t>at</w:t>
      </w:r>
      <w:r>
        <w:rPr>
          <w:spacing w:val="-5"/>
          <w:sz w:val="22"/>
        </w:rPr>
        <w:t> </w:t>
      </w:r>
      <w:r>
        <w:rPr>
          <w:sz w:val="22"/>
        </w:rPr>
        <w:t>185ft</w:t>
      </w:r>
      <w:r>
        <w:rPr>
          <w:spacing w:val="-1"/>
          <w:sz w:val="22"/>
        </w:rPr>
        <w:t> </w:t>
      </w:r>
      <w:r>
        <w:rPr>
          <w:sz w:val="22"/>
        </w:rPr>
        <w:t>divides</w:t>
      </w:r>
      <w:r>
        <w:rPr>
          <w:spacing w:val="-1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Middle</w:t>
      </w:r>
      <w:r>
        <w:rPr>
          <w:spacing w:val="-47"/>
          <w:sz w:val="22"/>
        </w:rPr>
        <w:t> </w:t>
      </w:r>
      <w:r>
        <w:rPr>
          <w:sz w:val="22"/>
        </w:rPr>
        <w:t>Woodford</w:t>
      </w:r>
      <w:r>
        <w:rPr>
          <w:spacing w:val="-1"/>
          <w:sz w:val="22"/>
        </w:rPr>
        <w:t> </w:t>
      </w:r>
      <w:r>
        <w:rPr>
          <w:sz w:val="22"/>
        </w:rPr>
        <w:t>Shale and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Lower</w:t>
      </w:r>
      <w:r>
        <w:rPr>
          <w:spacing w:val="-2"/>
          <w:sz w:val="22"/>
        </w:rPr>
        <w:t> </w:t>
      </w:r>
      <w:r>
        <w:rPr>
          <w:sz w:val="22"/>
        </w:rPr>
        <w:t>Woodford</w:t>
      </w:r>
      <w:r>
        <w:rPr>
          <w:spacing w:val="-3"/>
          <w:sz w:val="22"/>
        </w:rPr>
        <w:t> </w:t>
      </w:r>
      <w:r>
        <w:rPr>
          <w:sz w:val="22"/>
        </w:rPr>
        <w:t>Shale</w:t>
      </w:r>
    </w:p>
    <w:p>
      <w:pPr>
        <w:spacing w:after="0"/>
        <w:jc w:val="left"/>
        <w:rPr>
          <w:sz w:val="22"/>
        </w:rPr>
        <w:sectPr>
          <w:pgSz w:w="12240" w:h="15840"/>
          <w:pgMar w:header="0" w:footer="1014" w:top="1400" w:bottom="1200" w:left="1320" w:right="820"/>
        </w:sectPr>
      </w:pPr>
    </w:p>
    <w:p>
      <w:pPr>
        <w:pStyle w:val="BodyText"/>
        <w:ind w:left="2529"/>
        <w:rPr>
          <w:sz w:val="20"/>
        </w:rPr>
      </w:pPr>
      <w:r>
        <w:rPr>
          <w:sz w:val="20"/>
        </w:rPr>
        <w:drawing>
          <wp:inline distT="0" distB="0" distL="0" distR="0">
            <wp:extent cx="2885389" cy="4437888"/>
            <wp:effectExtent l="0" t="0" r="0" b="0"/>
            <wp:docPr id="31" name="image1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16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5389" cy="4437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3"/>
        <w:rPr>
          <w:sz w:val="10"/>
        </w:rPr>
      </w:pPr>
    </w:p>
    <w:p>
      <w:pPr>
        <w:spacing w:before="56"/>
        <w:ind w:left="120" w:right="660" w:firstLine="0"/>
        <w:jc w:val="left"/>
        <w:rPr>
          <w:sz w:val="22"/>
        </w:rPr>
      </w:pPr>
      <w:r>
        <w:rPr>
          <w:sz w:val="22"/>
        </w:rPr>
        <w:t>Figure 16. Gamma profile of the Wyche-1 core correlated to the lithofacies of the core. Red arrows</w:t>
      </w:r>
      <w:r>
        <w:rPr>
          <w:spacing w:val="1"/>
          <w:sz w:val="22"/>
        </w:rPr>
        <w:t> </w:t>
      </w:r>
      <w:r>
        <w:rPr>
          <w:sz w:val="22"/>
        </w:rPr>
        <w:t>represent regressive cycles and blue arrows represent transgressive cycles. Dashed lines represent</w:t>
      </w:r>
      <w:r>
        <w:rPr>
          <w:spacing w:val="1"/>
          <w:sz w:val="22"/>
        </w:rPr>
        <w:t> </w:t>
      </w:r>
      <w:r>
        <w:rPr>
          <w:sz w:val="22"/>
        </w:rPr>
        <w:t>unconformities</w:t>
      </w:r>
      <w:r>
        <w:rPr>
          <w:spacing w:val="-2"/>
          <w:sz w:val="22"/>
        </w:rPr>
        <w:t> </w:t>
      </w:r>
      <w:r>
        <w:rPr>
          <w:sz w:val="22"/>
        </w:rPr>
        <w:t>at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top</w:t>
      </w:r>
      <w:r>
        <w:rPr>
          <w:spacing w:val="-5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bottom</w:t>
      </w:r>
      <w:r>
        <w:rPr>
          <w:spacing w:val="-1"/>
          <w:sz w:val="22"/>
        </w:rPr>
        <w:t> </w:t>
      </w:r>
      <w:r>
        <w:rPr>
          <w:sz w:val="22"/>
        </w:rPr>
        <w:t>of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Woodford</w:t>
      </w:r>
      <w:r>
        <w:rPr>
          <w:spacing w:val="-3"/>
          <w:sz w:val="22"/>
        </w:rPr>
        <w:t> </w:t>
      </w:r>
      <w:r>
        <w:rPr>
          <w:sz w:val="22"/>
        </w:rPr>
        <w:t>Shale.</w:t>
      </w:r>
      <w:r>
        <w:rPr>
          <w:spacing w:val="-1"/>
          <w:sz w:val="22"/>
        </w:rPr>
        <w:t> </w:t>
      </w:r>
      <w:r>
        <w:rPr>
          <w:sz w:val="22"/>
        </w:rPr>
        <w:t>Figure</w:t>
      </w:r>
      <w:r>
        <w:rPr>
          <w:spacing w:val="-1"/>
          <w:sz w:val="22"/>
        </w:rPr>
        <w:t> </w:t>
      </w:r>
      <w:r>
        <w:rPr>
          <w:sz w:val="22"/>
        </w:rPr>
        <w:t>modified</w:t>
      </w:r>
      <w:r>
        <w:rPr>
          <w:spacing w:val="-2"/>
          <w:sz w:val="22"/>
        </w:rPr>
        <w:t> </w:t>
      </w:r>
      <w:r>
        <w:rPr>
          <w:sz w:val="22"/>
        </w:rPr>
        <w:t>from</w:t>
      </w:r>
      <w:r>
        <w:rPr>
          <w:spacing w:val="-1"/>
          <w:sz w:val="22"/>
        </w:rPr>
        <w:t> </w:t>
      </w:r>
      <w:r>
        <w:rPr>
          <w:sz w:val="22"/>
        </w:rPr>
        <w:t>(Molinares-Blanco,</w:t>
      </w:r>
      <w:r>
        <w:rPr>
          <w:spacing w:val="-47"/>
          <w:sz w:val="22"/>
        </w:rPr>
        <w:t> </w:t>
      </w:r>
      <w:r>
        <w:rPr>
          <w:sz w:val="22"/>
        </w:rPr>
        <w:t>2013).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ListParagraph"/>
        <w:numPr>
          <w:ilvl w:val="1"/>
          <w:numId w:val="5"/>
        </w:numPr>
        <w:tabs>
          <w:tab w:pos="478" w:val="left" w:leader="none"/>
        </w:tabs>
        <w:spacing w:line="240" w:lineRule="auto" w:before="141" w:after="0"/>
        <w:ind w:left="477" w:right="0" w:hanging="358"/>
        <w:jc w:val="left"/>
        <w:rPr>
          <w:i/>
          <w:sz w:val="24"/>
        </w:rPr>
      </w:pPr>
      <w:r>
        <w:rPr>
          <w:i/>
          <w:sz w:val="24"/>
        </w:rPr>
        <w:t>Porphyrins</w:t>
      </w:r>
    </w:p>
    <w:p>
      <w:pPr>
        <w:pStyle w:val="BodyText"/>
        <w:rPr>
          <w:i/>
        </w:rPr>
      </w:pPr>
    </w:p>
    <w:p>
      <w:pPr>
        <w:pStyle w:val="BodyText"/>
        <w:spacing w:line="480" w:lineRule="auto" w:before="161"/>
        <w:ind w:left="120" w:right="631" w:firstLine="721"/>
      </w:pPr>
      <w:r>
        <w:rPr/>
        <w:t>Porphyrins</w:t>
      </w:r>
      <w:r>
        <w:rPr>
          <w:spacing w:val="6"/>
        </w:rPr>
        <w:t> </w:t>
      </w:r>
      <w:r>
        <w:rPr/>
        <w:t>can</w:t>
      </w:r>
      <w:r>
        <w:rPr>
          <w:spacing w:val="7"/>
        </w:rPr>
        <w:t> </w:t>
      </w:r>
      <w:r>
        <w:rPr/>
        <w:t>be</w:t>
      </w:r>
      <w:r>
        <w:rPr>
          <w:spacing w:val="4"/>
        </w:rPr>
        <w:t> </w:t>
      </w:r>
      <w:r>
        <w:rPr/>
        <w:t>indicators</w:t>
      </w:r>
      <w:r>
        <w:rPr>
          <w:spacing w:val="3"/>
        </w:rPr>
        <w:t> </w:t>
      </w:r>
      <w:r>
        <w:rPr/>
        <w:t>of</w:t>
      </w:r>
      <w:r>
        <w:rPr>
          <w:spacing w:val="3"/>
        </w:rPr>
        <w:t> </w:t>
      </w:r>
      <w:r>
        <w:rPr/>
        <w:t>primary</w:t>
      </w:r>
      <w:r>
        <w:rPr>
          <w:spacing w:val="3"/>
        </w:rPr>
        <w:t> </w:t>
      </w:r>
      <w:r>
        <w:rPr/>
        <w:t>productivity</w:t>
      </w:r>
      <w:r>
        <w:rPr>
          <w:spacing w:val="5"/>
        </w:rPr>
        <w:t> </w:t>
      </w:r>
      <w:r>
        <w:rPr/>
        <w:t>since</w:t>
      </w:r>
      <w:r>
        <w:rPr>
          <w:spacing w:val="2"/>
        </w:rPr>
        <w:t> </w:t>
      </w:r>
      <w:r>
        <w:rPr/>
        <w:t>they</w:t>
      </w:r>
      <w:r>
        <w:rPr>
          <w:spacing w:val="4"/>
        </w:rPr>
        <w:t> </w:t>
      </w:r>
      <w:r>
        <w:rPr/>
        <w:t>are</w:t>
      </w:r>
      <w:r>
        <w:rPr>
          <w:spacing w:val="2"/>
        </w:rPr>
        <w:t> </w:t>
      </w:r>
      <w:r>
        <w:rPr/>
        <w:t>degradation</w:t>
      </w:r>
      <w:r>
        <w:rPr>
          <w:spacing w:val="1"/>
        </w:rPr>
        <w:t> </w:t>
      </w:r>
      <w:r>
        <w:rPr/>
        <w:t>products of chlorophylls and bacteriochlorophylls (Huseby et al., 1996; Junium et al., 2008,</w:t>
      </w:r>
      <w:r>
        <w:rPr>
          <w:spacing w:val="1"/>
        </w:rPr>
        <w:t> </w:t>
      </w:r>
      <w:r>
        <w:rPr/>
        <w:t>2015).</w:t>
      </w:r>
      <w:r>
        <w:rPr>
          <w:spacing w:val="2"/>
        </w:rPr>
        <w:t> </w:t>
      </w:r>
      <w:r>
        <w:rPr/>
        <w:t>In</w:t>
      </w:r>
      <w:r>
        <w:rPr>
          <w:spacing w:val="1"/>
        </w:rPr>
        <w:t> </w:t>
      </w:r>
      <w:r>
        <w:rPr/>
        <w:t>all</w:t>
      </w:r>
      <w:r>
        <w:rPr>
          <w:spacing w:val="2"/>
        </w:rPr>
        <w:t> </w:t>
      </w:r>
      <w:r>
        <w:rPr/>
        <w:t>analyzed</w:t>
      </w:r>
      <w:r>
        <w:rPr>
          <w:spacing w:val="6"/>
        </w:rPr>
        <w:t> </w:t>
      </w:r>
      <w:r>
        <w:rPr/>
        <w:t>samples</w:t>
      </w:r>
      <w:r>
        <w:rPr>
          <w:spacing w:val="3"/>
        </w:rPr>
        <w:t> </w:t>
      </w:r>
      <w:r>
        <w:rPr/>
        <w:t>no</w:t>
      </w:r>
      <w:r>
        <w:rPr>
          <w:spacing w:val="1"/>
        </w:rPr>
        <w:t> </w:t>
      </w:r>
      <w:r>
        <w:rPr/>
        <w:t>free</w:t>
      </w:r>
      <w:r>
        <w:rPr>
          <w:spacing w:val="1"/>
        </w:rPr>
        <w:t> </w:t>
      </w:r>
      <w:r>
        <w:rPr/>
        <w:t>base</w:t>
      </w:r>
      <w:r>
        <w:rPr>
          <w:spacing w:val="2"/>
        </w:rPr>
        <w:t> </w:t>
      </w:r>
      <w:r>
        <w:rPr/>
        <w:t>porphyrins</w:t>
      </w:r>
      <w:r>
        <w:rPr>
          <w:spacing w:val="3"/>
        </w:rPr>
        <w:t> </w:t>
      </w:r>
      <w:r>
        <w:rPr/>
        <w:t>were</w:t>
      </w:r>
      <w:r>
        <w:rPr>
          <w:spacing w:val="1"/>
        </w:rPr>
        <w:t> </w:t>
      </w:r>
      <w:r>
        <w:rPr/>
        <w:t>detected.</w:t>
      </w:r>
      <w:r>
        <w:rPr>
          <w:spacing w:val="1"/>
        </w:rPr>
        <w:t> </w:t>
      </w:r>
      <w:r>
        <w:rPr/>
        <w:t>Metalloporphyrins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be</w:t>
      </w:r>
      <w:r>
        <w:rPr>
          <w:spacing w:val="-1"/>
        </w:rPr>
        <w:t> </w:t>
      </w:r>
      <w:r>
        <w:rPr/>
        <w:t>indicators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thermal</w:t>
      </w:r>
      <w:r>
        <w:rPr>
          <w:spacing w:val="-4"/>
        </w:rPr>
        <w:t> </w:t>
      </w:r>
      <w:r>
        <w:rPr/>
        <w:t>maturity</w:t>
      </w:r>
      <w:r>
        <w:rPr>
          <w:spacing w:val="-1"/>
        </w:rPr>
        <w:t> </w:t>
      </w:r>
      <w:r>
        <w:rPr/>
        <w:t>(Baker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Louda,</w:t>
      </w:r>
      <w:r>
        <w:rPr>
          <w:spacing w:val="-3"/>
        </w:rPr>
        <w:t> </w:t>
      </w:r>
      <w:r>
        <w:rPr/>
        <w:t>1983;</w:t>
      </w:r>
      <w:r>
        <w:rPr>
          <w:spacing w:val="-4"/>
        </w:rPr>
        <w:t> </w:t>
      </w:r>
      <w:r>
        <w:rPr/>
        <w:t>Barwise</w:t>
      </w:r>
      <w:r>
        <w:rPr>
          <w:spacing w:val="-4"/>
        </w:rPr>
        <w:t> </w:t>
      </w:r>
      <w:r>
        <w:rPr/>
        <w:t>and</w:t>
      </w:r>
      <w:r>
        <w:rPr>
          <w:spacing w:val="1"/>
        </w:rPr>
        <w:t> </w:t>
      </w:r>
      <w:r>
        <w:rPr/>
        <w:t>Roberts,</w:t>
      </w:r>
      <w:r>
        <w:rPr>
          <w:spacing w:val="-3"/>
        </w:rPr>
        <w:t> </w:t>
      </w:r>
      <w:r>
        <w:rPr/>
        <w:t>1984;</w:t>
      </w:r>
      <w:r>
        <w:rPr>
          <w:spacing w:val="-4"/>
        </w:rPr>
        <w:t> </w:t>
      </w:r>
      <w:r>
        <w:rPr/>
        <w:t>Chen</w:t>
      </w:r>
      <w:r>
        <w:rPr>
          <w:spacing w:val="1"/>
        </w:rPr>
        <w:t> </w:t>
      </w:r>
      <w:r>
        <w:rPr/>
        <w:t>and</w:t>
      </w:r>
      <w:r>
        <w:rPr>
          <w:spacing w:val="-51"/>
        </w:rPr>
        <w:t> </w:t>
      </w:r>
      <w:r>
        <w:rPr/>
        <w:t>Philp,</w:t>
      </w:r>
      <w:r>
        <w:rPr>
          <w:spacing w:val="-4"/>
        </w:rPr>
        <w:t> </w:t>
      </w:r>
      <w:r>
        <w:rPr/>
        <w:t>1991;</w:t>
      </w:r>
      <w:r>
        <w:rPr>
          <w:spacing w:val="-2"/>
        </w:rPr>
        <w:t> </w:t>
      </w:r>
      <w:r>
        <w:rPr/>
        <w:t>Huseby</w:t>
      </w:r>
      <w:r>
        <w:rPr>
          <w:spacing w:val="-4"/>
        </w:rPr>
        <w:t> </w:t>
      </w:r>
      <w:r>
        <w:rPr/>
        <w:t>et</w:t>
      </w:r>
      <w:r>
        <w:rPr>
          <w:spacing w:val="-3"/>
        </w:rPr>
        <w:t> </w:t>
      </w:r>
      <w:r>
        <w:rPr/>
        <w:t>al.,</w:t>
      </w:r>
      <w:r>
        <w:rPr>
          <w:spacing w:val="-1"/>
        </w:rPr>
        <w:t> </w:t>
      </w:r>
      <w:r>
        <w:rPr/>
        <w:t>1996;</w:t>
      </w:r>
      <w:r>
        <w:rPr>
          <w:spacing w:val="-3"/>
        </w:rPr>
        <w:t> </w:t>
      </w:r>
      <w:r>
        <w:rPr/>
        <w:t>Marín</w:t>
      </w:r>
      <w:r>
        <w:rPr>
          <w:spacing w:val="-3"/>
        </w:rPr>
        <w:t> </w:t>
      </w:r>
      <w:r>
        <w:rPr/>
        <w:t>et</w:t>
      </w:r>
      <w:r>
        <w:rPr>
          <w:spacing w:val="-2"/>
        </w:rPr>
        <w:t> </w:t>
      </w:r>
      <w:r>
        <w:rPr/>
        <w:t>al.,</w:t>
      </w:r>
      <w:r>
        <w:rPr>
          <w:spacing w:val="-2"/>
        </w:rPr>
        <w:t> </w:t>
      </w:r>
      <w:r>
        <w:rPr/>
        <w:t>2014),</w:t>
      </w:r>
      <w:r>
        <w:rPr>
          <w:spacing w:val="-1"/>
        </w:rPr>
        <w:t> </w:t>
      </w:r>
      <w:r>
        <w:rPr/>
        <w:t>water</w:t>
      </w:r>
      <w:r>
        <w:rPr>
          <w:spacing w:val="2"/>
        </w:rPr>
        <w:t> </w:t>
      </w:r>
      <w:r>
        <w:rPr/>
        <w:t>column</w:t>
      </w:r>
      <w:r>
        <w:rPr>
          <w:spacing w:val="-3"/>
        </w:rPr>
        <w:t> </w:t>
      </w:r>
      <w:r>
        <w:rPr/>
        <w:t>redox</w:t>
      </w:r>
      <w:r>
        <w:rPr>
          <w:spacing w:val="-1"/>
        </w:rPr>
        <w:t> </w:t>
      </w:r>
      <w:r>
        <w:rPr/>
        <w:t>state</w:t>
      </w:r>
      <w:r>
        <w:rPr>
          <w:spacing w:val="-3"/>
        </w:rPr>
        <w:t> </w:t>
      </w:r>
      <w:r>
        <w:rPr/>
        <w:t>(Chen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Philp,</w:t>
      </w:r>
    </w:p>
    <w:p>
      <w:pPr>
        <w:spacing w:after="0" w:line="480" w:lineRule="auto"/>
        <w:sectPr>
          <w:pgSz w:w="12240" w:h="15840"/>
          <w:pgMar w:header="0" w:footer="1014" w:top="1440" w:bottom="1200" w:left="1320" w:right="820"/>
        </w:sectPr>
      </w:pPr>
    </w:p>
    <w:p>
      <w:pPr>
        <w:pStyle w:val="BodyText"/>
        <w:spacing w:line="480" w:lineRule="auto" w:before="39"/>
        <w:ind w:left="120" w:right="660"/>
      </w:pPr>
      <w:r>
        <w:rPr/>
        <w:t>1991; Huseby et al., 1996; Junium et al., 2008, 2015), and diagenetic history (Barwise and</w:t>
      </w:r>
      <w:r>
        <w:rPr>
          <w:spacing w:val="1"/>
        </w:rPr>
        <w:t> </w:t>
      </w:r>
      <w:r>
        <w:rPr/>
        <w:t>Roberts, 1984; Huseby et al., 1996; Junium et al., 2008, 2015; Louda et al., 2011). The</w:t>
      </w:r>
      <w:r>
        <w:rPr>
          <w:spacing w:val="1"/>
        </w:rPr>
        <w:t> </w:t>
      </w:r>
      <w:r>
        <w:rPr/>
        <w:t>concentrations of the metalloporphyrins that were detected in these samples are interesting</w:t>
      </w:r>
      <w:r>
        <w:rPr>
          <w:spacing w:val="1"/>
        </w:rPr>
        <w:t> </w:t>
      </w:r>
      <w:r>
        <w:rPr/>
        <w:t>when compared to the carotenoid data found in this study and will be explained in the</w:t>
      </w:r>
      <w:r>
        <w:rPr>
          <w:spacing w:val="1"/>
        </w:rPr>
        <w:t> </w:t>
      </w:r>
      <w:r>
        <w:rPr/>
        <w:t>Discussion section. For each category of metalloporphyrin multiple compounds were detected.</w:t>
      </w:r>
      <w:r>
        <w:rPr>
          <w:spacing w:val="-52"/>
        </w:rPr>
        <w:t> </w:t>
      </w:r>
      <w:r>
        <w:rPr/>
        <w:t>See Appendix I (</w:t>
      </w:r>
      <w:r>
        <w:rPr>
          <w:b/>
        </w:rPr>
        <w:t>VII-XII</w:t>
      </w:r>
      <w:r>
        <w:rPr/>
        <w:t>) for molecular weights detected and the tentatively assigned structures.</w:t>
      </w:r>
      <w:r>
        <w:rPr>
          <w:spacing w:val="-52"/>
        </w:rPr>
        <w:t> </w:t>
      </w:r>
      <w:r>
        <w:rPr/>
        <w:t>The metalloporphyrins analyzed where chelated with VO</w:t>
      </w:r>
      <w:r>
        <w:rPr>
          <w:vertAlign w:val="superscript"/>
        </w:rPr>
        <w:t>2+</w:t>
      </w:r>
      <w:r>
        <w:rPr>
          <w:vertAlign w:val="baseline"/>
        </w:rPr>
        <w:t> and Ni</w:t>
      </w:r>
      <w:r>
        <w:rPr>
          <w:vertAlign w:val="superscript"/>
        </w:rPr>
        <w:t>2+</w:t>
      </w:r>
      <w:r>
        <w:rPr>
          <w:vertAlign w:val="baseline"/>
        </w:rPr>
        <w:t> and consisted of BiCAP,</w:t>
      </w:r>
      <w:r>
        <w:rPr>
          <w:spacing w:val="1"/>
          <w:vertAlign w:val="baseline"/>
        </w:rPr>
        <w:t> </w:t>
      </w:r>
      <w:r>
        <w:rPr>
          <w:position w:val="2"/>
          <w:vertAlign w:val="baseline"/>
        </w:rPr>
        <w:t>DPEP, and ETIO. The VO metalloporphyrins consisted of C</w:t>
      </w:r>
      <w:r>
        <w:rPr>
          <w:sz w:val="16"/>
          <w:vertAlign w:val="baseline"/>
        </w:rPr>
        <w:t>31</w:t>
      </w:r>
      <w:r>
        <w:rPr>
          <w:position w:val="2"/>
          <w:vertAlign w:val="baseline"/>
        </w:rPr>
        <w:t>-C</w:t>
      </w:r>
      <w:r>
        <w:rPr>
          <w:sz w:val="16"/>
          <w:vertAlign w:val="baseline"/>
        </w:rPr>
        <w:t>33 </w:t>
      </w:r>
      <w:r>
        <w:rPr>
          <w:position w:val="2"/>
          <w:vertAlign w:val="baseline"/>
        </w:rPr>
        <w:t>BiCAP, C</w:t>
      </w:r>
      <w:r>
        <w:rPr>
          <w:sz w:val="16"/>
          <w:vertAlign w:val="baseline"/>
        </w:rPr>
        <w:t>29</w:t>
      </w:r>
      <w:r>
        <w:rPr>
          <w:position w:val="2"/>
          <w:vertAlign w:val="baseline"/>
        </w:rPr>
        <w:t>-C</w:t>
      </w:r>
      <w:r>
        <w:rPr>
          <w:sz w:val="16"/>
          <w:vertAlign w:val="baseline"/>
        </w:rPr>
        <w:t>32</w:t>
      </w:r>
      <w:r>
        <w:rPr>
          <w:spacing w:val="1"/>
          <w:sz w:val="16"/>
          <w:vertAlign w:val="baseline"/>
        </w:rPr>
        <w:t> </w:t>
      </w:r>
      <w:r>
        <w:rPr>
          <w:position w:val="2"/>
          <w:vertAlign w:val="baseline"/>
        </w:rPr>
        <w:t>DPEP, and C</w:t>
      </w:r>
      <w:r>
        <w:rPr>
          <w:sz w:val="16"/>
          <w:vertAlign w:val="baseline"/>
        </w:rPr>
        <w:t>29</w:t>
      </w:r>
      <w:r>
        <w:rPr>
          <w:position w:val="2"/>
          <w:vertAlign w:val="baseline"/>
        </w:rPr>
        <w:t>-C</w:t>
      </w:r>
      <w:r>
        <w:rPr>
          <w:sz w:val="16"/>
          <w:vertAlign w:val="baseline"/>
        </w:rPr>
        <w:t>32</w:t>
      </w:r>
      <w:r>
        <w:rPr>
          <w:spacing w:val="-34"/>
          <w:sz w:val="16"/>
          <w:vertAlign w:val="baseline"/>
        </w:rPr>
        <w:t> </w:t>
      </w:r>
      <w:r>
        <w:rPr>
          <w:position w:val="2"/>
          <w:vertAlign w:val="baseline"/>
        </w:rPr>
        <w:t>ETIO. The dominant species of each category, C</w:t>
      </w:r>
      <w:r>
        <w:rPr>
          <w:sz w:val="16"/>
          <w:vertAlign w:val="baseline"/>
        </w:rPr>
        <w:t>33</w:t>
      </w:r>
      <w:r>
        <w:rPr>
          <w:spacing w:val="1"/>
          <w:sz w:val="16"/>
          <w:vertAlign w:val="baseline"/>
        </w:rPr>
        <w:t> </w:t>
      </w:r>
      <w:r>
        <w:rPr>
          <w:position w:val="2"/>
          <w:vertAlign w:val="baseline"/>
        </w:rPr>
        <w:t>VO-BiCAP, C</w:t>
      </w:r>
      <w:r>
        <w:rPr>
          <w:sz w:val="16"/>
          <w:vertAlign w:val="baseline"/>
        </w:rPr>
        <w:t>32</w:t>
      </w:r>
      <w:r>
        <w:rPr>
          <w:spacing w:val="1"/>
          <w:sz w:val="16"/>
          <w:vertAlign w:val="baseline"/>
        </w:rPr>
        <w:t> </w:t>
      </w:r>
      <w:r>
        <w:rPr>
          <w:position w:val="2"/>
          <w:vertAlign w:val="baseline"/>
        </w:rPr>
        <w:t>VO-DPEP, and C</w:t>
      </w:r>
      <w:r>
        <w:rPr>
          <w:sz w:val="16"/>
          <w:vertAlign w:val="baseline"/>
        </w:rPr>
        <w:t>32</w:t>
      </w:r>
      <w:r>
        <w:rPr>
          <w:spacing w:val="1"/>
          <w:sz w:val="16"/>
          <w:vertAlign w:val="baseline"/>
        </w:rPr>
        <w:t> </w:t>
      </w:r>
      <w:r>
        <w:rPr>
          <w:position w:val="2"/>
          <w:vertAlign w:val="baseline"/>
        </w:rPr>
        <w:t>VO-ETIO are</w:t>
      </w:r>
      <w:r>
        <w:rPr>
          <w:spacing w:val="-52"/>
          <w:position w:val="2"/>
          <w:vertAlign w:val="baseline"/>
        </w:rPr>
        <w:t> </w:t>
      </w:r>
      <w:r>
        <w:rPr>
          <w:vertAlign w:val="baseline"/>
        </w:rPr>
        <w:t>shown</w:t>
      </w:r>
      <w:r>
        <w:rPr>
          <w:spacing w:val="2"/>
          <w:vertAlign w:val="baseline"/>
        </w:rPr>
        <w:t> </w:t>
      </w:r>
      <w:r>
        <w:rPr>
          <w:vertAlign w:val="baseline"/>
        </w:rPr>
        <w:t>in</w:t>
      </w:r>
      <w:r>
        <w:rPr>
          <w:spacing w:val="-2"/>
          <w:vertAlign w:val="baseline"/>
        </w:rPr>
        <w:t> </w:t>
      </w:r>
      <w:r>
        <w:rPr>
          <w:vertAlign w:val="baseline"/>
        </w:rPr>
        <w:t>figure</w:t>
      </w:r>
      <w:r>
        <w:rPr>
          <w:spacing w:val="1"/>
          <w:vertAlign w:val="baseline"/>
        </w:rPr>
        <w:t> </w:t>
      </w:r>
      <w:r>
        <w:rPr>
          <w:vertAlign w:val="baseline"/>
        </w:rPr>
        <w:t>17.</w:t>
      </w:r>
    </w:p>
    <w:p>
      <w:pPr>
        <w:pStyle w:val="BodyText"/>
        <w:spacing w:before="11"/>
        <w:rPr>
          <w:sz w:val="13"/>
        </w:rPr>
      </w:pPr>
      <w:r>
        <w:rPr/>
        <w:drawing>
          <wp:anchor distT="0" distB="0" distL="0" distR="0" allowOverlap="1" layoutInCell="1" locked="0" behindDoc="0" simplePos="0" relativeHeight="209">
            <wp:simplePos x="0" y="0"/>
            <wp:positionH relativeFrom="page">
              <wp:posOffset>2097024</wp:posOffset>
            </wp:positionH>
            <wp:positionV relativeFrom="paragraph">
              <wp:posOffset>123459</wp:posOffset>
            </wp:positionV>
            <wp:extent cx="3560064" cy="3877055"/>
            <wp:effectExtent l="0" t="0" r="0" b="0"/>
            <wp:wrapTopAndBottom/>
            <wp:docPr id="33" name="image1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17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0064" cy="3877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72"/>
        <w:ind w:left="120" w:right="597" w:firstLine="0"/>
        <w:jc w:val="left"/>
        <w:rPr>
          <w:sz w:val="22"/>
        </w:rPr>
      </w:pPr>
      <w:r>
        <w:rPr>
          <w:sz w:val="22"/>
        </w:rPr>
        <w:t>Figure</w:t>
      </w:r>
      <w:r>
        <w:rPr>
          <w:spacing w:val="-1"/>
          <w:sz w:val="22"/>
        </w:rPr>
        <w:t> </w:t>
      </w:r>
      <w:r>
        <w:rPr>
          <w:sz w:val="22"/>
        </w:rPr>
        <w:t>17.</w:t>
      </w:r>
      <w:r>
        <w:rPr>
          <w:spacing w:val="-3"/>
          <w:sz w:val="22"/>
        </w:rPr>
        <w:t> </w:t>
      </w:r>
      <w:r>
        <w:rPr>
          <w:sz w:val="22"/>
        </w:rPr>
        <w:t>Example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the chromatograms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2"/>
          <w:sz w:val="22"/>
        </w:rPr>
        <w:t> </w:t>
      </w:r>
      <w:r>
        <w:rPr>
          <w:sz w:val="22"/>
        </w:rPr>
        <w:t>molecular</w:t>
      </w:r>
      <w:r>
        <w:rPr>
          <w:spacing w:val="-3"/>
          <w:sz w:val="22"/>
        </w:rPr>
        <w:t> </w:t>
      </w:r>
      <w:r>
        <w:rPr>
          <w:sz w:val="22"/>
        </w:rPr>
        <w:t>structures</w:t>
      </w:r>
      <w:r>
        <w:rPr>
          <w:spacing w:val="-3"/>
          <w:sz w:val="22"/>
        </w:rPr>
        <w:t> </w:t>
      </w:r>
      <w:r>
        <w:rPr>
          <w:sz w:val="22"/>
        </w:rPr>
        <w:t>of the</w:t>
      </w:r>
      <w:r>
        <w:rPr>
          <w:spacing w:val="-3"/>
          <w:sz w:val="22"/>
        </w:rPr>
        <w:t> </w:t>
      </w:r>
      <w:r>
        <w:rPr>
          <w:sz w:val="22"/>
        </w:rPr>
        <w:t>major</w:t>
      </w:r>
      <w:r>
        <w:rPr>
          <w:spacing w:val="-5"/>
          <w:sz w:val="22"/>
        </w:rPr>
        <w:t> </w:t>
      </w:r>
      <w:r>
        <w:rPr>
          <w:sz w:val="22"/>
        </w:rPr>
        <w:t>compound</w:t>
      </w:r>
      <w:r>
        <w:rPr>
          <w:spacing w:val="-2"/>
          <w:sz w:val="22"/>
        </w:rPr>
        <w:t> </w:t>
      </w:r>
      <w:r>
        <w:rPr>
          <w:sz w:val="22"/>
        </w:rPr>
        <w:t>detected</w:t>
      </w:r>
      <w:r>
        <w:rPr>
          <w:spacing w:val="-1"/>
          <w:sz w:val="22"/>
        </w:rPr>
        <w:t> </w:t>
      </w:r>
      <w:r>
        <w:rPr>
          <w:sz w:val="22"/>
        </w:rPr>
        <w:t>for</w:t>
      </w:r>
      <w:r>
        <w:rPr>
          <w:spacing w:val="-47"/>
          <w:sz w:val="22"/>
        </w:rPr>
        <w:t> </w:t>
      </w:r>
      <w:r>
        <w:rPr>
          <w:sz w:val="22"/>
        </w:rPr>
        <w:t>each</w:t>
      </w:r>
      <w:r>
        <w:rPr>
          <w:spacing w:val="-3"/>
          <w:sz w:val="22"/>
        </w:rPr>
        <w:t> </w:t>
      </w:r>
      <w:r>
        <w:rPr>
          <w:sz w:val="22"/>
        </w:rPr>
        <w:t>class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VO</w:t>
      </w:r>
      <w:r>
        <w:rPr>
          <w:spacing w:val="-2"/>
          <w:sz w:val="22"/>
        </w:rPr>
        <w:t> </w:t>
      </w:r>
      <w:r>
        <w:rPr>
          <w:sz w:val="22"/>
        </w:rPr>
        <w:t>metalloporphyrins</w:t>
      </w:r>
    </w:p>
    <w:p>
      <w:pPr>
        <w:spacing w:after="0"/>
        <w:jc w:val="left"/>
        <w:rPr>
          <w:sz w:val="22"/>
        </w:rPr>
        <w:sectPr>
          <w:pgSz w:w="12240" w:h="15840"/>
          <w:pgMar w:header="0" w:footer="1014" w:top="1400" w:bottom="1200" w:left="1320" w:right="82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line="480" w:lineRule="auto" w:before="197"/>
        <w:ind w:left="120" w:right="1419"/>
      </w:pPr>
      <w:r>
        <w:rPr>
          <w:position w:val="2"/>
        </w:rPr>
        <w:t>The</w:t>
      </w:r>
      <w:r>
        <w:rPr>
          <w:spacing w:val="-1"/>
          <w:position w:val="2"/>
        </w:rPr>
        <w:t> </w:t>
      </w:r>
      <w:r>
        <w:rPr>
          <w:position w:val="2"/>
        </w:rPr>
        <w:t>Ni</w:t>
      </w:r>
      <w:r>
        <w:rPr>
          <w:spacing w:val="-2"/>
          <w:position w:val="2"/>
        </w:rPr>
        <w:t> </w:t>
      </w:r>
      <w:r>
        <w:rPr>
          <w:position w:val="2"/>
        </w:rPr>
        <w:t>metalloporphyrins</w:t>
      </w:r>
      <w:r>
        <w:rPr>
          <w:spacing w:val="-3"/>
          <w:position w:val="2"/>
        </w:rPr>
        <w:t> </w:t>
      </w:r>
      <w:r>
        <w:rPr>
          <w:position w:val="2"/>
        </w:rPr>
        <w:t>consisted</w:t>
      </w:r>
      <w:r>
        <w:rPr>
          <w:spacing w:val="2"/>
          <w:position w:val="2"/>
        </w:rPr>
        <w:t> </w:t>
      </w:r>
      <w:r>
        <w:rPr>
          <w:position w:val="2"/>
        </w:rPr>
        <w:t>of</w:t>
      </w:r>
      <w:r>
        <w:rPr>
          <w:spacing w:val="-3"/>
          <w:position w:val="2"/>
        </w:rPr>
        <w:t> </w:t>
      </w:r>
      <w:r>
        <w:rPr>
          <w:position w:val="2"/>
        </w:rPr>
        <w:t>C</w:t>
      </w:r>
      <w:r>
        <w:rPr>
          <w:sz w:val="16"/>
        </w:rPr>
        <w:t>31</w:t>
      </w:r>
      <w:r>
        <w:rPr>
          <w:position w:val="2"/>
        </w:rPr>
        <w:t>-C</w:t>
      </w:r>
      <w:r>
        <w:rPr>
          <w:sz w:val="16"/>
        </w:rPr>
        <w:t>33</w:t>
      </w:r>
      <w:r>
        <w:rPr>
          <w:spacing w:val="17"/>
          <w:sz w:val="16"/>
        </w:rPr>
        <w:t> </w:t>
      </w:r>
      <w:r>
        <w:rPr>
          <w:position w:val="2"/>
        </w:rPr>
        <w:t>BiCAP, C</w:t>
      </w:r>
      <w:r>
        <w:rPr>
          <w:sz w:val="16"/>
        </w:rPr>
        <w:t>30</w:t>
      </w:r>
      <w:r>
        <w:rPr>
          <w:position w:val="2"/>
        </w:rPr>
        <w:t>-C</w:t>
      </w:r>
      <w:r>
        <w:rPr>
          <w:sz w:val="16"/>
        </w:rPr>
        <w:t>32</w:t>
      </w:r>
      <w:r>
        <w:rPr>
          <w:spacing w:val="15"/>
          <w:sz w:val="16"/>
        </w:rPr>
        <w:t> </w:t>
      </w:r>
      <w:r>
        <w:rPr>
          <w:position w:val="2"/>
        </w:rPr>
        <w:t>DPEP,</w:t>
      </w:r>
      <w:r>
        <w:rPr>
          <w:spacing w:val="-3"/>
          <w:position w:val="2"/>
        </w:rPr>
        <w:t> </w:t>
      </w:r>
      <w:r>
        <w:rPr>
          <w:position w:val="2"/>
        </w:rPr>
        <w:t>and</w:t>
      </w:r>
      <w:r>
        <w:rPr>
          <w:spacing w:val="2"/>
          <w:position w:val="2"/>
        </w:rPr>
        <w:t> </w:t>
      </w:r>
      <w:r>
        <w:rPr>
          <w:position w:val="2"/>
        </w:rPr>
        <w:t>C</w:t>
      </w:r>
      <w:r>
        <w:rPr>
          <w:sz w:val="16"/>
        </w:rPr>
        <w:t>27</w:t>
      </w:r>
      <w:r>
        <w:rPr>
          <w:position w:val="2"/>
        </w:rPr>
        <w:t>-C</w:t>
      </w:r>
      <w:r>
        <w:rPr>
          <w:sz w:val="16"/>
        </w:rPr>
        <w:t>32</w:t>
      </w:r>
      <w:r>
        <w:rPr>
          <w:spacing w:val="17"/>
          <w:sz w:val="16"/>
        </w:rPr>
        <w:t> </w:t>
      </w:r>
      <w:r>
        <w:rPr>
          <w:position w:val="2"/>
        </w:rPr>
        <w:t>ETIO.</w:t>
      </w:r>
      <w:r>
        <w:rPr>
          <w:spacing w:val="-6"/>
          <w:position w:val="2"/>
        </w:rPr>
        <w:t> </w:t>
      </w:r>
      <w:r>
        <w:rPr>
          <w:position w:val="2"/>
        </w:rPr>
        <w:t>The</w:t>
      </w:r>
      <w:r>
        <w:rPr>
          <w:spacing w:val="-51"/>
          <w:position w:val="2"/>
        </w:rPr>
        <w:t> </w:t>
      </w:r>
      <w:r>
        <w:rPr/>
        <w:t>chromatogram</w:t>
      </w:r>
      <w:r>
        <w:rPr>
          <w:spacing w:val="-2"/>
        </w:rPr>
        <w:t> </w:t>
      </w:r>
      <w:r>
        <w:rPr/>
        <w:t>and structure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1"/>
        </w:rPr>
        <w:t> </w:t>
      </w:r>
      <w:r>
        <w:rPr/>
        <w:t>dominant</w:t>
      </w:r>
      <w:r>
        <w:rPr>
          <w:spacing w:val="-2"/>
        </w:rPr>
        <w:t> </w:t>
      </w:r>
      <w:r>
        <w:rPr/>
        <w:t>species</w:t>
      </w:r>
      <w:r>
        <w:rPr>
          <w:spacing w:val="-1"/>
        </w:rPr>
        <w:t> </w:t>
      </w:r>
      <w:r>
        <w:rPr/>
        <w:t>of</w:t>
      </w:r>
      <w:r>
        <w:rPr>
          <w:spacing w:val="1"/>
        </w:rPr>
        <w:t> </w:t>
      </w:r>
      <w:r>
        <w:rPr/>
        <w:t>each</w:t>
      </w:r>
      <w:r>
        <w:rPr>
          <w:spacing w:val="-1"/>
        </w:rPr>
        <w:t> </w:t>
      </w:r>
      <w:r>
        <w:rPr/>
        <w:t>is</w:t>
      </w:r>
      <w:r>
        <w:rPr>
          <w:spacing w:val="-4"/>
        </w:rPr>
        <w:t> </w:t>
      </w:r>
      <w:r>
        <w:rPr/>
        <w:t>shown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figure</w:t>
      </w:r>
      <w:r>
        <w:rPr>
          <w:spacing w:val="-2"/>
        </w:rPr>
        <w:t> </w:t>
      </w:r>
      <w:r>
        <w:rPr/>
        <w:t>18.</w:t>
      </w:r>
    </w:p>
    <w:p>
      <w:pPr>
        <w:pStyle w:val="BodyText"/>
        <w:spacing w:before="12"/>
        <w:rPr>
          <w:sz w:val="13"/>
        </w:rPr>
      </w:pPr>
      <w:r>
        <w:rPr/>
        <w:drawing>
          <wp:anchor distT="0" distB="0" distL="0" distR="0" allowOverlap="1" layoutInCell="1" locked="0" behindDoc="0" simplePos="0" relativeHeight="210">
            <wp:simplePos x="0" y="0"/>
            <wp:positionH relativeFrom="page">
              <wp:posOffset>2093976</wp:posOffset>
            </wp:positionH>
            <wp:positionV relativeFrom="paragraph">
              <wp:posOffset>123725</wp:posOffset>
            </wp:positionV>
            <wp:extent cx="3608832" cy="3974591"/>
            <wp:effectExtent l="0" t="0" r="0" b="0"/>
            <wp:wrapTopAndBottom/>
            <wp:docPr id="35" name="image1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18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8832" cy="39745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203"/>
        <w:ind w:left="120" w:right="660" w:firstLine="0"/>
        <w:jc w:val="left"/>
        <w:rPr>
          <w:sz w:val="22"/>
        </w:rPr>
      </w:pPr>
      <w:r>
        <w:rPr>
          <w:sz w:val="22"/>
        </w:rPr>
        <w:t>Figure</w:t>
      </w:r>
      <w:r>
        <w:rPr>
          <w:spacing w:val="-1"/>
          <w:sz w:val="22"/>
        </w:rPr>
        <w:t> </w:t>
      </w:r>
      <w:r>
        <w:rPr>
          <w:sz w:val="22"/>
        </w:rPr>
        <w:t>18.</w:t>
      </w:r>
      <w:r>
        <w:rPr>
          <w:spacing w:val="-3"/>
          <w:sz w:val="22"/>
        </w:rPr>
        <w:t> </w:t>
      </w:r>
      <w:r>
        <w:rPr>
          <w:sz w:val="22"/>
        </w:rPr>
        <w:t>Example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the chromatograms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2"/>
          <w:sz w:val="22"/>
        </w:rPr>
        <w:t> </w:t>
      </w:r>
      <w:r>
        <w:rPr>
          <w:sz w:val="22"/>
        </w:rPr>
        <w:t>molecular</w:t>
      </w:r>
      <w:r>
        <w:rPr>
          <w:spacing w:val="-3"/>
          <w:sz w:val="22"/>
        </w:rPr>
        <w:t> </w:t>
      </w:r>
      <w:r>
        <w:rPr>
          <w:sz w:val="22"/>
        </w:rPr>
        <w:t>structures</w:t>
      </w:r>
      <w:r>
        <w:rPr>
          <w:spacing w:val="-3"/>
          <w:sz w:val="22"/>
        </w:rPr>
        <w:t> </w:t>
      </w:r>
      <w:r>
        <w:rPr>
          <w:sz w:val="22"/>
        </w:rPr>
        <w:t>of the</w:t>
      </w:r>
      <w:r>
        <w:rPr>
          <w:spacing w:val="-3"/>
          <w:sz w:val="22"/>
        </w:rPr>
        <w:t> </w:t>
      </w:r>
      <w:r>
        <w:rPr>
          <w:sz w:val="22"/>
        </w:rPr>
        <w:t>major</w:t>
      </w:r>
      <w:r>
        <w:rPr>
          <w:spacing w:val="-5"/>
          <w:sz w:val="22"/>
        </w:rPr>
        <w:t> </w:t>
      </w:r>
      <w:r>
        <w:rPr>
          <w:sz w:val="22"/>
        </w:rPr>
        <w:t>compounds detected</w:t>
      </w:r>
      <w:r>
        <w:rPr>
          <w:spacing w:val="-47"/>
          <w:sz w:val="22"/>
        </w:rPr>
        <w:t> </w:t>
      </w:r>
      <w:r>
        <w:rPr>
          <w:sz w:val="22"/>
        </w:rPr>
        <w:t>for</w:t>
      </w:r>
      <w:r>
        <w:rPr>
          <w:spacing w:val="-1"/>
          <w:sz w:val="22"/>
        </w:rPr>
        <w:t> </w:t>
      </w:r>
      <w:r>
        <w:rPr>
          <w:sz w:val="22"/>
        </w:rPr>
        <w:t>each</w:t>
      </w:r>
      <w:r>
        <w:rPr>
          <w:spacing w:val="-2"/>
          <w:sz w:val="22"/>
        </w:rPr>
        <w:t> </w:t>
      </w:r>
      <w:r>
        <w:rPr>
          <w:sz w:val="22"/>
        </w:rPr>
        <w:t>class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Ni metalloporphyrins.</w:t>
      </w:r>
    </w:p>
    <w:p>
      <w:pPr>
        <w:pStyle w:val="BodyText"/>
        <w:rPr>
          <w:sz w:val="22"/>
        </w:rPr>
      </w:pPr>
    </w:p>
    <w:p>
      <w:pPr>
        <w:pStyle w:val="BodyText"/>
        <w:spacing w:before="2"/>
        <w:rPr>
          <w:sz w:val="31"/>
        </w:rPr>
      </w:pPr>
    </w:p>
    <w:p>
      <w:pPr>
        <w:pStyle w:val="BodyText"/>
        <w:spacing w:line="480" w:lineRule="auto"/>
        <w:ind w:left="120" w:right="747"/>
      </w:pPr>
      <w:r>
        <w:rPr/>
        <w:t>For the depth profiles in figure 19 each of these compounds in the class were summed for the</w:t>
      </w:r>
      <w:r>
        <w:rPr>
          <w:spacing w:val="-52"/>
        </w:rPr>
        <w:t> </w:t>
      </w:r>
      <w:r>
        <w:rPr/>
        <w:t>total concentration. The vanadyl species each have similar profiles with peaks with similar</w:t>
      </w:r>
      <w:r>
        <w:rPr>
          <w:spacing w:val="1"/>
        </w:rPr>
        <w:t> </w:t>
      </w:r>
      <w:r>
        <w:rPr/>
        <w:t>retention times. They are low in the Lower Woodford Shale with a peak right before the</w:t>
      </w:r>
      <w:r>
        <w:rPr>
          <w:spacing w:val="1"/>
        </w:rPr>
        <w:t> </w:t>
      </w:r>
      <w:r>
        <w:rPr/>
        <w:t>Lower/Middle Woodford Shale boundary at 186.42 ft then decreasing and remaining low</w:t>
      </w:r>
      <w:r>
        <w:rPr>
          <w:spacing w:val="1"/>
        </w:rPr>
        <w:t> </w:t>
      </w:r>
      <w:r>
        <w:rPr/>
        <w:t>through</w:t>
      </w:r>
      <w:r>
        <w:rPr>
          <w:spacing w:val="-4"/>
        </w:rPr>
        <w:t> </w:t>
      </w:r>
      <w:r>
        <w:rPr/>
        <w:t>most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the Middle</w:t>
      </w:r>
      <w:r>
        <w:rPr>
          <w:spacing w:val="-2"/>
        </w:rPr>
        <w:t> </w:t>
      </w:r>
      <w:r>
        <w:rPr/>
        <w:t>Woodford</w:t>
      </w:r>
      <w:r>
        <w:rPr>
          <w:spacing w:val="-4"/>
        </w:rPr>
        <w:t> </w:t>
      </w:r>
      <w:r>
        <w:rPr/>
        <w:t>Shale</w:t>
      </w:r>
      <w:r>
        <w:rPr>
          <w:spacing w:val="-3"/>
        </w:rPr>
        <w:t> </w:t>
      </w:r>
      <w:r>
        <w:rPr/>
        <w:t>before</w:t>
      </w:r>
      <w:r>
        <w:rPr>
          <w:spacing w:val="-3"/>
        </w:rPr>
        <w:t> </w:t>
      </w:r>
      <w:r>
        <w:rPr/>
        <w:t>seeing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increase</w:t>
      </w:r>
      <w:r>
        <w:rPr>
          <w:spacing w:val="-2"/>
        </w:rPr>
        <w:t> </w:t>
      </w:r>
      <w:r>
        <w:rPr/>
        <w:t>at</w:t>
      </w:r>
      <w:r>
        <w:rPr>
          <w:spacing w:val="1"/>
        </w:rPr>
        <w:t> </w:t>
      </w:r>
      <w:r>
        <w:rPr/>
        <w:t>160.17</w:t>
      </w:r>
      <w:r>
        <w:rPr>
          <w:spacing w:val="-4"/>
        </w:rPr>
        <w:t> </w:t>
      </w:r>
      <w:r>
        <w:rPr/>
        <w:t>ft,</w:t>
      </w:r>
      <w:r>
        <w:rPr>
          <w:spacing w:val="-1"/>
        </w:rPr>
        <w:t> </w:t>
      </w:r>
      <w:r>
        <w:rPr/>
        <w:t>peaking</w:t>
      </w:r>
      <w:r>
        <w:rPr>
          <w:spacing w:val="-3"/>
        </w:rPr>
        <w:t> </w:t>
      </w:r>
      <w:r>
        <w:rPr/>
        <w:t>at</w:t>
      </w:r>
    </w:p>
    <w:p>
      <w:pPr>
        <w:spacing w:after="0" w:line="480" w:lineRule="auto"/>
        <w:sectPr>
          <w:footerReference w:type="default" r:id="rId38"/>
          <w:pgSz w:w="12240" w:h="15840"/>
          <w:pgMar w:footer="1014" w:header="0" w:top="1500" w:bottom="1200" w:left="1320" w:right="820"/>
        </w:sectPr>
      </w:pPr>
    </w:p>
    <w:p>
      <w:pPr>
        <w:pStyle w:val="BodyText"/>
        <w:spacing w:line="480" w:lineRule="auto" w:before="39"/>
        <w:ind w:left="120" w:right="720"/>
      </w:pPr>
      <w:r>
        <w:rPr/>
        <w:t>146.00 ft, and then returning to low concentrations at 130.00 ft. Then beginning in the Upper</w:t>
      </w:r>
      <w:r>
        <w:rPr>
          <w:spacing w:val="1"/>
        </w:rPr>
        <w:t> </w:t>
      </w:r>
      <w:r>
        <w:rPr/>
        <w:t>Woodford Shale their concentrations increase dramatically corresponding to the increased</w:t>
      </w:r>
      <w:r>
        <w:rPr>
          <w:spacing w:val="1"/>
        </w:rPr>
        <w:t> </w:t>
      </w:r>
      <w:r>
        <w:rPr/>
        <w:t>oxygenation</w:t>
      </w:r>
      <w:r>
        <w:rPr>
          <w:spacing w:val="2"/>
        </w:rPr>
        <w:t> </w:t>
      </w:r>
      <w:r>
        <w:rPr/>
        <w:t>seen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5"/>
        </w:rPr>
        <w:t> </w:t>
      </w:r>
      <w:r>
        <w:rPr/>
        <w:t>Upper</w:t>
      </w:r>
      <w:r>
        <w:rPr>
          <w:spacing w:val="-3"/>
        </w:rPr>
        <w:t> </w:t>
      </w:r>
      <w:r>
        <w:rPr/>
        <w:t>Woodford</w:t>
      </w:r>
      <w:r>
        <w:rPr>
          <w:spacing w:val="-2"/>
        </w:rPr>
        <w:t> </w:t>
      </w:r>
      <w:r>
        <w:rPr/>
        <w:t>Shale.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nickel</w:t>
      </w:r>
      <w:r>
        <w:rPr>
          <w:spacing w:val="1"/>
        </w:rPr>
        <w:t> </w:t>
      </w:r>
      <w:r>
        <w:rPr/>
        <w:t>species</w:t>
      </w:r>
      <w:r>
        <w:rPr>
          <w:spacing w:val="-3"/>
        </w:rPr>
        <w:t> </w:t>
      </w:r>
      <w:r>
        <w:rPr/>
        <w:t>also</w:t>
      </w:r>
      <w:r>
        <w:rPr>
          <w:spacing w:val="-3"/>
        </w:rPr>
        <w:t> </w:t>
      </w:r>
      <w:r>
        <w:rPr/>
        <w:t>have</w:t>
      </w:r>
      <w:r>
        <w:rPr>
          <w:spacing w:val="-1"/>
        </w:rPr>
        <w:t> </w:t>
      </w:r>
      <w:r>
        <w:rPr/>
        <w:t>very</w:t>
      </w:r>
      <w:r>
        <w:rPr>
          <w:spacing w:val="-2"/>
        </w:rPr>
        <w:t> </w:t>
      </w:r>
      <w:r>
        <w:rPr/>
        <w:t>similar</w:t>
      </w:r>
      <w:r>
        <w:rPr>
          <w:spacing w:val="-3"/>
        </w:rPr>
        <w:t> </w:t>
      </w:r>
      <w:r>
        <w:rPr/>
        <w:t>depth</w:t>
      </w:r>
      <w:r>
        <w:rPr>
          <w:spacing w:val="-52"/>
        </w:rPr>
        <w:t> </w:t>
      </w:r>
      <w:r>
        <w:rPr/>
        <w:t>profiles. They show low concentrations in the Lower Woodford Shale with a peak at 186.42 ft</w:t>
      </w:r>
      <w:r>
        <w:rPr>
          <w:spacing w:val="1"/>
        </w:rPr>
        <w:t> </w:t>
      </w:r>
      <w:r>
        <w:rPr/>
        <w:t>right before the Lower/Middle Woodford Shale boundary. In the Middle Woodford Shale they</w:t>
      </w:r>
      <w:r>
        <w:rPr>
          <w:spacing w:val="1"/>
        </w:rPr>
        <w:t> </w:t>
      </w:r>
      <w:r>
        <w:rPr/>
        <w:t>have</w:t>
      </w:r>
      <w:r>
        <w:rPr>
          <w:spacing w:val="-1"/>
        </w:rPr>
        <w:t> </w:t>
      </w:r>
      <w:r>
        <w:rPr/>
        <w:t>low</w:t>
      </w:r>
      <w:r>
        <w:rPr>
          <w:spacing w:val="-2"/>
        </w:rPr>
        <w:t> </w:t>
      </w:r>
      <w:r>
        <w:rPr/>
        <w:t>concentrations</w:t>
      </w:r>
      <w:r>
        <w:rPr>
          <w:spacing w:val="-3"/>
        </w:rPr>
        <w:t> </w:t>
      </w:r>
      <w:r>
        <w:rPr/>
        <w:t>until</w:t>
      </w:r>
      <w:r>
        <w:rPr>
          <w:spacing w:val="-2"/>
        </w:rPr>
        <w:t> </w:t>
      </w:r>
      <w:r>
        <w:rPr/>
        <w:t>at</w:t>
      </w:r>
      <w:r>
        <w:rPr>
          <w:spacing w:val="-2"/>
        </w:rPr>
        <w:t> </w:t>
      </w:r>
      <w:r>
        <w:rPr/>
        <w:t>153.58</w:t>
      </w:r>
      <w:r>
        <w:rPr>
          <w:spacing w:val="-3"/>
        </w:rPr>
        <w:t> </w:t>
      </w:r>
      <w:r>
        <w:rPr/>
        <w:t>ft</w:t>
      </w:r>
      <w:r>
        <w:rPr>
          <w:spacing w:val="2"/>
        </w:rPr>
        <w:t> </w:t>
      </w:r>
      <w:r>
        <w:rPr/>
        <w:t>they</w:t>
      </w:r>
      <w:r>
        <w:rPr>
          <w:spacing w:val="-3"/>
        </w:rPr>
        <w:t> </w:t>
      </w:r>
      <w:r>
        <w:rPr/>
        <w:t>begin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increase</w:t>
      </w:r>
      <w:r>
        <w:rPr>
          <w:spacing w:val="2"/>
        </w:rPr>
        <w:t> </w:t>
      </w:r>
      <w:r>
        <w:rPr/>
        <w:t>in</w:t>
      </w:r>
      <w:r>
        <w:rPr>
          <w:spacing w:val="-2"/>
        </w:rPr>
        <w:t> </w:t>
      </w:r>
      <w:r>
        <w:rPr/>
        <w:t>concentration</w:t>
      </w:r>
      <w:r>
        <w:rPr>
          <w:spacing w:val="-3"/>
        </w:rPr>
        <w:t> </w:t>
      </w:r>
      <w:r>
        <w:rPr/>
        <w:t>peaking</w:t>
      </w:r>
      <w:r>
        <w:rPr>
          <w:spacing w:val="-4"/>
        </w:rPr>
        <w:t> </w:t>
      </w:r>
      <w:r>
        <w:rPr/>
        <w:t>at</w:t>
      </w:r>
    </w:p>
    <w:p>
      <w:pPr>
        <w:pStyle w:val="BodyText"/>
        <w:spacing w:line="480" w:lineRule="auto" w:before="1"/>
        <w:ind w:left="120" w:right="660"/>
      </w:pPr>
      <w:r>
        <w:rPr/>
        <w:t>147.08 ft then dropping to low concentrations again at 131.75 ft. In the Upper Woodford Shale</w:t>
      </w:r>
      <w:r>
        <w:rPr>
          <w:spacing w:val="-52"/>
        </w:rPr>
        <w:t> </w:t>
      </w:r>
      <w:r>
        <w:rPr/>
        <w:t>they increase dramatically much like the VO compounds but after the VO peak at 91.50 ft and</w:t>
      </w:r>
      <w:r>
        <w:rPr>
          <w:spacing w:val="1"/>
        </w:rPr>
        <w:t> </w:t>
      </w:r>
      <w:r>
        <w:rPr/>
        <w:t>its subsequent drop off in concentration the Ni compounds continue to increase with their</w:t>
      </w:r>
      <w:r>
        <w:rPr>
          <w:spacing w:val="1"/>
        </w:rPr>
        <w:t> </w:t>
      </w:r>
      <w:r>
        <w:rPr/>
        <w:t>overall peak concentrations at 78.00 ft. In the Middle Woodford Shale their increase in</w:t>
      </w:r>
      <w:r>
        <w:rPr>
          <w:spacing w:val="1"/>
        </w:rPr>
        <w:t> </w:t>
      </w:r>
      <w:r>
        <w:rPr/>
        <w:t>concentration corresponds to the peak and subsequent decrease in concentration of the</w:t>
      </w:r>
      <w:r>
        <w:rPr>
          <w:spacing w:val="1"/>
        </w:rPr>
        <w:t> </w:t>
      </w:r>
      <w:r>
        <w:rPr/>
        <w:t>aromatic</w:t>
      </w:r>
      <w:r>
        <w:rPr>
          <w:spacing w:val="-2"/>
        </w:rPr>
        <w:t> </w:t>
      </w:r>
      <w:r>
        <w:rPr/>
        <w:t>carotenoids.</w:t>
      </w:r>
      <w:r>
        <w:rPr>
          <w:spacing w:val="-3"/>
        </w:rPr>
        <w:t> </w:t>
      </w:r>
      <w:r>
        <w:rPr/>
        <w:t>This</w:t>
      </w:r>
      <w:r>
        <w:rPr>
          <w:spacing w:val="-2"/>
        </w:rPr>
        <w:t> </w:t>
      </w:r>
      <w:r>
        <w:rPr/>
        <w:t>means</w:t>
      </w:r>
      <w:r>
        <w:rPr>
          <w:spacing w:val="-3"/>
        </w:rPr>
        <w:t> </w:t>
      </w:r>
      <w:r>
        <w:rPr/>
        <w:t>they</w:t>
      </w:r>
      <w:r>
        <w:rPr>
          <w:spacing w:val="-2"/>
        </w:rPr>
        <w:t> </w:t>
      </w:r>
      <w:r>
        <w:rPr/>
        <w:t>also</w:t>
      </w:r>
      <w:r>
        <w:rPr>
          <w:spacing w:val="-2"/>
        </w:rPr>
        <w:t> </w:t>
      </w:r>
      <w:r>
        <w:rPr/>
        <w:t>correspond</w:t>
      </w:r>
      <w:r>
        <w:rPr>
          <w:spacing w:val="-3"/>
        </w:rPr>
        <w:t> </w:t>
      </w:r>
      <w:r>
        <w:rPr/>
        <w:t>to</w:t>
      </w:r>
      <w:r>
        <w:rPr>
          <w:spacing w:val="1"/>
        </w:rPr>
        <w:t> </w:t>
      </w:r>
      <w:r>
        <w:rPr/>
        <w:t>a</w:t>
      </w:r>
      <w:r>
        <w:rPr>
          <w:spacing w:val="-4"/>
        </w:rPr>
        <w:t> </w:t>
      </w:r>
      <w:r>
        <w:rPr/>
        <w:t>general</w:t>
      </w:r>
      <w:r>
        <w:rPr>
          <w:spacing w:val="-2"/>
        </w:rPr>
        <w:t> </w:t>
      </w:r>
      <w:r>
        <w:rPr/>
        <w:t>transgression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lithology</w:t>
      </w:r>
      <w:r>
        <w:rPr>
          <w:spacing w:val="-51"/>
        </w:rPr>
        <w:t> </w:t>
      </w:r>
      <w:r>
        <w:rPr/>
        <w:t>change</w:t>
      </w:r>
      <w:r>
        <w:rPr>
          <w:spacing w:val="-2"/>
        </w:rPr>
        <w:t> </w:t>
      </w:r>
      <w:r>
        <w:rPr/>
        <w:t>seen</w:t>
      </w:r>
      <w:r>
        <w:rPr>
          <w:spacing w:val="-2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core.</w:t>
      </w:r>
    </w:p>
    <w:p>
      <w:pPr>
        <w:spacing w:after="0" w:line="480" w:lineRule="auto"/>
        <w:sectPr>
          <w:footerReference w:type="default" r:id="rId40"/>
          <w:pgSz w:w="12240" w:h="15840"/>
          <w:pgMar w:footer="1014" w:header="0" w:top="1400" w:bottom="1200" w:left="1320" w:right="820"/>
          <w:pgNumType w:start="1"/>
        </w:sectPr>
      </w:pPr>
    </w:p>
    <w:p>
      <w:pPr>
        <w:pStyle w:val="BodyText"/>
        <w:ind w:left="115"/>
        <w:rPr>
          <w:sz w:val="20"/>
        </w:rPr>
      </w:pPr>
      <w:r>
        <w:rPr>
          <w:sz w:val="20"/>
        </w:rPr>
        <w:drawing>
          <wp:inline distT="0" distB="0" distL="0" distR="0">
            <wp:extent cx="5957519" cy="4642104"/>
            <wp:effectExtent l="0" t="0" r="0" b="0"/>
            <wp:docPr id="37" name="image1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19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7519" cy="4642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spacing w:before="193"/>
        <w:ind w:left="120" w:right="660" w:firstLine="0"/>
        <w:jc w:val="left"/>
        <w:rPr>
          <w:sz w:val="22"/>
        </w:rPr>
      </w:pPr>
      <w:r>
        <w:rPr>
          <w:sz w:val="22"/>
        </w:rPr>
        <w:t>Figure</w:t>
      </w:r>
      <w:r>
        <w:rPr>
          <w:spacing w:val="-1"/>
          <w:sz w:val="22"/>
        </w:rPr>
        <w:t> </w:t>
      </w:r>
      <w:r>
        <w:rPr>
          <w:sz w:val="22"/>
        </w:rPr>
        <w:t>19.</w:t>
      </w:r>
      <w:r>
        <w:rPr>
          <w:spacing w:val="-3"/>
          <w:sz w:val="22"/>
        </w:rPr>
        <w:t> </w:t>
      </w:r>
      <w:r>
        <w:rPr>
          <w:sz w:val="22"/>
        </w:rPr>
        <w:t>Depth</w:t>
      </w:r>
      <w:r>
        <w:rPr>
          <w:spacing w:val="-1"/>
          <w:sz w:val="22"/>
        </w:rPr>
        <w:t> </w:t>
      </w:r>
      <w:r>
        <w:rPr>
          <w:sz w:val="22"/>
        </w:rPr>
        <w:t>profile</w:t>
      </w:r>
      <w:r>
        <w:rPr>
          <w:spacing w:val="-1"/>
          <w:sz w:val="22"/>
        </w:rPr>
        <w:t> </w:t>
      </w:r>
      <w:r>
        <w:rPr>
          <w:sz w:val="22"/>
        </w:rPr>
        <w:t>of</w:t>
      </w:r>
      <w:r>
        <w:rPr>
          <w:spacing w:val="-6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metalloporphyrins.</w:t>
      </w:r>
      <w:r>
        <w:rPr>
          <w:spacing w:val="-1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line</w:t>
      </w:r>
      <w:r>
        <w:rPr>
          <w:spacing w:val="-1"/>
          <w:sz w:val="22"/>
        </w:rPr>
        <w:t> </w:t>
      </w:r>
      <w:r>
        <w:rPr>
          <w:sz w:val="22"/>
        </w:rPr>
        <w:t>at</w:t>
      </w:r>
      <w:r>
        <w:rPr>
          <w:spacing w:val="-3"/>
          <w:sz w:val="22"/>
        </w:rPr>
        <w:t> </w:t>
      </w:r>
      <w:r>
        <w:rPr>
          <w:sz w:val="22"/>
        </w:rPr>
        <w:t>118ft</w:t>
      </w:r>
      <w:r>
        <w:rPr>
          <w:spacing w:val="-1"/>
          <w:sz w:val="22"/>
        </w:rPr>
        <w:t> </w:t>
      </w:r>
      <w:r>
        <w:rPr>
          <w:sz w:val="22"/>
        </w:rPr>
        <w:t>divides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Upper</w:t>
      </w:r>
      <w:r>
        <w:rPr>
          <w:spacing w:val="-1"/>
          <w:sz w:val="22"/>
        </w:rPr>
        <w:t> </w:t>
      </w:r>
      <w:r>
        <w:rPr>
          <w:sz w:val="22"/>
        </w:rPr>
        <w:t>Woodford</w:t>
      </w:r>
      <w:r>
        <w:rPr>
          <w:spacing w:val="-3"/>
          <w:sz w:val="22"/>
        </w:rPr>
        <w:t> </w:t>
      </w:r>
      <w:r>
        <w:rPr>
          <w:sz w:val="22"/>
        </w:rPr>
        <w:t>Shale</w:t>
      </w:r>
      <w:r>
        <w:rPr>
          <w:spacing w:val="-46"/>
          <w:sz w:val="22"/>
        </w:rPr>
        <w:t> </w:t>
      </w:r>
      <w:r>
        <w:rPr>
          <w:sz w:val="22"/>
        </w:rPr>
        <w:t>and the Middle Woodford Shale, the line at 185ft divides the Middle Woodford Shale and the Lower</w:t>
      </w:r>
      <w:r>
        <w:rPr>
          <w:spacing w:val="1"/>
          <w:sz w:val="22"/>
        </w:rPr>
        <w:t> </w:t>
      </w:r>
      <w:r>
        <w:rPr>
          <w:sz w:val="22"/>
        </w:rPr>
        <w:t>Woodford</w:t>
      </w:r>
      <w:r>
        <w:rPr>
          <w:spacing w:val="-1"/>
          <w:sz w:val="22"/>
        </w:rPr>
        <w:t> </w:t>
      </w:r>
      <w:r>
        <w:rPr>
          <w:sz w:val="22"/>
        </w:rPr>
        <w:t>Shale.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ListParagraph"/>
        <w:numPr>
          <w:ilvl w:val="1"/>
          <w:numId w:val="5"/>
        </w:numPr>
        <w:tabs>
          <w:tab w:pos="478" w:val="left" w:leader="none"/>
        </w:tabs>
        <w:spacing w:line="240" w:lineRule="auto" w:before="141" w:after="0"/>
        <w:ind w:left="477" w:right="0" w:hanging="358"/>
        <w:jc w:val="left"/>
        <w:rPr>
          <w:i/>
          <w:sz w:val="24"/>
        </w:rPr>
      </w:pPr>
      <w:r>
        <w:rPr>
          <w:i/>
          <w:sz w:val="24"/>
        </w:rPr>
        <w:t>MTTC</w:t>
      </w:r>
    </w:p>
    <w:p>
      <w:pPr>
        <w:pStyle w:val="BodyText"/>
        <w:rPr>
          <w:i/>
        </w:rPr>
      </w:pPr>
    </w:p>
    <w:p>
      <w:pPr>
        <w:pStyle w:val="BodyText"/>
        <w:spacing w:before="161"/>
        <w:ind w:left="840"/>
      </w:pPr>
      <w:r>
        <w:rPr/>
        <w:t>The MTTCs</w:t>
      </w:r>
      <w:r>
        <w:rPr>
          <w:spacing w:val="-1"/>
        </w:rPr>
        <w:t> </w:t>
      </w:r>
      <w:r>
        <w:rPr/>
        <w:t>analyzed</w:t>
      </w:r>
      <w:r>
        <w:rPr>
          <w:spacing w:val="-2"/>
        </w:rPr>
        <w:t> </w:t>
      </w:r>
      <w:r>
        <w:rPr/>
        <w:t>were</w:t>
      </w:r>
      <w:r>
        <w:rPr>
          <w:spacing w:val="-2"/>
        </w:rPr>
        <w:t> </w:t>
      </w:r>
      <w:r>
        <w:rPr/>
        <w:t>β-MTTC,</w:t>
      </w:r>
      <w:r>
        <w:rPr>
          <w:spacing w:val="-3"/>
        </w:rPr>
        <w:t> </w:t>
      </w:r>
      <w:r>
        <w:rPr/>
        <w:t>γ-MTTC,</w:t>
      </w:r>
      <w:r>
        <w:rPr>
          <w:spacing w:val="-2"/>
        </w:rPr>
        <w:t> </w:t>
      </w:r>
      <w:r>
        <w:rPr/>
        <w:t>ζ-MTTC,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α-MTTC</w:t>
      </w:r>
      <w:r>
        <w:rPr>
          <w:spacing w:val="-4"/>
        </w:rPr>
        <w:t> </w:t>
      </w:r>
      <w:r>
        <w:rPr/>
        <w:t>(Appendix</w:t>
      </w:r>
      <w:r>
        <w:rPr>
          <w:spacing w:val="-2"/>
        </w:rPr>
        <w:t> </w:t>
      </w:r>
      <w:r>
        <w:rPr/>
        <w:t>I:</w:t>
      </w:r>
      <w:r>
        <w:rPr>
          <w:spacing w:val="10"/>
        </w:rPr>
        <w:t> </w:t>
      </w:r>
      <w:r>
        <w:rPr>
          <w:b/>
        </w:rPr>
        <w:t>XIII-XVI</w:t>
      </w:r>
      <w:r>
        <w:rPr/>
        <w:t>).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spacing w:before="1"/>
        <w:ind w:left="120"/>
      </w:pPr>
      <w:r>
        <w:rPr/>
        <w:t>The chromatograms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structures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these</w:t>
      </w:r>
      <w:r>
        <w:rPr>
          <w:spacing w:val="-2"/>
        </w:rPr>
        <w:t> </w:t>
      </w:r>
      <w:r>
        <w:rPr/>
        <w:t>compounds</w:t>
      </w:r>
      <w:r>
        <w:rPr>
          <w:spacing w:val="1"/>
        </w:rPr>
        <w:t> </w:t>
      </w:r>
      <w:r>
        <w:rPr/>
        <w:t>are</w:t>
      </w:r>
      <w:r>
        <w:rPr>
          <w:spacing w:val="-3"/>
        </w:rPr>
        <w:t> </w:t>
      </w:r>
      <w:r>
        <w:rPr/>
        <w:t>shown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figure</w:t>
      </w:r>
      <w:r>
        <w:rPr>
          <w:spacing w:val="2"/>
        </w:rPr>
        <w:t> </w:t>
      </w:r>
      <w:r>
        <w:rPr/>
        <w:t>20.</w:t>
      </w:r>
    </w:p>
    <w:p>
      <w:pPr>
        <w:spacing w:after="0"/>
        <w:sectPr>
          <w:pgSz w:w="12240" w:h="15840"/>
          <w:pgMar w:header="0" w:footer="1014" w:top="1440" w:bottom="1200" w:left="1320" w:right="820"/>
        </w:sectPr>
      </w:pPr>
    </w:p>
    <w:p>
      <w:pPr>
        <w:pStyle w:val="BodyText"/>
        <w:ind w:left="912"/>
        <w:rPr>
          <w:sz w:val="20"/>
        </w:rPr>
      </w:pPr>
      <w:r>
        <w:rPr>
          <w:sz w:val="20"/>
        </w:rPr>
        <w:drawing>
          <wp:inline distT="0" distB="0" distL="0" distR="0">
            <wp:extent cx="4937293" cy="5346192"/>
            <wp:effectExtent l="0" t="0" r="0" b="0"/>
            <wp:docPr id="39" name="image2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20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7293" cy="5346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"/>
        <w:rPr>
          <w:sz w:val="7"/>
        </w:rPr>
      </w:pPr>
    </w:p>
    <w:p>
      <w:pPr>
        <w:spacing w:before="56"/>
        <w:ind w:left="120" w:right="660" w:firstLine="0"/>
        <w:jc w:val="left"/>
        <w:rPr>
          <w:sz w:val="22"/>
        </w:rPr>
      </w:pPr>
      <w:r>
        <w:rPr>
          <w:sz w:val="22"/>
        </w:rPr>
        <w:t>Figure 20. Chromatograms and molecular structures of the MTTCs and of TMPBQ. The first</w:t>
      </w:r>
      <w:r>
        <w:rPr>
          <w:spacing w:val="1"/>
          <w:sz w:val="22"/>
        </w:rPr>
        <w:t> </w:t>
      </w:r>
      <w:r>
        <w:rPr>
          <w:sz w:val="22"/>
        </w:rPr>
        <w:t>chromatogram shows the demethylated MTTCs, there are three peaks but without a proper standard</w:t>
      </w:r>
      <w:r>
        <w:rPr>
          <w:spacing w:val="1"/>
          <w:sz w:val="22"/>
        </w:rPr>
        <w:t> </w:t>
      </w:r>
      <w:r>
        <w:rPr>
          <w:sz w:val="22"/>
        </w:rPr>
        <w:t>individual peaks for each isomer can not be determined. The second chromatogram shows the</w:t>
      </w:r>
      <w:r>
        <w:rPr>
          <w:spacing w:val="1"/>
          <w:sz w:val="22"/>
        </w:rPr>
        <w:t> </w:t>
      </w:r>
      <w:r>
        <w:rPr>
          <w:sz w:val="22"/>
        </w:rPr>
        <w:t>trimethylated</w:t>
      </w:r>
      <w:r>
        <w:rPr>
          <w:spacing w:val="-3"/>
          <w:sz w:val="22"/>
        </w:rPr>
        <w:t> </w:t>
      </w:r>
      <w:r>
        <w:rPr>
          <w:sz w:val="22"/>
        </w:rPr>
        <w:t>MTTC.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third</w:t>
      </w:r>
      <w:r>
        <w:rPr>
          <w:spacing w:val="-3"/>
          <w:sz w:val="22"/>
        </w:rPr>
        <w:t> </w:t>
      </w:r>
      <w:r>
        <w:rPr>
          <w:sz w:val="22"/>
        </w:rPr>
        <w:t>chromatogram</w:t>
      </w:r>
      <w:r>
        <w:rPr>
          <w:spacing w:val="-2"/>
          <w:sz w:val="22"/>
        </w:rPr>
        <w:t> </w:t>
      </w:r>
      <w:r>
        <w:rPr>
          <w:sz w:val="22"/>
        </w:rPr>
        <w:t>shows</w:t>
      </w:r>
      <w:r>
        <w:rPr>
          <w:spacing w:val="-2"/>
          <w:sz w:val="22"/>
        </w:rPr>
        <w:t> </w:t>
      </w:r>
      <w:r>
        <w:rPr>
          <w:sz w:val="22"/>
        </w:rPr>
        <w:t>TMPBQ</w:t>
      </w:r>
      <w:r>
        <w:rPr>
          <w:spacing w:val="-2"/>
          <w:sz w:val="22"/>
        </w:rPr>
        <w:t> </w:t>
      </w:r>
      <w:r>
        <w:rPr>
          <w:sz w:val="22"/>
        </w:rPr>
        <w:t>with</w:t>
      </w:r>
      <w:r>
        <w:rPr>
          <w:spacing w:val="-4"/>
          <w:sz w:val="22"/>
        </w:rPr>
        <w:t> </w:t>
      </w:r>
      <w:r>
        <w:rPr>
          <w:sz w:val="22"/>
        </w:rPr>
        <w:t>each</w:t>
      </w:r>
      <w:r>
        <w:rPr>
          <w:spacing w:val="-3"/>
          <w:sz w:val="22"/>
        </w:rPr>
        <w:t> </w:t>
      </w:r>
      <w:r>
        <w:rPr>
          <w:sz w:val="22"/>
        </w:rPr>
        <w:t>of the</w:t>
      </w:r>
      <w:r>
        <w:rPr>
          <w:spacing w:val="-3"/>
          <w:sz w:val="22"/>
        </w:rPr>
        <w:t> </w:t>
      </w:r>
      <w:r>
        <w:rPr>
          <w:sz w:val="22"/>
        </w:rPr>
        <w:t>isomer peaks</w:t>
      </w:r>
      <w:r>
        <w:rPr>
          <w:spacing w:val="2"/>
          <w:sz w:val="22"/>
        </w:rPr>
        <w:t> </w:t>
      </w:r>
      <w:r>
        <w:rPr>
          <w:sz w:val="22"/>
        </w:rPr>
        <w:t>identified</w:t>
      </w:r>
      <w:r>
        <w:rPr>
          <w:spacing w:val="-2"/>
          <w:sz w:val="22"/>
        </w:rPr>
        <w:t> </w:t>
      </w:r>
      <w:r>
        <w:rPr>
          <w:sz w:val="22"/>
        </w:rPr>
        <w:t>as</w:t>
      </w:r>
      <w:r>
        <w:rPr>
          <w:spacing w:val="-47"/>
          <w:sz w:val="22"/>
        </w:rPr>
        <w:t> </w:t>
      </w:r>
      <w:r>
        <w:rPr>
          <w:sz w:val="22"/>
        </w:rPr>
        <w:t>1, 2, and 3.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1"/>
        <w:rPr>
          <w:sz w:val="32"/>
        </w:rPr>
      </w:pPr>
    </w:p>
    <w:p>
      <w:pPr>
        <w:pStyle w:val="BodyText"/>
        <w:spacing w:line="480" w:lineRule="auto"/>
        <w:ind w:left="120" w:right="694"/>
      </w:pPr>
      <w:r>
        <w:rPr/>
        <w:t>It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widely</w:t>
      </w:r>
      <w:r>
        <w:rPr>
          <w:spacing w:val="-3"/>
        </w:rPr>
        <w:t> </w:t>
      </w:r>
      <w:r>
        <w:rPr/>
        <w:t>thought</w:t>
      </w:r>
      <w:r>
        <w:rPr>
          <w:spacing w:val="-2"/>
        </w:rPr>
        <w:t> </w:t>
      </w:r>
      <w:r>
        <w:rPr/>
        <w:t>that</w:t>
      </w:r>
      <w:r>
        <w:rPr>
          <w:spacing w:val="-3"/>
        </w:rPr>
        <w:t> </w:t>
      </w:r>
      <w:r>
        <w:rPr/>
        <w:t>MTTCs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biosynthetic</w:t>
      </w:r>
      <w:r>
        <w:rPr>
          <w:spacing w:val="-3"/>
        </w:rPr>
        <w:t> </w:t>
      </w:r>
      <w:r>
        <w:rPr/>
        <w:t>in</w:t>
      </w:r>
      <w:r>
        <w:rPr>
          <w:spacing w:val="2"/>
        </w:rPr>
        <w:t> </w:t>
      </w:r>
      <w:r>
        <w:rPr/>
        <w:t>origin</w:t>
      </w:r>
      <w:r>
        <w:rPr>
          <w:spacing w:val="-3"/>
        </w:rPr>
        <w:t> </w:t>
      </w:r>
      <w:r>
        <w:rPr/>
        <w:t>being</w:t>
      </w:r>
      <w:r>
        <w:rPr>
          <w:spacing w:val="-4"/>
        </w:rPr>
        <w:t> </w:t>
      </w:r>
      <w:r>
        <w:rPr/>
        <w:t>produced</w:t>
      </w:r>
      <w:r>
        <w:rPr>
          <w:spacing w:val="-2"/>
        </w:rPr>
        <w:t> </w:t>
      </w:r>
      <w:r>
        <w:rPr/>
        <w:t>by a</w:t>
      </w:r>
      <w:r>
        <w:rPr>
          <w:spacing w:val="-2"/>
        </w:rPr>
        <w:t> </w:t>
      </w:r>
      <w:r>
        <w:rPr/>
        <w:t>yet</w:t>
      </w:r>
      <w:r>
        <w:rPr>
          <w:spacing w:val="-3"/>
        </w:rPr>
        <w:t> </w:t>
      </w:r>
      <w:r>
        <w:rPr/>
        <w:t>unidentified</w:t>
      </w:r>
      <w:r>
        <w:rPr>
          <w:spacing w:val="-51"/>
        </w:rPr>
        <w:t> </w:t>
      </w:r>
      <w:r>
        <w:rPr/>
        <w:t>photosynthetic organisms living in PZE portions of the water column not but in the upper or</w:t>
      </w:r>
      <w:r>
        <w:rPr>
          <w:spacing w:val="1"/>
        </w:rPr>
        <w:t> </w:t>
      </w:r>
      <w:r>
        <w:rPr/>
        <w:t>bottom</w:t>
      </w:r>
      <w:r>
        <w:rPr>
          <w:spacing w:val="-1"/>
        </w:rPr>
        <w:t> </w:t>
      </w:r>
      <w:r>
        <w:rPr/>
        <w:t>portions</w:t>
      </w:r>
      <w:r>
        <w:rPr>
          <w:spacing w:val="1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5"/>
        </w:rPr>
        <w:t> </w:t>
      </w:r>
      <w:r>
        <w:rPr/>
        <w:t>water</w:t>
      </w:r>
      <w:r>
        <w:rPr>
          <w:spacing w:val="-4"/>
        </w:rPr>
        <w:t> </w:t>
      </w:r>
      <w:r>
        <w:rPr/>
        <w:t>column</w:t>
      </w:r>
      <w:r>
        <w:rPr>
          <w:spacing w:val="-2"/>
        </w:rPr>
        <w:t> </w:t>
      </w:r>
      <w:r>
        <w:rPr/>
        <w:t>(Figure</w:t>
      </w:r>
      <w:r>
        <w:rPr>
          <w:spacing w:val="-3"/>
        </w:rPr>
        <w:t> </w:t>
      </w:r>
      <w:r>
        <w:rPr/>
        <w:t>20)</w:t>
      </w:r>
      <w:r>
        <w:rPr>
          <w:spacing w:val="-5"/>
        </w:rPr>
        <w:t> </w:t>
      </w:r>
      <w:r>
        <w:rPr/>
        <w:t>(Sinninghe</w:t>
      </w:r>
      <w:r>
        <w:rPr>
          <w:spacing w:val="-2"/>
        </w:rPr>
        <w:t> </w:t>
      </w:r>
      <w:r>
        <w:rPr/>
        <w:t>Damste et</w:t>
      </w:r>
      <w:r>
        <w:rPr>
          <w:spacing w:val="-3"/>
        </w:rPr>
        <w:t> </w:t>
      </w:r>
      <w:r>
        <w:rPr/>
        <w:t>al.,</w:t>
      </w:r>
      <w:r>
        <w:rPr>
          <w:spacing w:val="-2"/>
        </w:rPr>
        <w:t> </w:t>
      </w:r>
      <w:r>
        <w:rPr/>
        <w:t>1987,</w:t>
      </w:r>
      <w:r>
        <w:rPr>
          <w:spacing w:val="-2"/>
        </w:rPr>
        <w:t> </w:t>
      </w:r>
      <w:r>
        <w:rPr/>
        <w:t>1993;</w:t>
      </w:r>
      <w:r>
        <w:rPr>
          <w:spacing w:val="-2"/>
        </w:rPr>
        <w:t> </w:t>
      </w:r>
      <w:r>
        <w:rPr/>
        <w:t>Shanfa</w:t>
      </w:r>
      <w:r>
        <w:rPr>
          <w:spacing w:val="-51"/>
        </w:rPr>
        <w:t> </w:t>
      </w:r>
      <w:r>
        <w:rPr/>
        <w:t>et</w:t>
      </w:r>
      <w:r>
        <w:rPr>
          <w:spacing w:val="2"/>
        </w:rPr>
        <w:t> </w:t>
      </w:r>
      <w:r>
        <w:rPr/>
        <w:t>al.,</w:t>
      </w:r>
      <w:r>
        <w:rPr>
          <w:spacing w:val="-2"/>
        </w:rPr>
        <w:t> </w:t>
      </w:r>
      <w:r>
        <w:rPr/>
        <w:t>1989;</w:t>
      </w:r>
      <w:r>
        <w:rPr>
          <w:spacing w:val="-2"/>
        </w:rPr>
        <w:t> </w:t>
      </w:r>
      <w:r>
        <w:rPr/>
        <w:t>Dutta</w:t>
      </w:r>
      <w:r>
        <w:rPr>
          <w:spacing w:val="-3"/>
        </w:rPr>
        <w:t> </w:t>
      </w:r>
      <w:r>
        <w:rPr/>
        <w:t>et</w:t>
      </w:r>
      <w:r>
        <w:rPr>
          <w:spacing w:val="3"/>
        </w:rPr>
        <w:t> </w:t>
      </w:r>
      <w:r>
        <w:rPr/>
        <w:t>al.,</w:t>
      </w:r>
      <w:r>
        <w:rPr>
          <w:spacing w:val="-3"/>
        </w:rPr>
        <w:t> </w:t>
      </w:r>
      <w:r>
        <w:rPr/>
        <w:t>2013;</w:t>
      </w:r>
      <w:r>
        <w:rPr>
          <w:spacing w:val="-2"/>
        </w:rPr>
        <w:t> </w:t>
      </w:r>
      <w:r>
        <w:rPr/>
        <w:t>Jiang</w:t>
      </w:r>
      <w:r>
        <w:rPr>
          <w:spacing w:val="-1"/>
        </w:rPr>
        <w:t> </w:t>
      </w:r>
      <w:r>
        <w:rPr/>
        <w:t>et</w:t>
      </w:r>
      <w:r>
        <w:rPr>
          <w:spacing w:val="-1"/>
        </w:rPr>
        <w:t> </w:t>
      </w:r>
      <w:r>
        <w:rPr/>
        <w:t>al.,</w:t>
      </w:r>
      <w:r>
        <w:rPr>
          <w:spacing w:val="-2"/>
        </w:rPr>
        <w:t> </w:t>
      </w:r>
      <w:r>
        <w:rPr/>
        <w:t>2018,</w:t>
      </w:r>
      <w:r>
        <w:rPr>
          <w:spacing w:val="-1"/>
        </w:rPr>
        <w:t> </w:t>
      </w:r>
      <w:r>
        <w:rPr/>
        <w:t>2019). The</w:t>
      </w:r>
      <w:r>
        <w:rPr>
          <w:spacing w:val="-2"/>
        </w:rPr>
        <w:t> </w:t>
      </w:r>
      <w:r>
        <w:rPr/>
        <w:t>α-MTTC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trimethyl</w:t>
      </w:r>
      <w:r>
        <w:rPr>
          <w:spacing w:val="-3"/>
        </w:rPr>
        <w:t> </w:t>
      </w:r>
      <w:r>
        <w:rPr/>
        <w:t>MTTC</w:t>
      </w:r>
    </w:p>
    <w:p>
      <w:pPr>
        <w:spacing w:after="0" w:line="480" w:lineRule="auto"/>
        <w:sectPr>
          <w:pgSz w:w="12240" w:h="15840"/>
          <w:pgMar w:header="0" w:footer="1014" w:top="1440" w:bottom="1200" w:left="1320" w:right="820"/>
        </w:sectPr>
      </w:pPr>
    </w:p>
    <w:p>
      <w:pPr>
        <w:pStyle w:val="BodyText"/>
        <w:spacing w:line="480" w:lineRule="auto" w:before="39"/>
        <w:ind w:left="120" w:right="660"/>
      </w:pPr>
      <w:r>
        <w:rPr/>
        <w:t>compound. The β, γ, and ζ MTTCs are isomers of the dimethyl MTTC. In the samples tested δ-</w:t>
      </w:r>
      <w:r>
        <w:rPr>
          <w:spacing w:val="1"/>
        </w:rPr>
        <w:t> </w:t>
      </w:r>
      <w:r>
        <w:rPr/>
        <w:t>MTTC, the monomethyl MTTC, was not detected and therefore not discussed in this study. In</w:t>
      </w:r>
      <w:r>
        <w:rPr>
          <w:spacing w:val="1"/>
        </w:rPr>
        <w:t> </w:t>
      </w:r>
      <w:r>
        <w:rPr/>
        <w:t>the Lower Woodford Shale the MTTCs are low in concentration with some limited variability.</w:t>
      </w:r>
      <w:r>
        <w:rPr>
          <w:spacing w:val="1"/>
        </w:rPr>
        <w:t> </w:t>
      </w:r>
      <w:r>
        <w:rPr/>
        <w:t>They</w:t>
      </w:r>
      <w:r>
        <w:rPr>
          <w:spacing w:val="-2"/>
        </w:rPr>
        <w:t> </w:t>
      </w:r>
      <w:r>
        <w:rPr/>
        <w:t>remain</w:t>
      </w:r>
      <w:r>
        <w:rPr>
          <w:spacing w:val="-2"/>
        </w:rPr>
        <w:t> </w:t>
      </w:r>
      <w:r>
        <w:rPr/>
        <w:t>low</w:t>
      </w:r>
      <w:r>
        <w:rPr>
          <w:spacing w:val="-2"/>
        </w:rPr>
        <w:t> </w:t>
      </w:r>
      <w:r>
        <w:rPr/>
        <w:t>into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lower</w:t>
      </w:r>
      <w:r>
        <w:rPr>
          <w:spacing w:val="-2"/>
        </w:rPr>
        <w:t> </w:t>
      </w:r>
      <w:r>
        <w:rPr/>
        <w:t>Middle</w:t>
      </w:r>
      <w:r>
        <w:rPr>
          <w:spacing w:val="-2"/>
        </w:rPr>
        <w:t> </w:t>
      </w:r>
      <w:r>
        <w:rPr/>
        <w:t>Woodford</w:t>
      </w:r>
      <w:r>
        <w:rPr>
          <w:spacing w:val="-3"/>
        </w:rPr>
        <w:t> </w:t>
      </w:r>
      <w:r>
        <w:rPr/>
        <w:t>Shale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begin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increase</w:t>
      </w:r>
      <w:r>
        <w:rPr>
          <w:spacing w:val="-1"/>
        </w:rPr>
        <w:t> </w:t>
      </w:r>
      <w:r>
        <w:rPr/>
        <w:t>in</w:t>
      </w:r>
      <w:r>
        <w:rPr>
          <w:spacing w:val="-3"/>
        </w:rPr>
        <w:t> </w:t>
      </w:r>
      <w:r>
        <w:rPr/>
        <w:t>concentration</w:t>
      </w:r>
      <w:r>
        <w:rPr>
          <w:spacing w:val="-51"/>
        </w:rPr>
        <w:t> </w:t>
      </w:r>
      <w:r>
        <w:rPr/>
        <w:t>at about 172.42 ft. This rise in concentration continues through the Middle Woodford Shale</w:t>
      </w:r>
      <w:r>
        <w:rPr>
          <w:spacing w:val="1"/>
        </w:rPr>
        <w:t> </w:t>
      </w:r>
      <w:r>
        <w:rPr/>
        <w:t>until there is a drop off at 130.00 ft. The peak concentration during this interval is at 147.08 ft</w:t>
      </w:r>
      <w:r>
        <w:rPr>
          <w:spacing w:val="1"/>
        </w:rPr>
        <w:t> </w:t>
      </w:r>
      <w:r>
        <w:rPr/>
        <w:t>corresponding with the peak concentration of the aromatic carotenoids and the rise in</w:t>
      </w:r>
      <w:r>
        <w:rPr>
          <w:spacing w:val="1"/>
        </w:rPr>
        <w:t> </w:t>
      </w:r>
      <w:r>
        <w:rPr/>
        <w:t>concentration of the nickel porphyrins. In the Upper Woodford Shale, the concentrations are</w:t>
      </w:r>
      <w:r>
        <w:rPr>
          <w:spacing w:val="1"/>
        </w:rPr>
        <w:t> </w:t>
      </w:r>
      <w:r>
        <w:rPr/>
        <w:t>initially low but generally rises through the Upper Woodford Shale reaching the highest</w:t>
      </w:r>
      <w:r>
        <w:rPr>
          <w:spacing w:val="1"/>
        </w:rPr>
        <w:t> </w:t>
      </w:r>
      <w:r>
        <w:rPr/>
        <w:t>concentrations</w:t>
      </w:r>
      <w:r>
        <w:rPr>
          <w:spacing w:val="-2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late</w:t>
      </w:r>
      <w:r>
        <w:rPr>
          <w:spacing w:val="3"/>
        </w:rPr>
        <w:t> </w:t>
      </w:r>
      <w:r>
        <w:rPr/>
        <w:t>Upper</w:t>
      </w:r>
      <w:r>
        <w:rPr>
          <w:spacing w:val="-1"/>
        </w:rPr>
        <w:t> </w:t>
      </w:r>
      <w:r>
        <w:rPr/>
        <w:t>Woodford</w:t>
      </w:r>
      <w:r>
        <w:rPr>
          <w:spacing w:val="-3"/>
        </w:rPr>
        <w:t> </w:t>
      </w:r>
      <w:r>
        <w:rPr/>
        <w:t>Shale.</w:t>
      </w:r>
    </w:p>
    <w:p>
      <w:pPr>
        <w:spacing w:after="0" w:line="480" w:lineRule="auto"/>
        <w:sectPr>
          <w:pgSz w:w="12240" w:h="15840"/>
          <w:pgMar w:header="0" w:footer="1014" w:top="1400" w:bottom="1200" w:left="1320" w:right="820"/>
        </w:sectPr>
      </w:pPr>
    </w:p>
    <w:p>
      <w:pPr>
        <w:pStyle w:val="BodyText"/>
        <w:ind w:left="115"/>
        <w:rPr>
          <w:sz w:val="20"/>
        </w:rPr>
      </w:pPr>
      <w:r>
        <w:rPr>
          <w:sz w:val="20"/>
        </w:rPr>
        <w:drawing>
          <wp:inline distT="0" distB="0" distL="0" distR="0">
            <wp:extent cx="5943970" cy="5300472"/>
            <wp:effectExtent l="0" t="0" r="0" b="0"/>
            <wp:docPr id="41" name="image2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21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970" cy="5300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8"/>
        <w:rPr>
          <w:sz w:val="9"/>
        </w:rPr>
      </w:pPr>
    </w:p>
    <w:p>
      <w:pPr>
        <w:spacing w:before="56"/>
        <w:ind w:left="120" w:right="747" w:firstLine="0"/>
        <w:jc w:val="left"/>
        <w:rPr>
          <w:sz w:val="22"/>
        </w:rPr>
      </w:pPr>
      <w:r>
        <w:rPr>
          <w:sz w:val="22"/>
        </w:rPr>
        <w:t>Figure</w:t>
      </w:r>
      <w:r>
        <w:rPr>
          <w:spacing w:val="-1"/>
          <w:sz w:val="22"/>
        </w:rPr>
        <w:t> </w:t>
      </w:r>
      <w:r>
        <w:rPr>
          <w:sz w:val="22"/>
        </w:rPr>
        <w:t>21.</w:t>
      </w:r>
      <w:r>
        <w:rPr>
          <w:spacing w:val="-3"/>
          <w:sz w:val="22"/>
        </w:rPr>
        <w:t> </w:t>
      </w:r>
      <w:r>
        <w:rPr>
          <w:sz w:val="22"/>
        </w:rPr>
        <w:t>Depth</w:t>
      </w:r>
      <w:r>
        <w:rPr>
          <w:spacing w:val="-1"/>
          <w:sz w:val="22"/>
        </w:rPr>
        <w:t> </w:t>
      </w:r>
      <w:r>
        <w:rPr>
          <w:sz w:val="22"/>
        </w:rPr>
        <w:t>profiles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MTTC</w:t>
      </w:r>
      <w:r>
        <w:rPr>
          <w:spacing w:val="-4"/>
          <w:sz w:val="22"/>
        </w:rPr>
        <w:t> </w:t>
      </w:r>
      <w:r>
        <w:rPr>
          <w:sz w:val="22"/>
        </w:rPr>
        <w:t>isomers.</w:t>
      </w:r>
      <w:r>
        <w:rPr>
          <w:spacing w:val="-1"/>
          <w:sz w:val="22"/>
        </w:rPr>
        <w:t> </w:t>
      </w:r>
      <w:r>
        <w:rPr>
          <w:sz w:val="22"/>
        </w:rPr>
        <w:t>The</w:t>
      </w:r>
      <w:r>
        <w:rPr>
          <w:spacing w:val="2"/>
          <w:sz w:val="22"/>
        </w:rPr>
        <w:t> </w:t>
      </w:r>
      <w:r>
        <w:rPr>
          <w:sz w:val="22"/>
        </w:rPr>
        <w:t>line at</w:t>
      </w:r>
      <w:r>
        <w:rPr>
          <w:spacing w:val="-3"/>
          <w:sz w:val="22"/>
        </w:rPr>
        <w:t> </w:t>
      </w:r>
      <w:r>
        <w:rPr>
          <w:sz w:val="22"/>
        </w:rPr>
        <w:t>118ft</w:t>
      </w:r>
      <w:r>
        <w:rPr>
          <w:spacing w:val="-2"/>
          <w:sz w:val="22"/>
        </w:rPr>
        <w:t> </w:t>
      </w:r>
      <w:r>
        <w:rPr>
          <w:sz w:val="22"/>
        </w:rPr>
        <w:t>divides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Upper</w:t>
      </w:r>
      <w:r>
        <w:rPr>
          <w:spacing w:val="-1"/>
          <w:sz w:val="22"/>
        </w:rPr>
        <w:t> </w:t>
      </w:r>
      <w:r>
        <w:rPr>
          <w:sz w:val="22"/>
        </w:rPr>
        <w:t>Woodford</w:t>
      </w:r>
      <w:r>
        <w:rPr>
          <w:spacing w:val="-3"/>
          <w:sz w:val="22"/>
        </w:rPr>
        <w:t> </w:t>
      </w:r>
      <w:r>
        <w:rPr>
          <w:sz w:val="22"/>
        </w:rPr>
        <w:t>Shale</w:t>
      </w:r>
      <w:r>
        <w:rPr>
          <w:spacing w:val="-1"/>
          <w:sz w:val="22"/>
        </w:rPr>
        <w:t> </w:t>
      </w:r>
      <w:r>
        <w:rPr>
          <w:sz w:val="22"/>
        </w:rPr>
        <w:t>and</w:t>
      </w:r>
      <w:r>
        <w:rPr>
          <w:spacing w:val="-46"/>
          <w:sz w:val="22"/>
        </w:rPr>
        <w:t> </w:t>
      </w:r>
      <w:r>
        <w:rPr>
          <w:sz w:val="22"/>
        </w:rPr>
        <w:t>the Middle Woodford Shale, the line at 185ft divides the Middle Woodford Shale and the Lower</w:t>
      </w:r>
      <w:r>
        <w:rPr>
          <w:spacing w:val="1"/>
          <w:sz w:val="22"/>
        </w:rPr>
        <w:t> </w:t>
      </w:r>
      <w:r>
        <w:rPr>
          <w:sz w:val="22"/>
        </w:rPr>
        <w:t>Woodford</w:t>
      </w:r>
      <w:r>
        <w:rPr>
          <w:spacing w:val="-1"/>
          <w:sz w:val="22"/>
        </w:rPr>
        <w:t> </w:t>
      </w:r>
      <w:r>
        <w:rPr>
          <w:sz w:val="22"/>
        </w:rPr>
        <w:t>Shale.</w:t>
      </w:r>
    </w:p>
    <w:p>
      <w:pPr>
        <w:pStyle w:val="BodyText"/>
        <w:rPr>
          <w:sz w:val="22"/>
        </w:rPr>
      </w:pPr>
    </w:p>
    <w:p>
      <w:pPr>
        <w:pStyle w:val="BodyText"/>
        <w:spacing w:before="1"/>
        <w:rPr>
          <w:sz w:val="31"/>
        </w:rPr>
      </w:pPr>
    </w:p>
    <w:p>
      <w:pPr>
        <w:pStyle w:val="ListParagraph"/>
        <w:numPr>
          <w:ilvl w:val="1"/>
          <w:numId w:val="5"/>
        </w:numPr>
        <w:tabs>
          <w:tab w:pos="478" w:val="left" w:leader="none"/>
        </w:tabs>
        <w:spacing w:line="240" w:lineRule="auto" w:before="0" w:after="0"/>
        <w:ind w:left="477" w:right="0" w:hanging="358"/>
        <w:jc w:val="left"/>
        <w:rPr>
          <w:i/>
          <w:sz w:val="24"/>
        </w:rPr>
      </w:pPr>
      <w:r>
        <w:rPr>
          <w:i/>
          <w:sz w:val="24"/>
        </w:rPr>
        <w:t>Trimethylphytylbenzoquinone</w:t>
      </w:r>
    </w:p>
    <w:p>
      <w:pPr>
        <w:pStyle w:val="BodyText"/>
        <w:rPr>
          <w:i/>
        </w:rPr>
      </w:pPr>
    </w:p>
    <w:p>
      <w:pPr>
        <w:pStyle w:val="BodyText"/>
        <w:spacing w:line="480" w:lineRule="auto" w:before="161"/>
        <w:ind w:left="120" w:right="689" w:firstLine="775"/>
      </w:pPr>
      <w:r>
        <w:rPr/>
        <w:t>Trimethylphytylbenzoquinone (TMPBQ Appendix I:</w:t>
      </w:r>
      <w:r>
        <w:rPr>
          <w:b/>
        </w:rPr>
        <w:t>XVII</w:t>
      </w:r>
      <w:r>
        <w:rPr/>
        <w:t>) is a novel compound</w:t>
      </w:r>
      <w:r>
        <w:rPr>
          <w:spacing w:val="1"/>
        </w:rPr>
        <w:t> </w:t>
      </w:r>
      <w:r>
        <w:rPr/>
        <w:t>tentatively</w:t>
      </w:r>
      <w:r>
        <w:rPr>
          <w:spacing w:val="-6"/>
        </w:rPr>
        <w:t> </w:t>
      </w:r>
      <w:r>
        <w:rPr/>
        <w:t>identified</w:t>
      </w:r>
      <w:r>
        <w:rPr>
          <w:spacing w:val="2"/>
        </w:rPr>
        <w:t> </w:t>
      </w:r>
      <w:r>
        <w:rPr/>
        <w:t>by</w:t>
      </w:r>
      <w:r>
        <w:rPr>
          <w:spacing w:val="-6"/>
        </w:rPr>
        <w:t> </w:t>
      </w:r>
      <w:r>
        <w:rPr/>
        <w:t>Connock</w:t>
      </w:r>
      <w:r>
        <w:rPr>
          <w:spacing w:val="-4"/>
        </w:rPr>
        <w:t> </w:t>
      </w:r>
      <w:r>
        <w:rPr/>
        <w:t>(2021).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chromatogram</w:t>
      </w:r>
      <w:r>
        <w:rPr>
          <w:spacing w:val="-3"/>
        </w:rPr>
        <w:t> </w:t>
      </w:r>
      <w:r>
        <w:rPr/>
        <w:t>of</w:t>
      </w:r>
      <w:r>
        <w:rPr>
          <w:spacing w:val="2"/>
        </w:rPr>
        <w:t> </w:t>
      </w:r>
      <w:r>
        <w:rPr/>
        <w:t>TMPBQ</w:t>
      </w:r>
      <w:r>
        <w:rPr>
          <w:spacing w:val="-3"/>
        </w:rPr>
        <w:t> </w:t>
      </w:r>
      <w:r>
        <w:rPr/>
        <w:t>(Figure</w:t>
      </w:r>
      <w:r>
        <w:rPr>
          <w:spacing w:val="-4"/>
        </w:rPr>
        <w:t> </w:t>
      </w:r>
      <w:r>
        <w:rPr/>
        <w:t>20) shows</w:t>
      </w:r>
      <w:r>
        <w:rPr>
          <w:spacing w:val="-3"/>
        </w:rPr>
        <w:t> </w:t>
      </w:r>
      <w:r>
        <w:rPr/>
        <w:t>three</w:t>
      </w:r>
      <w:r>
        <w:rPr>
          <w:spacing w:val="-52"/>
        </w:rPr>
        <w:t> </w:t>
      </w:r>
      <w:r>
        <w:rPr/>
        <w:t>distinct isomer peaks. Their concentrations and depth profiles are shown in figure 22. The</w:t>
      </w:r>
      <w:r>
        <w:rPr>
          <w:spacing w:val="1"/>
        </w:rPr>
        <w:t> </w:t>
      </w:r>
      <w:r>
        <w:rPr/>
        <w:t>TMPBQ</w:t>
      </w:r>
      <w:r>
        <w:rPr>
          <w:spacing w:val="-4"/>
        </w:rPr>
        <w:t> </w:t>
      </w:r>
      <w:r>
        <w:rPr/>
        <w:t>is</w:t>
      </w:r>
      <w:r>
        <w:rPr>
          <w:spacing w:val="-3"/>
        </w:rPr>
        <w:t> </w:t>
      </w:r>
      <w:r>
        <w:rPr/>
        <w:t>fairly</w:t>
      </w:r>
      <w:r>
        <w:rPr>
          <w:spacing w:val="-2"/>
        </w:rPr>
        <w:t> </w:t>
      </w:r>
      <w:r>
        <w:rPr/>
        <w:t>low</w:t>
      </w:r>
      <w:r>
        <w:rPr>
          <w:spacing w:val="2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2"/>
        </w:rPr>
        <w:t> </w:t>
      </w:r>
      <w:r>
        <w:rPr/>
        <w:t>Lower</w:t>
      </w:r>
      <w:r>
        <w:rPr>
          <w:spacing w:val="-2"/>
        </w:rPr>
        <w:t> </w:t>
      </w:r>
      <w:r>
        <w:rPr/>
        <w:t>Woodford</w:t>
      </w:r>
      <w:r>
        <w:rPr>
          <w:spacing w:val="-3"/>
        </w:rPr>
        <w:t> </w:t>
      </w:r>
      <w:r>
        <w:rPr/>
        <w:t>Shale</w:t>
      </w:r>
      <w:r>
        <w:rPr>
          <w:spacing w:val="-3"/>
        </w:rPr>
        <w:t> </w:t>
      </w:r>
      <w:r>
        <w:rPr/>
        <w:t>and sees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slight</w:t>
      </w:r>
      <w:r>
        <w:rPr>
          <w:spacing w:val="2"/>
        </w:rPr>
        <w:t> </w:t>
      </w:r>
      <w:r>
        <w:rPr/>
        <w:t>rise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 Middle</w:t>
      </w:r>
      <w:r>
        <w:rPr>
          <w:spacing w:val="-2"/>
        </w:rPr>
        <w:t> </w:t>
      </w:r>
      <w:r>
        <w:rPr/>
        <w:t>Woodford</w:t>
      </w:r>
    </w:p>
    <w:p>
      <w:pPr>
        <w:spacing w:after="0" w:line="480" w:lineRule="auto"/>
        <w:sectPr>
          <w:pgSz w:w="12240" w:h="15840"/>
          <w:pgMar w:header="0" w:footer="1014" w:top="1440" w:bottom="1200" w:left="1320" w:right="820"/>
        </w:sectPr>
      </w:pPr>
    </w:p>
    <w:p>
      <w:pPr>
        <w:pStyle w:val="BodyText"/>
        <w:spacing w:line="480" w:lineRule="auto" w:before="39"/>
        <w:ind w:left="120" w:right="630"/>
      </w:pPr>
      <w:r>
        <w:rPr/>
        <w:t>Shale right after the Lower/Middle Woodford Shale boundary. In the Middle Woodford Shale</w:t>
      </w:r>
      <w:r>
        <w:rPr>
          <w:spacing w:val="1"/>
        </w:rPr>
        <w:t> </w:t>
      </w:r>
      <w:r>
        <w:rPr/>
        <w:t>the concentration begins to increase at 172.00 ft. The concentrations peaks at 147.08 ft and</w:t>
      </w:r>
      <w:r>
        <w:rPr>
          <w:spacing w:val="1"/>
        </w:rPr>
        <w:t> </w:t>
      </w:r>
      <w:r>
        <w:rPr/>
        <w:t>then begin to decrease before becoming undetectable at 131.75 ft. The concentration remains</w:t>
      </w:r>
      <w:r>
        <w:rPr>
          <w:spacing w:val="1"/>
        </w:rPr>
        <w:t> </w:t>
      </w:r>
      <w:r>
        <w:rPr/>
        <w:t>low until the Upper Woodford Shale where concentrations again begin to increase significantly</w:t>
      </w:r>
      <w:r>
        <w:rPr>
          <w:spacing w:val="1"/>
        </w:rPr>
        <w:t> </w:t>
      </w:r>
      <w:r>
        <w:rPr/>
        <w:t>showing limited variability in the Upper Woodford Shale and finally reaching its highest</w:t>
      </w:r>
      <w:r>
        <w:rPr>
          <w:spacing w:val="1"/>
        </w:rPr>
        <w:t> </w:t>
      </w:r>
      <w:r>
        <w:rPr/>
        <w:t>concentration at 75.50 ft. The TMPBQ/α-MTTC ratio has a depth profile very similar to that of</w:t>
      </w:r>
      <w:r>
        <w:rPr>
          <w:spacing w:val="1"/>
        </w:rPr>
        <w:t> </w:t>
      </w:r>
      <w:r>
        <w:rPr/>
        <w:t>the total TMPBQ in the Lower Woodford Shale and Middle Woodford Shale. However, in the</w:t>
      </w:r>
      <w:r>
        <w:rPr>
          <w:spacing w:val="1"/>
        </w:rPr>
        <w:t> </w:t>
      </w:r>
      <w:r>
        <w:rPr/>
        <w:t>Upper Woodford Shale it departs from the similarities showing a spike in the early Upper</w:t>
      </w:r>
      <w:r>
        <w:rPr>
          <w:spacing w:val="1"/>
        </w:rPr>
        <w:t> </w:t>
      </w:r>
      <w:r>
        <w:rPr/>
        <w:t>Woodford</w:t>
      </w:r>
      <w:r>
        <w:rPr>
          <w:spacing w:val="-4"/>
        </w:rPr>
        <w:t> </w:t>
      </w:r>
      <w:r>
        <w:rPr/>
        <w:t>Shale</w:t>
      </w:r>
      <w:r>
        <w:rPr>
          <w:spacing w:val="2"/>
        </w:rPr>
        <w:t> </w:t>
      </w:r>
      <w:r>
        <w:rPr/>
        <w:t>reaching</w:t>
      </w:r>
      <w:r>
        <w:rPr>
          <w:spacing w:val="-3"/>
        </w:rPr>
        <w:t> </w:t>
      </w:r>
      <w:r>
        <w:rPr/>
        <w:t>its</w:t>
      </w:r>
      <w:r>
        <w:rPr>
          <w:spacing w:val="-1"/>
        </w:rPr>
        <w:t> </w:t>
      </w:r>
      <w:r>
        <w:rPr/>
        <w:t>peak</w:t>
      </w:r>
      <w:r>
        <w:rPr>
          <w:spacing w:val="-4"/>
        </w:rPr>
        <w:t> </w:t>
      </w:r>
      <w:r>
        <w:rPr/>
        <w:t>at</w:t>
      </w:r>
      <w:r>
        <w:rPr>
          <w:spacing w:val="-3"/>
        </w:rPr>
        <w:t> </w:t>
      </w:r>
      <w:r>
        <w:rPr/>
        <w:t>98.00</w:t>
      </w:r>
      <w:r>
        <w:rPr>
          <w:spacing w:val="-3"/>
        </w:rPr>
        <w:t> </w:t>
      </w:r>
      <w:r>
        <w:rPr/>
        <w:t>ft</w:t>
      </w:r>
      <w:r>
        <w:rPr>
          <w:spacing w:val="-2"/>
        </w:rPr>
        <w:t> </w:t>
      </w:r>
      <w:r>
        <w:rPr/>
        <w:t>then</w:t>
      </w:r>
      <w:r>
        <w:rPr>
          <w:spacing w:val="-2"/>
        </w:rPr>
        <w:t> </w:t>
      </w:r>
      <w:r>
        <w:rPr/>
        <w:t>decreasing in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late Upper</w:t>
      </w:r>
      <w:r>
        <w:rPr>
          <w:spacing w:val="-3"/>
        </w:rPr>
        <w:t> </w:t>
      </w:r>
      <w:r>
        <w:rPr/>
        <w:t>Woodford</w:t>
      </w:r>
      <w:r>
        <w:rPr>
          <w:spacing w:val="-2"/>
        </w:rPr>
        <w:t> </w:t>
      </w:r>
      <w:r>
        <w:rPr/>
        <w:t>Shale.</w:t>
      </w:r>
      <w:r>
        <w:rPr>
          <w:spacing w:val="-51"/>
        </w:rPr>
        <w:t> </w:t>
      </w:r>
      <w:r>
        <w:rPr/>
        <w:t>This means that the TMPBQ was more prevalent proportionally than the α-MTTC in the early</w:t>
      </w:r>
      <w:r>
        <w:rPr>
          <w:spacing w:val="1"/>
        </w:rPr>
        <w:t> </w:t>
      </w:r>
      <w:r>
        <w:rPr/>
        <w:t>Upper Woodford Shale and returned to similar concentrations in the later Upper Woodford</w:t>
      </w:r>
      <w:r>
        <w:rPr>
          <w:spacing w:val="1"/>
        </w:rPr>
        <w:t> </w:t>
      </w:r>
      <w:r>
        <w:rPr/>
        <w:t>Shale. The TMPBQ isomer ratio is the ratio of the 2</w:t>
      </w:r>
      <w:r>
        <w:rPr>
          <w:vertAlign w:val="superscript"/>
        </w:rPr>
        <w:t>nd</w:t>
      </w:r>
      <w:r>
        <w:rPr>
          <w:vertAlign w:val="baseline"/>
        </w:rPr>
        <w:t> and 3</w:t>
      </w:r>
      <w:r>
        <w:rPr>
          <w:vertAlign w:val="superscript"/>
        </w:rPr>
        <w:t>rd</w:t>
      </w:r>
      <w:r>
        <w:rPr>
          <w:vertAlign w:val="baseline"/>
        </w:rPr>
        <w:t> isomers divided by the 1</w:t>
      </w:r>
      <w:r>
        <w:rPr>
          <w:vertAlign w:val="superscript"/>
        </w:rPr>
        <w:t>st</w:t>
      </w:r>
      <w:r>
        <w:rPr>
          <w:vertAlign w:val="baseline"/>
        </w:rPr>
        <w:t> isomer.</w:t>
      </w:r>
      <w:r>
        <w:rPr>
          <w:spacing w:val="1"/>
          <w:vertAlign w:val="baseline"/>
        </w:rPr>
        <w:t> </w:t>
      </w:r>
      <w:r>
        <w:rPr>
          <w:vertAlign w:val="baseline"/>
        </w:rPr>
        <w:t>This depth profile is missing many points compared to others in this study resulting from when</w:t>
      </w:r>
      <w:r>
        <w:rPr>
          <w:spacing w:val="1"/>
          <w:vertAlign w:val="baseline"/>
        </w:rPr>
        <w:t> </w:t>
      </w:r>
      <w:r>
        <w:rPr>
          <w:vertAlign w:val="baseline"/>
        </w:rPr>
        <w:t>the 1</w:t>
      </w:r>
      <w:r>
        <w:rPr>
          <w:vertAlign w:val="superscript"/>
        </w:rPr>
        <w:t>st</w:t>
      </w:r>
      <w:r>
        <w:rPr>
          <w:vertAlign w:val="baseline"/>
        </w:rPr>
        <w:t> isomer was not detected. From the available data it is low in the Lower Woodford Shale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-1"/>
          <w:vertAlign w:val="baseline"/>
        </w:rPr>
        <w:t> </w:t>
      </w:r>
      <w:r>
        <w:rPr>
          <w:vertAlign w:val="baseline"/>
        </w:rPr>
        <w:t>then rises</w:t>
      </w:r>
      <w:r>
        <w:rPr>
          <w:spacing w:val="-2"/>
          <w:vertAlign w:val="baseline"/>
        </w:rPr>
        <w:t> </w:t>
      </w:r>
      <w:r>
        <w:rPr>
          <w:vertAlign w:val="baseline"/>
        </w:rPr>
        <w:t>in</w:t>
      </w:r>
      <w:r>
        <w:rPr>
          <w:spacing w:val="2"/>
          <w:vertAlign w:val="baseline"/>
        </w:rPr>
        <w:t> </w:t>
      </w:r>
      <w:r>
        <w:rPr>
          <w:vertAlign w:val="baseline"/>
        </w:rPr>
        <w:t>the Middle</w:t>
      </w:r>
      <w:r>
        <w:rPr>
          <w:spacing w:val="-2"/>
          <w:vertAlign w:val="baseline"/>
        </w:rPr>
        <w:t> </w:t>
      </w:r>
      <w:r>
        <w:rPr>
          <w:vertAlign w:val="baseline"/>
        </w:rPr>
        <w:t>Woodford</w:t>
      </w:r>
      <w:r>
        <w:rPr>
          <w:spacing w:val="-2"/>
          <w:vertAlign w:val="baseline"/>
        </w:rPr>
        <w:t> </w:t>
      </w:r>
      <w:r>
        <w:rPr>
          <w:vertAlign w:val="baseline"/>
        </w:rPr>
        <w:t>Shale</w:t>
      </w:r>
      <w:r>
        <w:rPr>
          <w:spacing w:val="-3"/>
          <w:vertAlign w:val="baseline"/>
        </w:rPr>
        <w:t> </w:t>
      </w:r>
      <w:r>
        <w:rPr>
          <w:vertAlign w:val="baseline"/>
        </w:rPr>
        <w:t>peaking</w:t>
      </w:r>
      <w:r>
        <w:rPr>
          <w:spacing w:val="-2"/>
          <w:vertAlign w:val="baseline"/>
        </w:rPr>
        <w:t> </w:t>
      </w:r>
      <w:r>
        <w:rPr>
          <w:vertAlign w:val="baseline"/>
        </w:rPr>
        <w:t>at</w:t>
      </w:r>
      <w:r>
        <w:rPr>
          <w:spacing w:val="-3"/>
          <w:vertAlign w:val="baseline"/>
        </w:rPr>
        <w:t> </w:t>
      </w:r>
      <w:r>
        <w:rPr>
          <w:vertAlign w:val="baseline"/>
        </w:rPr>
        <w:t>142.25</w:t>
      </w:r>
      <w:r>
        <w:rPr>
          <w:spacing w:val="-3"/>
          <w:vertAlign w:val="baseline"/>
        </w:rPr>
        <w:t> </w:t>
      </w:r>
      <w:r>
        <w:rPr>
          <w:vertAlign w:val="baseline"/>
        </w:rPr>
        <w:t>ft</w:t>
      </w:r>
      <w:r>
        <w:rPr>
          <w:spacing w:val="1"/>
          <w:vertAlign w:val="baseline"/>
        </w:rPr>
        <w:t> </w:t>
      </w:r>
      <w:r>
        <w:rPr>
          <w:vertAlign w:val="baseline"/>
        </w:rPr>
        <w:t>before</w:t>
      </w:r>
      <w:r>
        <w:rPr>
          <w:spacing w:val="-5"/>
          <w:vertAlign w:val="baseline"/>
        </w:rPr>
        <w:t> </w:t>
      </w:r>
      <w:r>
        <w:rPr>
          <w:vertAlign w:val="baseline"/>
        </w:rPr>
        <w:t>decreasing</w:t>
      </w:r>
      <w:r>
        <w:rPr>
          <w:spacing w:val="-4"/>
          <w:vertAlign w:val="baseline"/>
        </w:rPr>
        <w:t> </w:t>
      </w:r>
      <w:r>
        <w:rPr>
          <w:vertAlign w:val="baseline"/>
        </w:rPr>
        <w:t>again</w:t>
      </w:r>
      <w:r>
        <w:rPr>
          <w:spacing w:val="-3"/>
          <w:vertAlign w:val="baseline"/>
        </w:rPr>
        <w:t> </w:t>
      </w:r>
      <w:r>
        <w:rPr>
          <w:vertAlign w:val="baseline"/>
        </w:rPr>
        <w:t>at</w:t>
      </w:r>
    </w:p>
    <w:p>
      <w:pPr>
        <w:pStyle w:val="BodyText"/>
        <w:spacing w:line="293" w:lineRule="exact"/>
        <w:ind w:left="120"/>
      </w:pPr>
      <w:r>
        <w:rPr/>
        <w:t>131.75</w:t>
      </w:r>
      <w:r>
        <w:rPr>
          <w:spacing w:val="-4"/>
        </w:rPr>
        <w:t> </w:t>
      </w:r>
      <w:r>
        <w:rPr/>
        <w:t>ft. In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Upper</w:t>
      </w:r>
      <w:r>
        <w:rPr>
          <w:spacing w:val="-3"/>
        </w:rPr>
        <w:t> </w:t>
      </w:r>
      <w:r>
        <w:rPr/>
        <w:t>Woodford</w:t>
      </w:r>
      <w:r>
        <w:rPr>
          <w:spacing w:val="-3"/>
        </w:rPr>
        <w:t> </w:t>
      </w:r>
      <w:r>
        <w:rPr/>
        <w:t>Shale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ratio</w:t>
      </w:r>
      <w:r>
        <w:rPr>
          <w:spacing w:val="-2"/>
        </w:rPr>
        <w:t> </w:t>
      </w:r>
      <w:r>
        <w:rPr/>
        <w:t>remains relatively</w:t>
      </w:r>
      <w:r>
        <w:rPr>
          <w:spacing w:val="-2"/>
        </w:rPr>
        <w:t> </w:t>
      </w:r>
      <w:r>
        <w:rPr/>
        <w:t>low</w:t>
      </w:r>
      <w:r>
        <w:rPr>
          <w:spacing w:val="-4"/>
        </w:rPr>
        <w:t> </w:t>
      </w:r>
      <w:r>
        <w:rPr/>
        <w:t>with</w:t>
      </w:r>
      <w:r>
        <w:rPr>
          <w:spacing w:val="-2"/>
        </w:rPr>
        <w:t> </w:t>
      </w:r>
      <w:r>
        <w:rPr/>
        <w:t>minimal</w:t>
      </w:r>
      <w:r>
        <w:rPr>
          <w:spacing w:val="-2"/>
        </w:rPr>
        <w:t> </w:t>
      </w:r>
      <w:r>
        <w:rPr/>
        <w:t>variation.</w:t>
      </w:r>
    </w:p>
    <w:p>
      <w:pPr>
        <w:spacing w:after="0" w:line="293" w:lineRule="exact"/>
        <w:sectPr>
          <w:pgSz w:w="12240" w:h="15840"/>
          <w:pgMar w:header="0" w:footer="1014" w:top="1400" w:bottom="1200" w:left="1320" w:right="820"/>
        </w:sectPr>
      </w:pPr>
    </w:p>
    <w:p>
      <w:pPr>
        <w:pStyle w:val="BodyText"/>
        <w:ind w:left="115"/>
        <w:rPr>
          <w:sz w:val="20"/>
        </w:rPr>
      </w:pPr>
      <w:r>
        <w:rPr>
          <w:sz w:val="20"/>
        </w:rPr>
        <w:drawing>
          <wp:inline distT="0" distB="0" distL="0" distR="0">
            <wp:extent cx="5948568" cy="4523232"/>
            <wp:effectExtent l="0" t="0" r="0" b="0"/>
            <wp:docPr id="43" name="image2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22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8568" cy="4523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9"/>
        </w:rPr>
      </w:pPr>
    </w:p>
    <w:p>
      <w:pPr>
        <w:spacing w:before="56"/>
        <w:ind w:left="120" w:right="972" w:firstLine="0"/>
        <w:jc w:val="left"/>
        <w:rPr>
          <w:sz w:val="22"/>
        </w:rPr>
      </w:pPr>
      <w:r>
        <w:rPr>
          <w:sz w:val="22"/>
        </w:rPr>
        <w:t>Figure 22. Depth profiles of TMPBQ(</w:t>
      </w:r>
      <w:r>
        <w:rPr>
          <w:b/>
          <w:sz w:val="22"/>
        </w:rPr>
        <w:t>XVII</w:t>
      </w:r>
      <w:r>
        <w:rPr>
          <w:sz w:val="22"/>
        </w:rPr>
        <w:t>) isomer peaks. Ratio of the total TMPBQ(</w:t>
      </w:r>
      <w:r>
        <w:rPr>
          <w:b/>
          <w:sz w:val="22"/>
        </w:rPr>
        <w:t>XVII</w:t>
      </w:r>
      <w:r>
        <w:rPr>
          <w:sz w:val="22"/>
        </w:rPr>
        <w:t>)/α-MTTC(</w:t>
      </w:r>
      <w:r>
        <w:rPr>
          <w:b/>
          <w:sz w:val="22"/>
        </w:rPr>
        <w:t>XVI</w:t>
      </w:r>
      <w:r>
        <w:rPr>
          <w:sz w:val="22"/>
        </w:rPr>
        <w:t>)</w:t>
      </w:r>
      <w:r>
        <w:rPr>
          <w:spacing w:val="-47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1"/>
          <w:sz w:val="22"/>
        </w:rPr>
        <w:t> </w:t>
      </w:r>
      <w:r>
        <w:rPr>
          <w:sz w:val="22"/>
        </w:rPr>
        <w:t>ratio</w:t>
      </w:r>
      <w:r>
        <w:rPr>
          <w:spacing w:val="-1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the 2</w:t>
      </w:r>
      <w:r>
        <w:rPr>
          <w:sz w:val="22"/>
          <w:vertAlign w:val="superscript"/>
        </w:rPr>
        <w:t>nd</w:t>
      </w:r>
      <w:r>
        <w:rPr>
          <w:sz w:val="22"/>
          <w:vertAlign w:val="baseline"/>
        </w:rPr>
        <w:t> and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3</w:t>
      </w:r>
      <w:r>
        <w:rPr>
          <w:sz w:val="22"/>
          <w:vertAlign w:val="superscript"/>
        </w:rPr>
        <w:t>rd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isomers divided by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the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first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isomer.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6"/>
        <w:rPr>
          <w:sz w:val="29"/>
        </w:rPr>
      </w:pPr>
    </w:p>
    <w:p>
      <w:pPr>
        <w:spacing w:before="1"/>
        <w:ind w:left="120" w:right="0" w:firstLine="0"/>
        <w:jc w:val="left"/>
        <w:rPr>
          <w:i/>
          <w:sz w:val="24"/>
        </w:rPr>
      </w:pPr>
      <w:r>
        <w:rPr>
          <w:i/>
          <w:sz w:val="24"/>
        </w:rPr>
        <w:t>3.5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δ</w:t>
      </w:r>
      <w:r>
        <w:rPr>
          <w:i/>
          <w:sz w:val="24"/>
          <w:vertAlign w:val="superscript"/>
        </w:rPr>
        <w:t>13</w:t>
      </w:r>
      <w:r>
        <w:rPr>
          <w:i/>
          <w:sz w:val="24"/>
          <w:vertAlign w:val="baseline"/>
        </w:rPr>
        <w:t>C</w:t>
      </w:r>
      <w:r>
        <w:rPr>
          <w:i/>
          <w:spacing w:val="-2"/>
          <w:sz w:val="24"/>
          <w:vertAlign w:val="baseline"/>
        </w:rPr>
        <w:t> </w:t>
      </w:r>
      <w:r>
        <w:rPr>
          <w:i/>
          <w:sz w:val="24"/>
          <w:vertAlign w:val="baseline"/>
        </w:rPr>
        <w:t>of</w:t>
      </w:r>
      <w:r>
        <w:rPr>
          <w:i/>
          <w:spacing w:val="-3"/>
          <w:sz w:val="24"/>
          <w:vertAlign w:val="baseline"/>
        </w:rPr>
        <w:t> </w:t>
      </w:r>
      <w:r>
        <w:rPr>
          <w:i/>
          <w:sz w:val="24"/>
          <w:vertAlign w:val="baseline"/>
        </w:rPr>
        <w:t>Organic</w:t>
      </w:r>
      <w:r>
        <w:rPr>
          <w:i/>
          <w:spacing w:val="2"/>
          <w:sz w:val="24"/>
          <w:vertAlign w:val="baseline"/>
        </w:rPr>
        <w:t> </w:t>
      </w:r>
      <w:r>
        <w:rPr>
          <w:i/>
          <w:sz w:val="24"/>
          <w:vertAlign w:val="baseline"/>
        </w:rPr>
        <w:t>Carbon</w:t>
      </w:r>
    </w:p>
    <w:p>
      <w:pPr>
        <w:pStyle w:val="BodyText"/>
        <w:spacing w:before="2"/>
        <w:rPr>
          <w:i/>
        </w:rPr>
      </w:pPr>
    </w:p>
    <w:p>
      <w:pPr>
        <w:pStyle w:val="BodyText"/>
        <w:spacing w:line="480" w:lineRule="auto"/>
        <w:ind w:left="120" w:right="818" w:firstLine="721"/>
      </w:pPr>
      <w:r>
        <w:rPr/>
        <w:t>Figure 23 shows the depth profile of the organic carbon isotope composition using the</w:t>
      </w:r>
      <w:r>
        <w:rPr>
          <w:spacing w:val="-52"/>
        </w:rPr>
        <w:t> </w:t>
      </w:r>
      <w:r>
        <w:rPr/>
        <w:t>results</w:t>
      </w:r>
      <w:r>
        <w:rPr>
          <w:spacing w:val="-4"/>
        </w:rPr>
        <w:t> </w:t>
      </w:r>
      <w:r>
        <w:rPr/>
        <w:t>found</w:t>
      </w:r>
      <w:r>
        <w:rPr>
          <w:spacing w:val="2"/>
        </w:rPr>
        <w:t> </w:t>
      </w:r>
      <w:r>
        <w:rPr/>
        <w:t>in</w:t>
      </w:r>
      <w:r>
        <w:rPr>
          <w:spacing w:val="2"/>
        </w:rPr>
        <w:t> </w:t>
      </w:r>
      <w:r>
        <w:rPr/>
        <w:t>Molinares-Blanco</w:t>
      </w:r>
      <w:r>
        <w:rPr>
          <w:spacing w:val="-2"/>
        </w:rPr>
        <w:t> </w:t>
      </w:r>
      <w:r>
        <w:rPr/>
        <w:t>(2019)</w:t>
      </w:r>
      <w:r>
        <w:rPr>
          <w:spacing w:val="-3"/>
        </w:rPr>
        <w:t> </w:t>
      </w:r>
      <w:r>
        <w:rPr/>
        <w:t>along</w:t>
      </w:r>
      <w:r>
        <w:rPr>
          <w:spacing w:val="-3"/>
        </w:rPr>
        <w:t> </w:t>
      </w:r>
      <w:r>
        <w:rPr/>
        <w:t>with</w:t>
      </w:r>
      <w:r>
        <w:rPr>
          <w:spacing w:val="2"/>
        </w:rPr>
        <w:t> </w:t>
      </w:r>
      <w:r>
        <w:rPr/>
        <w:t>select</w:t>
      </w:r>
      <w:r>
        <w:rPr>
          <w:spacing w:val="-2"/>
        </w:rPr>
        <w:t> </w:t>
      </w:r>
      <w:r>
        <w:rPr/>
        <w:t>samples</w:t>
      </w:r>
      <w:r>
        <w:rPr>
          <w:spacing w:val="-3"/>
        </w:rPr>
        <w:t> </w:t>
      </w:r>
      <w:r>
        <w:rPr/>
        <w:t>in this</w:t>
      </w:r>
      <w:r>
        <w:rPr>
          <w:spacing w:val="-5"/>
        </w:rPr>
        <w:t> </w:t>
      </w:r>
      <w:r>
        <w:rPr/>
        <w:t>study.</w:t>
      </w:r>
      <w:r>
        <w:rPr>
          <w:spacing w:val="-1"/>
        </w:rPr>
        <w:t> </w:t>
      </w:r>
      <w:r>
        <w:rPr/>
        <w:t>In</w:t>
      </w:r>
      <w:r>
        <w:rPr>
          <w:spacing w:val="-5"/>
        </w:rPr>
        <w:t> </w:t>
      </w:r>
      <w:r>
        <w:rPr/>
        <w:t>figure</w:t>
      </w:r>
      <w:r>
        <w:rPr>
          <w:spacing w:val="-3"/>
        </w:rPr>
        <w:t> </w:t>
      </w:r>
      <w:r>
        <w:rPr/>
        <w:t>23</w:t>
      </w:r>
      <w:r>
        <w:rPr>
          <w:spacing w:val="-3"/>
        </w:rPr>
        <w:t> </w:t>
      </w:r>
      <w:r>
        <w:rPr/>
        <w:t>it</w:t>
      </w:r>
      <w:r>
        <w:rPr>
          <w:spacing w:val="-51"/>
        </w:rPr>
        <w:t> </w:t>
      </w:r>
      <w:r>
        <w:rPr/>
        <w:t>shows the depth plot of both Molinares-Blanco (2019) and a plot of Molinares-Blanco (2019)</w:t>
      </w:r>
      <w:r>
        <w:rPr>
          <w:spacing w:val="1"/>
        </w:rPr>
        <w:t> </w:t>
      </w:r>
      <w:r>
        <w:rPr/>
        <w:t>and this study combined. The D/C, F/F, and Kellwasser boundaries are placed according to</w:t>
      </w:r>
      <w:r>
        <w:rPr>
          <w:spacing w:val="1"/>
        </w:rPr>
        <w:t> </w:t>
      </w:r>
      <w:r>
        <w:rPr/>
        <w:t>Molinares-Blanco (2019) which defined the boundaries by comparing their data to the global</w:t>
      </w:r>
      <w:r>
        <w:rPr>
          <w:spacing w:val="1"/>
        </w:rPr>
        <w:t> </w:t>
      </w:r>
      <w:r>
        <w:rPr/>
        <w:t>carbon</w:t>
      </w:r>
      <w:r>
        <w:rPr>
          <w:spacing w:val="-3"/>
        </w:rPr>
        <w:t> </w:t>
      </w:r>
      <w:r>
        <w:rPr/>
        <w:t>isotope</w:t>
      </w:r>
      <w:r>
        <w:rPr>
          <w:spacing w:val="-1"/>
        </w:rPr>
        <w:t> </w:t>
      </w:r>
      <w:r>
        <w:rPr/>
        <w:t>excursion</w:t>
      </w:r>
      <w:r>
        <w:rPr>
          <w:spacing w:val="-2"/>
        </w:rPr>
        <w:t> </w:t>
      </w:r>
      <w:r>
        <w:rPr/>
        <w:t>curve.</w:t>
      </w:r>
      <w:r>
        <w:rPr>
          <w:spacing w:val="-1"/>
        </w:rPr>
        <w:t> </w:t>
      </w:r>
      <w:r>
        <w:rPr/>
        <w:t>Molinares-Blanco</w:t>
      </w:r>
      <w:r>
        <w:rPr>
          <w:spacing w:val="-2"/>
        </w:rPr>
        <w:t> </w:t>
      </w:r>
      <w:r>
        <w:rPr/>
        <w:t>(2019)</w:t>
      </w:r>
      <w:r>
        <w:rPr>
          <w:spacing w:val="-3"/>
        </w:rPr>
        <w:t> </w:t>
      </w:r>
      <w:r>
        <w:rPr/>
        <w:t>determined</w:t>
      </w:r>
      <w:r>
        <w:rPr>
          <w:spacing w:val="-2"/>
        </w:rPr>
        <w:t> </w:t>
      </w:r>
      <w:r>
        <w:rPr/>
        <w:t>that</w:t>
      </w:r>
      <w:r>
        <w:rPr>
          <w:spacing w:val="-4"/>
        </w:rPr>
        <w:t> </w:t>
      </w:r>
      <w:r>
        <w:rPr/>
        <w:t>there</w:t>
      </w:r>
      <w:r>
        <w:rPr>
          <w:spacing w:val="-1"/>
        </w:rPr>
        <w:t> </w:t>
      </w:r>
      <w:r>
        <w:rPr/>
        <w:t>were</w:t>
      </w:r>
    </w:p>
    <w:p>
      <w:pPr>
        <w:spacing w:after="0" w:line="480" w:lineRule="auto"/>
        <w:sectPr>
          <w:pgSz w:w="12240" w:h="15840"/>
          <w:pgMar w:header="0" w:footer="1014" w:top="1440" w:bottom="1200" w:left="1320" w:right="820"/>
        </w:sectPr>
      </w:pPr>
    </w:p>
    <w:p>
      <w:pPr>
        <w:pStyle w:val="BodyText"/>
        <w:spacing w:line="480" w:lineRule="auto" w:before="39"/>
        <w:ind w:left="120" w:right="758"/>
      </w:pPr>
      <w:r>
        <w:rPr/>
        <w:t>excursions around 155 ft, 145 ft, and 85 ft indicating that is where the Hangenberg and</w:t>
      </w:r>
      <w:r>
        <w:rPr>
          <w:spacing w:val="1"/>
        </w:rPr>
        <w:t> </w:t>
      </w:r>
      <w:r>
        <w:rPr/>
        <w:t>Kellwasser events took place. However, the data from this study questions some of these</w:t>
      </w:r>
      <w:r>
        <w:rPr>
          <w:spacing w:val="1"/>
        </w:rPr>
        <w:t> </w:t>
      </w:r>
      <w:r>
        <w:rPr/>
        <w:t>conclusions. In the D/C boundary some of the data points show a much more negative value</w:t>
      </w:r>
      <w:r>
        <w:rPr>
          <w:spacing w:val="1"/>
        </w:rPr>
        <w:t> </w:t>
      </w:r>
      <w:r>
        <w:rPr/>
        <w:t>but then one is very close to the Molinares-Blanco (2019) study. This suggests the D/C</w:t>
      </w:r>
      <w:r>
        <w:rPr>
          <w:spacing w:val="1"/>
        </w:rPr>
        <w:t> </w:t>
      </w:r>
      <w:r>
        <w:rPr/>
        <w:t>boundary</w:t>
      </w:r>
      <w:r>
        <w:rPr>
          <w:spacing w:val="-3"/>
        </w:rPr>
        <w:t> </w:t>
      </w:r>
      <w:r>
        <w:rPr/>
        <w:t>should</w:t>
      </w:r>
      <w:r>
        <w:rPr>
          <w:spacing w:val="-2"/>
        </w:rPr>
        <w:t> </w:t>
      </w:r>
      <w:r>
        <w:rPr/>
        <w:t>be moved up</w:t>
      </w:r>
      <w:r>
        <w:rPr>
          <w:spacing w:val="1"/>
        </w:rPr>
        <w:t> </w:t>
      </w:r>
      <w:r>
        <w:rPr/>
        <w:t>slightly</w:t>
      </w:r>
      <w:r>
        <w:rPr>
          <w:spacing w:val="-5"/>
        </w:rPr>
        <w:t> </w:t>
      </w:r>
      <w:r>
        <w:rPr/>
        <w:t>to</w:t>
      </w:r>
      <w:r>
        <w:rPr>
          <w:spacing w:val="-2"/>
        </w:rPr>
        <w:t> </w:t>
      </w:r>
      <w:r>
        <w:rPr/>
        <w:t>fit</w:t>
      </w:r>
      <w:r>
        <w:rPr>
          <w:spacing w:val="-2"/>
        </w:rPr>
        <w:t> </w:t>
      </w:r>
      <w:r>
        <w:rPr/>
        <w:t>more</w:t>
      </w:r>
      <w:r>
        <w:rPr>
          <w:spacing w:val="-3"/>
        </w:rPr>
        <w:t> </w:t>
      </w:r>
      <w:r>
        <w:rPr/>
        <w:t>with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positive</w:t>
      </w:r>
      <w:r>
        <w:rPr>
          <w:spacing w:val="-2"/>
        </w:rPr>
        <w:t> </w:t>
      </w:r>
      <w:r>
        <w:rPr/>
        <w:t>excursion.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LK</w:t>
      </w:r>
      <w:r>
        <w:rPr>
          <w:spacing w:val="-3"/>
        </w:rPr>
        <w:t> </w:t>
      </w:r>
      <w:r>
        <w:rPr/>
        <w:t>and</w:t>
      </w:r>
      <w:r>
        <w:rPr>
          <w:spacing w:val="1"/>
        </w:rPr>
        <w:t> </w:t>
      </w:r>
      <w:r>
        <w:rPr/>
        <w:t>UK</w:t>
      </w:r>
      <w:r>
        <w:rPr>
          <w:spacing w:val="-51"/>
        </w:rPr>
        <w:t> </w:t>
      </w:r>
      <w:r>
        <w:rPr/>
        <w:t>the data points just show fluctuations when combined with the Molinares-Blanco (2019) data,</w:t>
      </w:r>
      <w:r>
        <w:rPr>
          <w:spacing w:val="-52"/>
        </w:rPr>
        <w:t> </w:t>
      </w:r>
      <w:r>
        <w:rPr/>
        <w:t>alone they would show a similar trend. This data also shows a large positive isotope excursion</w:t>
      </w:r>
      <w:r>
        <w:rPr>
          <w:spacing w:val="1"/>
        </w:rPr>
        <w:t> </w:t>
      </w:r>
      <w:r>
        <w:rPr/>
        <w:t>at 126.17 ft. In the Lower Woodford Shale the data from this study tends to be more positive</w:t>
      </w:r>
      <w:r>
        <w:rPr>
          <w:spacing w:val="1"/>
        </w:rPr>
        <w:t> </w:t>
      </w:r>
      <w:r>
        <w:rPr/>
        <w:t>than the data from Molinares-Blanco (2019), but in the Middle and Upper Woodford Shale the</w:t>
      </w:r>
      <w:r>
        <w:rPr>
          <w:spacing w:val="-52"/>
        </w:rPr>
        <w:t> </w:t>
      </w:r>
      <w:r>
        <w:rPr/>
        <w:t>data</w:t>
      </w:r>
      <w:r>
        <w:rPr>
          <w:spacing w:val="-4"/>
        </w:rPr>
        <w:t> </w:t>
      </w:r>
      <w:r>
        <w:rPr/>
        <w:t>from</w:t>
      </w:r>
      <w:r>
        <w:rPr>
          <w:spacing w:val="-1"/>
        </w:rPr>
        <w:t> </w:t>
      </w:r>
      <w:r>
        <w:rPr/>
        <w:t>this</w:t>
      </w:r>
      <w:r>
        <w:rPr>
          <w:spacing w:val="-2"/>
        </w:rPr>
        <w:t> </w:t>
      </w:r>
      <w:r>
        <w:rPr/>
        <w:t>study</w:t>
      </w:r>
      <w:r>
        <w:rPr>
          <w:spacing w:val="-1"/>
        </w:rPr>
        <w:t> </w:t>
      </w:r>
      <w:r>
        <w:rPr/>
        <w:t>tends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be</w:t>
      </w:r>
      <w:r>
        <w:rPr>
          <w:spacing w:val="-1"/>
        </w:rPr>
        <w:t> </w:t>
      </w:r>
      <w:r>
        <w:rPr/>
        <w:t>more</w:t>
      </w:r>
      <w:r>
        <w:rPr>
          <w:spacing w:val="-1"/>
        </w:rPr>
        <w:t> </w:t>
      </w:r>
      <w:r>
        <w:rPr/>
        <w:t>negative.</w:t>
      </w:r>
    </w:p>
    <w:p>
      <w:pPr>
        <w:spacing w:after="0" w:line="480" w:lineRule="auto"/>
        <w:sectPr>
          <w:pgSz w:w="12240" w:h="15840"/>
          <w:pgMar w:header="0" w:footer="1014" w:top="1400" w:bottom="1200" w:left="1320" w:right="820"/>
        </w:sectPr>
      </w:pPr>
    </w:p>
    <w:p>
      <w:pPr>
        <w:pStyle w:val="BodyText"/>
        <w:ind w:left="1872"/>
        <w:rPr>
          <w:sz w:val="20"/>
        </w:rPr>
      </w:pPr>
      <w:r>
        <w:rPr>
          <w:sz w:val="20"/>
        </w:rPr>
        <w:drawing>
          <wp:inline distT="0" distB="0" distL="0" distR="0">
            <wp:extent cx="3755136" cy="5632704"/>
            <wp:effectExtent l="0" t="0" r="0" b="0"/>
            <wp:docPr id="45" name="image2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23.jpe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5136" cy="5632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5"/>
        <w:rPr>
          <w:sz w:val="15"/>
        </w:rPr>
      </w:pPr>
    </w:p>
    <w:p>
      <w:pPr>
        <w:spacing w:before="74"/>
        <w:ind w:left="120" w:right="660" w:firstLine="0"/>
        <w:jc w:val="left"/>
        <w:rPr>
          <w:sz w:val="22"/>
        </w:rPr>
      </w:pPr>
      <w:r>
        <w:rPr>
          <w:sz w:val="22"/>
        </w:rPr>
        <w:t>Figure 23. Depth profiles of δ</w:t>
      </w:r>
      <w:r>
        <w:rPr>
          <w:sz w:val="22"/>
          <w:vertAlign w:val="superscript"/>
        </w:rPr>
        <w:t>13</w:t>
      </w:r>
      <w:r>
        <w:rPr>
          <w:sz w:val="22"/>
          <w:vertAlign w:val="baseline"/>
        </w:rPr>
        <w:t>C organic carbon. Lower Kellwasser event (LK), Upper Kellwasser event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(UK),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Frasnian/Famennian</w:t>
      </w:r>
      <w:r>
        <w:rPr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Boundary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(F/F Boundary),</w:t>
      </w:r>
      <w:r>
        <w:rPr>
          <w:spacing w:val="-8"/>
          <w:sz w:val="22"/>
          <w:vertAlign w:val="baseline"/>
        </w:rPr>
        <w:t> </w:t>
      </w:r>
      <w:r>
        <w:rPr>
          <w:sz w:val="22"/>
          <w:vertAlign w:val="baseline"/>
        </w:rPr>
        <w:t>and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the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Devonian/Carboniferous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event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(D/C)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were</w:t>
      </w:r>
      <w:r>
        <w:rPr>
          <w:spacing w:val="-46"/>
          <w:sz w:val="22"/>
          <w:vertAlign w:val="baseline"/>
        </w:rPr>
        <w:t> </w:t>
      </w:r>
      <w:r>
        <w:rPr>
          <w:sz w:val="22"/>
          <w:vertAlign w:val="baseline"/>
        </w:rPr>
        <w:t>all found using Molinares-Blanco (2019) findings and proposals. Red squares indicate samples from this</w:t>
      </w:r>
      <w:r>
        <w:rPr>
          <w:spacing w:val="-47"/>
          <w:sz w:val="22"/>
          <w:vertAlign w:val="baseline"/>
        </w:rPr>
        <w:t> </w:t>
      </w:r>
      <w:r>
        <w:rPr>
          <w:sz w:val="22"/>
          <w:vertAlign w:val="baseline"/>
        </w:rPr>
        <w:t>study,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black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circles are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data points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from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Molinares-Blanco (2019).</w:t>
      </w:r>
    </w:p>
    <w:p>
      <w:pPr>
        <w:spacing w:after="0"/>
        <w:jc w:val="left"/>
        <w:rPr>
          <w:sz w:val="22"/>
        </w:rPr>
        <w:sectPr>
          <w:pgSz w:w="12240" w:h="15840"/>
          <w:pgMar w:header="0" w:footer="1014" w:top="1500" w:bottom="1200" w:left="1320" w:right="820"/>
        </w:sectPr>
      </w:pPr>
    </w:p>
    <w:p>
      <w:pPr>
        <w:pStyle w:val="BodyText"/>
        <w:rPr>
          <w:sz w:val="26"/>
        </w:rPr>
      </w:pPr>
    </w:p>
    <w:p>
      <w:pPr>
        <w:pStyle w:val="Heading1"/>
        <w:spacing w:before="51"/>
        <w:ind w:right="3506"/>
      </w:pPr>
      <w:bookmarkStart w:name="_TOC_250001" w:id="5"/>
      <w:r>
        <w:rPr/>
        <w:t>CHAPTER</w:t>
      </w:r>
      <w:r>
        <w:rPr>
          <w:spacing w:val="-1"/>
        </w:rPr>
        <w:t> </w:t>
      </w:r>
      <w:bookmarkEnd w:id="5"/>
      <w:r>
        <w:rPr/>
        <w:t>IV</w:t>
      </w:r>
    </w:p>
    <w:p>
      <w:pPr>
        <w:pStyle w:val="BodyText"/>
        <w:rPr>
          <w:b/>
          <w:sz w:val="20"/>
        </w:rPr>
      </w:pPr>
    </w:p>
    <w:p>
      <w:pPr>
        <w:pStyle w:val="Heading2"/>
        <w:numPr>
          <w:ilvl w:val="0"/>
          <w:numId w:val="5"/>
        </w:numPr>
        <w:tabs>
          <w:tab w:pos="363" w:val="left" w:leader="none"/>
        </w:tabs>
        <w:spacing w:line="240" w:lineRule="auto" w:before="207" w:after="0"/>
        <w:ind w:left="362" w:right="0" w:hanging="243"/>
        <w:jc w:val="left"/>
      </w:pPr>
      <w:bookmarkStart w:name="_TOC_250000" w:id="6"/>
      <w:bookmarkEnd w:id="6"/>
      <w:r>
        <w:rPr/>
        <w:t>Discussion</w:t>
      </w:r>
    </w:p>
    <w:p>
      <w:pPr>
        <w:pStyle w:val="BodyText"/>
        <w:rPr>
          <w:b/>
        </w:rPr>
      </w:pPr>
    </w:p>
    <w:p>
      <w:pPr>
        <w:pStyle w:val="ListParagraph"/>
        <w:numPr>
          <w:ilvl w:val="1"/>
          <w:numId w:val="5"/>
        </w:numPr>
        <w:tabs>
          <w:tab w:pos="478" w:val="left" w:leader="none"/>
        </w:tabs>
        <w:spacing w:line="240" w:lineRule="auto" w:before="161" w:after="0"/>
        <w:ind w:left="477" w:right="0" w:hanging="358"/>
        <w:jc w:val="left"/>
        <w:rPr>
          <w:i/>
          <w:sz w:val="24"/>
        </w:rPr>
      </w:pPr>
      <w:r>
        <w:rPr>
          <w:i/>
          <w:sz w:val="24"/>
        </w:rPr>
        <w:t>LCMS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vs.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GCMS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for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aromatic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carotenoids</w:t>
      </w:r>
    </w:p>
    <w:p>
      <w:pPr>
        <w:pStyle w:val="BodyText"/>
        <w:rPr>
          <w:i/>
        </w:rPr>
      </w:pPr>
    </w:p>
    <w:p>
      <w:pPr>
        <w:pStyle w:val="BodyText"/>
        <w:spacing w:line="480" w:lineRule="auto" w:before="160"/>
        <w:ind w:left="120" w:right="723" w:firstLine="706"/>
      </w:pPr>
      <w:r>
        <w:rPr/>
        <w:t>All previous studies looking at biomarkers in the Wyche-1 core of the Woodford Shale</w:t>
      </w:r>
      <w:r>
        <w:rPr>
          <w:spacing w:val="1"/>
        </w:rPr>
        <w:t> </w:t>
      </w:r>
      <w:r>
        <w:rPr/>
        <w:t>have been done using GCMS. The analytical window of GCMS is restricted to volatile</w:t>
      </w:r>
      <w:r>
        <w:rPr>
          <w:spacing w:val="1"/>
        </w:rPr>
        <w:t> </w:t>
      </w:r>
      <w:r>
        <w:rPr/>
        <w:t>compounds, such as the non-polar hydrocarbons. However, with LCMS the polar fraction of</w:t>
      </w:r>
      <w:r>
        <w:rPr>
          <w:spacing w:val="1"/>
        </w:rPr>
        <w:t> </w:t>
      </w:r>
      <w:r>
        <w:rPr/>
        <w:t>biomarkers can be well characterized. Extraction and sample preparation methods for GCMS is</w:t>
      </w:r>
      <w:r>
        <w:rPr>
          <w:spacing w:val="-52"/>
        </w:rPr>
        <w:t> </w:t>
      </w:r>
      <w:r>
        <w:rPr/>
        <w:t>tedious and takes much more time than LCMS (Connock et al., 2018). Comparatively, the ultra-</w:t>
      </w:r>
      <w:r>
        <w:rPr>
          <w:spacing w:val="-52"/>
        </w:rPr>
        <w:t> </w:t>
      </w:r>
      <w:r>
        <w:rPr/>
        <w:t>sonic</w:t>
      </w:r>
      <w:r>
        <w:rPr>
          <w:spacing w:val="-3"/>
        </w:rPr>
        <w:t> </w:t>
      </w:r>
      <w:r>
        <w:rPr/>
        <w:t>bath</w:t>
      </w:r>
      <w:r>
        <w:rPr>
          <w:spacing w:val="-3"/>
        </w:rPr>
        <w:t> </w:t>
      </w:r>
      <w:r>
        <w:rPr/>
        <w:t>method</w:t>
      </w:r>
      <w:r>
        <w:rPr>
          <w:spacing w:val="-2"/>
        </w:rPr>
        <w:t> </w:t>
      </w:r>
      <w:r>
        <w:rPr/>
        <w:t>used</w:t>
      </w:r>
      <w:r>
        <w:rPr>
          <w:spacing w:val="-3"/>
        </w:rPr>
        <w:t> </w:t>
      </w:r>
      <w:r>
        <w:rPr/>
        <w:t>in</w:t>
      </w:r>
      <w:r>
        <w:rPr>
          <w:spacing w:val="2"/>
        </w:rPr>
        <w:t> </w:t>
      </w:r>
      <w:r>
        <w:rPr/>
        <w:t>this</w:t>
      </w:r>
      <w:r>
        <w:rPr>
          <w:spacing w:val="-2"/>
        </w:rPr>
        <w:t> </w:t>
      </w:r>
      <w:r>
        <w:rPr/>
        <w:t>study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LCMS</w:t>
      </w:r>
      <w:r>
        <w:rPr>
          <w:spacing w:val="-3"/>
        </w:rPr>
        <w:t> </w:t>
      </w:r>
      <w:r>
        <w:rPr/>
        <w:t>analysis</w:t>
      </w:r>
      <w:r>
        <w:rPr>
          <w:spacing w:val="-3"/>
        </w:rPr>
        <w:t> </w:t>
      </w:r>
      <w:r>
        <w:rPr/>
        <w:t>is</w:t>
      </w:r>
      <w:r>
        <w:rPr>
          <w:spacing w:val="1"/>
        </w:rPr>
        <w:t> </w:t>
      </w:r>
      <w:r>
        <w:rPr/>
        <w:t>quick.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average</w:t>
      </w:r>
      <w:r>
        <w:rPr>
          <w:spacing w:val="2"/>
        </w:rPr>
        <w:t> </w:t>
      </w:r>
      <w:r>
        <w:rPr/>
        <w:t>8</w:t>
      </w:r>
      <w:r>
        <w:rPr>
          <w:spacing w:val="-2"/>
        </w:rPr>
        <w:t> </w:t>
      </w:r>
      <w:r>
        <w:rPr/>
        <w:t>samples</w:t>
      </w:r>
      <w:r>
        <w:rPr>
          <w:spacing w:val="-2"/>
        </w:rPr>
        <w:t> </w:t>
      </w:r>
      <w:r>
        <w:rPr/>
        <w:t>could</w:t>
      </w:r>
      <w:r>
        <w:rPr>
          <w:spacing w:val="-3"/>
        </w:rPr>
        <w:t> </w:t>
      </w:r>
      <w:r>
        <w:rPr/>
        <w:t>be</w:t>
      </w:r>
      <w:r>
        <w:rPr>
          <w:spacing w:val="-51"/>
        </w:rPr>
        <w:t> </w:t>
      </w:r>
      <w:r>
        <w:rPr/>
        <w:t>processed in approximately 5 hours. The temperature needed to elute the aromatic</w:t>
      </w:r>
      <w:r>
        <w:rPr>
          <w:spacing w:val="1"/>
        </w:rPr>
        <w:t> </w:t>
      </w:r>
      <w:r>
        <w:rPr/>
        <w:t>carotenoids is too high for the GCMS to safely be operated. However, the ultra-sonic bath</w:t>
      </w:r>
      <w:r>
        <w:rPr>
          <w:spacing w:val="1"/>
        </w:rPr>
        <w:t> </w:t>
      </w:r>
      <w:r>
        <w:rPr/>
        <w:t>extraction used in this study also has some drawbacks; it is not as efficient as the Soxhlet</w:t>
      </w:r>
      <w:r>
        <w:rPr>
          <w:spacing w:val="1"/>
        </w:rPr>
        <w:t> </w:t>
      </w:r>
      <w:r>
        <w:rPr/>
        <w:t>extraction Connock et al. (2018) used. Comparing our LCMS results with those obtained by</w:t>
      </w:r>
      <w:r>
        <w:rPr>
          <w:spacing w:val="1"/>
        </w:rPr>
        <w:t> </w:t>
      </w:r>
      <w:r>
        <w:rPr/>
        <w:t>Connock et al. (2018) for isorenieratane(</w:t>
      </w:r>
      <w:r>
        <w:rPr>
          <w:b/>
        </w:rPr>
        <w:t>I</w:t>
      </w:r>
      <w:r>
        <w:rPr/>
        <w:t>) and paleorenieratane(</w:t>
      </w:r>
      <w:r>
        <w:rPr>
          <w:b/>
        </w:rPr>
        <w:t>II</w:t>
      </w:r>
      <w:r>
        <w:rPr/>
        <w:t>) helps to determine if the</w:t>
      </w:r>
      <w:r>
        <w:rPr>
          <w:spacing w:val="1"/>
        </w:rPr>
        <w:t> </w:t>
      </w:r>
      <w:r>
        <w:rPr/>
        <w:t>new LCMS methods are a viable alternative to the GCMS methods. The LCMS total yields are</w:t>
      </w:r>
      <w:r>
        <w:rPr>
          <w:spacing w:val="1"/>
        </w:rPr>
        <w:t> </w:t>
      </w:r>
      <w:r>
        <w:rPr/>
        <w:t>several orders of magnitude lower than GCMS yields, although the trends are similar (Figure</w:t>
      </w:r>
      <w:r>
        <w:rPr>
          <w:spacing w:val="1"/>
        </w:rPr>
        <w:t> </w:t>
      </w:r>
      <w:r>
        <w:rPr/>
        <w:t>24).</w:t>
      </w:r>
    </w:p>
    <w:p>
      <w:pPr>
        <w:spacing w:after="0" w:line="480" w:lineRule="auto"/>
        <w:sectPr>
          <w:footerReference w:type="default" r:id="rId46"/>
          <w:pgSz w:w="12240" w:h="15840"/>
          <w:pgMar w:footer="1014" w:header="0" w:top="1500" w:bottom="1200" w:left="1320" w:right="820"/>
        </w:sectPr>
      </w:pPr>
    </w:p>
    <w:p>
      <w:pPr>
        <w:spacing w:before="39"/>
        <w:ind w:left="120" w:right="0" w:firstLine="0"/>
        <w:jc w:val="left"/>
        <w:rPr>
          <w:sz w:val="22"/>
        </w:rPr>
      </w:pPr>
      <w:r>
        <w:rPr>
          <w:sz w:val="22"/>
        </w:rPr>
        <w:t>Table</w:t>
      </w:r>
      <w:r>
        <w:rPr>
          <w:spacing w:val="-1"/>
          <w:sz w:val="22"/>
        </w:rPr>
        <w:t> </w:t>
      </w:r>
      <w:r>
        <w:rPr>
          <w:sz w:val="22"/>
        </w:rPr>
        <w:t>9.</w:t>
      </w:r>
      <w:r>
        <w:rPr>
          <w:spacing w:val="-3"/>
          <w:sz w:val="22"/>
        </w:rPr>
        <w:t> </w:t>
      </w:r>
      <w:r>
        <w:rPr>
          <w:sz w:val="22"/>
        </w:rPr>
        <w:t>Results obtained</w:t>
      </w:r>
      <w:r>
        <w:rPr>
          <w:spacing w:val="-1"/>
          <w:sz w:val="22"/>
        </w:rPr>
        <w:t> </w:t>
      </w:r>
      <w:r>
        <w:rPr>
          <w:sz w:val="22"/>
        </w:rPr>
        <w:t>from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LCMS</w:t>
      </w:r>
      <w:r>
        <w:rPr>
          <w:spacing w:val="-2"/>
          <w:sz w:val="22"/>
        </w:rPr>
        <w:t> </w:t>
      </w:r>
      <w:r>
        <w:rPr>
          <w:sz w:val="22"/>
        </w:rPr>
        <w:t>method</w:t>
      </w:r>
      <w:r>
        <w:rPr>
          <w:spacing w:val="-1"/>
          <w:sz w:val="22"/>
        </w:rPr>
        <w:t> </w:t>
      </w:r>
      <w:r>
        <w:rPr>
          <w:sz w:val="22"/>
        </w:rPr>
        <w:t>and the GCMS</w:t>
      </w:r>
      <w:r>
        <w:rPr>
          <w:spacing w:val="-3"/>
          <w:sz w:val="22"/>
        </w:rPr>
        <w:t> </w:t>
      </w:r>
      <w:r>
        <w:rPr>
          <w:sz w:val="22"/>
        </w:rPr>
        <w:t>method</w:t>
      </w:r>
      <w:r>
        <w:rPr>
          <w:spacing w:val="4"/>
          <w:sz w:val="22"/>
        </w:rPr>
        <w:t> </w:t>
      </w:r>
      <w:r>
        <w:rPr>
          <w:i/>
          <w:color w:val="445469"/>
          <w:sz w:val="22"/>
        </w:rPr>
        <w:t>(Connock</w:t>
      </w:r>
      <w:r>
        <w:rPr>
          <w:i/>
          <w:color w:val="445469"/>
          <w:spacing w:val="-1"/>
          <w:sz w:val="22"/>
        </w:rPr>
        <w:t> </w:t>
      </w:r>
      <w:r>
        <w:rPr>
          <w:i/>
          <w:color w:val="445469"/>
          <w:sz w:val="22"/>
        </w:rPr>
        <w:t>et al.,</w:t>
      </w:r>
      <w:r>
        <w:rPr>
          <w:i/>
          <w:color w:val="445469"/>
          <w:spacing w:val="-3"/>
          <w:sz w:val="22"/>
        </w:rPr>
        <w:t> </w:t>
      </w:r>
      <w:r>
        <w:rPr>
          <w:i/>
          <w:color w:val="445469"/>
          <w:sz w:val="22"/>
        </w:rPr>
        <w:t>2018)</w:t>
      </w:r>
      <w:r>
        <w:rPr>
          <w:sz w:val="22"/>
        </w:rPr>
        <w:t>.</w:t>
      </w:r>
    </w:p>
    <w:p>
      <w:pPr>
        <w:pStyle w:val="BodyText"/>
        <w:spacing w:before="5"/>
        <w:rPr>
          <w:sz w:val="16"/>
        </w:rPr>
      </w:pPr>
    </w:p>
    <w:tbl>
      <w:tblPr>
        <w:tblW w:w="0" w:type="auto"/>
        <w:jc w:val="left"/>
        <w:tblInd w:w="1399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6"/>
        <w:gridCol w:w="900"/>
        <w:gridCol w:w="1188"/>
        <w:gridCol w:w="1366"/>
        <w:gridCol w:w="1191"/>
        <w:gridCol w:w="1366"/>
      </w:tblGrid>
      <w:tr>
        <w:trPr>
          <w:trHeight w:val="410" w:hRule="atLeast"/>
        </w:trPr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4472C3"/>
          </w:tcPr>
          <w:p>
            <w:pPr>
              <w:pStyle w:val="TableParagraph"/>
              <w:spacing w:line="240" w:lineRule="auto" w:before="8"/>
              <w:ind w:left="112"/>
              <w:jc w:val="left"/>
              <w:rPr>
                <w:sz w:val="16"/>
              </w:rPr>
            </w:pPr>
            <w:r>
              <w:rPr>
                <w:color w:val="FFFFFF"/>
                <w:sz w:val="16"/>
              </w:rPr>
              <w:t>Sample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4472C3"/>
          </w:tcPr>
          <w:p>
            <w:pPr>
              <w:pStyle w:val="TableParagraph"/>
              <w:spacing w:line="240" w:lineRule="auto" w:before="8"/>
              <w:ind w:left="94" w:right="132"/>
              <w:rPr>
                <w:sz w:val="16"/>
              </w:rPr>
            </w:pPr>
            <w:r>
              <w:rPr>
                <w:color w:val="FFFFFF"/>
                <w:sz w:val="16"/>
              </w:rPr>
              <w:t>Depth</w:t>
            </w:r>
            <w:r>
              <w:rPr>
                <w:color w:val="FFFFFF"/>
                <w:spacing w:val="-2"/>
                <w:sz w:val="16"/>
              </w:rPr>
              <w:t> </w:t>
            </w:r>
            <w:r>
              <w:rPr>
                <w:color w:val="FFFFFF"/>
                <w:sz w:val="16"/>
              </w:rPr>
              <w:t>(ft)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4472C3"/>
          </w:tcPr>
          <w:p>
            <w:pPr>
              <w:pStyle w:val="TableParagraph"/>
              <w:spacing w:line="190" w:lineRule="atLeast"/>
              <w:ind w:left="288" w:right="94" w:hanging="164"/>
              <w:jc w:val="left"/>
              <w:rPr>
                <w:sz w:val="16"/>
              </w:rPr>
            </w:pPr>
            <w:r>
              <w:rPr>
                <w:color w:val="FFFFFF"/>
                <w:sz w:val="16"/>
              </w:rPr>
              <w:t>Isorenieratane</w:t>
            </w:r>
            <w:r>
              <w:rPr>
                <w:color w:val="FFFFFF"/>
                <w:spacing w:val="-35"/>
                <w:sz w:val="16"/>
              </w:rPr>
              <w:t> </w:t>
            </w:r>
            <w:r>
              <w:rPr>
                <w:color w:val="FFFFFF"/>
                <w:sz w:val="16"/>
              </w:rPr>
              <w:t>(ng/g OC)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4472C3"/>
          </w:tcPr>
          <w:p>
            <w:pPr>
              <w:pStyle w:val="TableParagraph"/>
              <w:spacing w:line="190" w:lineRule="atLeast"/>
              <w:ind w:left="377" w:right="112" w:hanging="250"/>
              <w:jc w:val="left"/>
              <w:rPr>
                <w:sz w:val="16"/>
              </w:rPr>
            </w:pPr>
            <w:r>
              <w:rPr>
                <w:color w:val="FFFFFF"/>
                <w:spacing w:val="-1"/>
                <w:sz w:val="16"/>
              </w:rPr>
              <w:t>Paleorenieratane</w:t>
            </w:r>
            <w:r>
              <w:rPr>
                <w:color w:val="FFFFFF"/>
                <w:spacing w:val="-34"/>
                <w:sz w:val="16"/>
              </w:rPr>
              <w:t> </w:t>
            </w:r>
            <w:r>
              <w:rPr>
                <w:color w:val="FFFFFF"/>
                <w:sz w:val="16"/>
              </w:rPr>
              <w:t>(ng/g OC)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4472C3"/>
          </w:tcPr>
          <w:p>
            <w:pPr>
              <w:pStyle w:val="TableParagraph"/>
              <w:spacing w:line="190" w:lineRule="atLeast"/>
              <w:ind w:left="287" w:right="98" w:hanging="164"/>
              <w:jc w:val="left"/>
              <w:rPr>
                <w:sz w:val="16"/>
              </w:rPr>
            </w:pPr>
            <w:r>
              <w:rPr>
                <w:color w:val="FFFFFF"/>
                <w:sz w:val="16"/>
              </w:rPr>
              <w:t>Isorenieratane</w:t>
            </w:r>
            <w:r>
              <w:rPr>
                <w:color w:val="FFFFFF"/>
                <w:spacing w:val="-35"/>
                <w:sz w:val="16"/>
              </w:rPr>
              <w:t> </w:t>
            </w:r>
            <w:r>
              <w:rPr>
                <w:color w:val="FFFFFF"/>
                <w:sz w:val="16"/>
              </w:rPr>
              <w:t>(ng/g OC)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4472C3"/>
          </w:tcPr>
          <w:p>
            <w:pPr>
              <w:pStyle w:val="TableParagraph"/>
              <w:spacing w:line="190" w:lineRule="atLeast"/>
              <w:ind w:left="376" w:right="113" w:hanging="250"/>
              <w:jc w:val="left"/>
              <w:rPr>
                <w:sz w:val="16"/>
              </w:rPr>
            </w:pPr>
            <w:r>
              <w:rPr>
                <w:color w:val="FFFFFF"/>
                <w:spacing w:val="-1"/>
                <w:sz w:val="16"/>
              </w:rPr>
              <w:t>Paleorenieratane</w:t>
            </w:r>
            <w:r>
              <w:rPr>
                <w:color w:val="FFFFFF"/>
                <w:spacing w:val="-34"/>
                <w:sz w:val="16"/>
              </w:rPr>
              <w:t> </w:t>
            </w:r>
            <w:r>
              <w:rPr>
                <w:color w:val="FFFFFF"/>
                <w:sz w:val="16"/>
              </w:rPr>
              <w:t>(ng/g OC)</w:t>
            </w:r>
          </w:p>
        </w:tc>
      </w:tr>
      <w:tr>
        <w:trPr>
          <w:trHeight w:val="196" w:hRule="atLeast"/>
        </w:trPr>
        <w:tc>
          <w:tcPr>
            <w:tcW w:w="806" w:type="dxa"/>
            <w:tcBorders>
              <w:top w:val="nil"/>
            </w:tcBorders>
            <w:shd w:val="clear" w:color="auto" w:fill="D8E2F2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900" w:type="dxa"/>
            <w:tcBorders>
              <w:top w:val="nil"/>
            </w:tcBorders>
            <w:shd w:val="clear" w:color="auto" w:fill="D8E2F2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554" w:type="dxa"/>
            <w:gridSpan w:val="2"/>
            <w:tcBorders>
              <w:top w:val="nil"/>
            </w:tcBorders>
            <w:shd w:val="clear" w:color="auto" w:fill="D8E2F2"/>
          </w:tcPr>
          <w:p>
            <w:pPr>
              <w:pStyle w:val="TableParagraph"/>
              <w:spacing w:line="177" w:lineRule="exact"/>
              <w:ind w:left="1077" w:right="1063"/>
              <w:rPr>
                <w:sz w:val="16"/>
              </w:rPr>
            </w:pPr>
            <w:r>
              <w:rPr>
                <w:sz w:val="16"/>
              </w:rPr>
              <w:t>LCMS</w:t>
            </w:r>
          </w:p>
        </w:tc>
        <w:tc>
          <w:tcPr>
            <w:tcW w:w="2557" w:type="dxa"/>
            <w:gridSpan w:val="2"/>
            <w:tcBorders>
              <w:top w:val="nil"/>
            </w:tcBorders>
            <w:shd w:val="clear" w:color="auto" w:fill="D8E2F2"/>
          </w:tcPr>
          <w:p>
            <w:pPr>
              <w:pStyle w:val="TableParagraph"/>
              <w:spacing w:line="177" w:lineRule="exact"/>
              <w:ind w:left="551"/>
              <w:jc w:val="left"/>
              <w:rPr>
                <w:sz w:val="16"/>
              </w:rPr>
            </w:pPr>
            <w:r>
              <w:rPr>
                <w:sz w:val="16"/>
              </w:rPr>
              <w:t>GCMS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Connock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(2018)</w:t>
            </w:r>
          </w:p>
        </w:tc>
      </w:tr>
      <w:tr>
        <w:trPr>
          <w:trHeight w:val="193" w:hRule="atLeast"/>
        </w:trPr>
        <w:tc>
          <w:tcPr>
            <w:tcW w:w="806" w:type="dxa"/>
          </w:tcPr>
          <w:p>
            <w:pPr>
              <w:pStyle w:val="TableParagraph"/>
              <w:ind w:left="131"/>
              <w:jc w:val="left"/>
              <w:rPr>
                <w:sz w:val="16"/>
              </w:rPr>
            </w:pPr>
            <w:r>
              <w:rPr>
                <w:sz w:val="16"/>
              </w:rPr>
              <w:t>WCH-40</w:t>
            </w:r>
          </w:p>
        </w:tc>
        <w:tc>
          <w:tcPr>
            <w:tcW w:w="900" w:type="dxa"/>
          </w:tcPr>
          <w:p>
            <w:pPr>
              <w:pStyle w:val="TableParagraph"/>
              <w:ind w:right="79"/>
              <w:rPr>
                <w:sz w:val="16"/>
              </w:rPr>
            </w:pPr>
            <w:r>
              <w:rPr>
                <w:sz w:val="16"/>
              </w:rPr>
              <w:t>93.83</w:t>
            </w:r>
          </w:p>
        </w:tc>
        <w:tc>
          <w:tcPr>
            <w:tcW w:w="1188" w:type="dxa"/>
          </w:tcPr>
          <w:p>
            <w:pPr>
              <w:pStyle w:val="TableParagraph"/>
              <w:ind w:left="350" w:right="341"/>
              <w:rPr>
                <w:sz w:val="16"/>
              </w:rPr>
            </w:pPr>
            <w:r>
              <w:rPr>
                <w:sz w:val="16"/>
              </w:rPr>
              <w:t>20.76</w:t>
            </w:r>
          </w:p>
        </w:tc>
        <w:tc>
          <w:tcPr>
            <w:tcW w:w="1366" w:type="dxa"/>
          </w:tcPr>
          <w:p>
            <w:pPr>
              <w:pStyle w:val="TableParagraph"/>
              <w:ind w:left="439" w:right="431"/>
              <w:rPr>
                <w:sz w:val="16"/>
              </w:rPr>
            </w:pPr>
            <w:r>
              <w:rPr>
                <w:sz w:val="16"/>
              </w:rPr>
              <w:t>36.62</w:t>
            </w:r>
          </w:p>
        </w:tc>
        <w:tc>
          <w:tcPr>
            <w:tcW w:w="1191" w:type="dxa"/>
          </w:tcPr>
          <w:p>
            <w:pPr>
              <w:pStyle w:val="TableParagraph"/>
              <w:ind w:left="371" w:right="363"/>
              <w:rPr>
                <w:sz w:val="16"/>
              </w:rPr>
            </w:pPr>
            <w:r>
              <w:rPr>
                <w:sz w:val="16"/>
              </w:rPr>
              <w:t>700</w:t>
            </w:r>
          </w:p>
        </w:tc>
        <w:tc>
          <w:tcPr>
            <w:tcW w:w="1366" w:type="dxa"/>
          </w:tcPr>
          <w:p>
            <w:pPr>
              <w:pStyle w:val="TableParagraph"/>
              <w:ind w:left="439" w:right="430"/>
              <w:rPr>
                <w:sz w:val="16"/>
              </w:rPr>
            </w:pPr>
            <w:r>
              <w:rPr>
                <w:sz w:val="16"/>
              </w:rPr>
              <w:t>1770</w:t>
            </w:r>
          </w:p>
        </w:tc>
      </w:tr>
      <w:tr>
        <w:trPr>
          <w:trHeight w:val="196" w:hRule="atLeast"/>
        </w:trPr>
        <w:tc>
          <w:tcPr>
            <w:tcW w:w="806" w:type="dxa"/>
            <w:shd w:val="clear" w:color="auto" w:fill="D8E2F2"/>
          </w:tcPr>
          <w:p>
            <w:pPr>
              <w:pStyle w:val="TableParagraph"/>
              <w:spacing w:line="176" w:lineRule="exact"/>
              <w:ind w:left="131"/>
              <w:jc w:val="left"/>
              <w:rPr>
                <w:sz w:val="16"/>
              </w:rPr>
            </w:pPr>
            <w:r>
              <w:rPr>
                <w:sz w:val="16"/>
              </w:rPr>
              <w:t>WCH-41</w:t>
            </w:r>
          </w:p>
        </w:tc>
        <w:tc>
          <w:tcPr>
            <w:tcW w:w="900" w:type="dxa"/>
            <w:shd w:val="clear" w:color="auto" w:fill="D8E2F2"/>
          </w:tcPr>
          <w:p>
            <w:pPr>
              <w:pStyle w:val="TableParagraph"/>
              <w:spacing w:line="176" w:lineRule="exact"/>
              <w:ind w:right="80"/>
              <w:rPr>
                <w:sz w:val="16"/>
              </w:rPr>
            </w:pPr>
            <w:r>
              <w:rPr>
                <w:sz w:val="16"/>
              </w:rPr>
              <w:t>109.17</w:t>
            </w:r>
          </w:p>
        </w:tc>
        <w:tc>
          <w:tcPr>
            <w:tcW w:w="1188" w:type="dxa"/>
            <w:shd w:val="clear" w:color="auto" w:fill="D8E2F2"/>
          </w:tcPr>
          <w:p>
            <w:pPr>
              <w:pStyle w:val="TableParagraph"/>
              <w:spacing w:line="176" w:lineRule="exact"/>
              <w:ind w:left="350" w:right="341"/>
              <w:rPr>
                <w:sz w:val="16"/>
              </w:rPr>
            </w:pPr>
            <w:r>
              <w:rPr>
                <w:sz w:val="16"/>
              </w:rPr>
              <w:t>13.14</w:t>
            </w:r>
          </w:p>
        </w:tc>
        <w:tc>
          <w:tcPr>
            <w:tcW w:w="1366" w:type="dxa"/>
            <w:shd w:val="clear" w:color="auto" w:fill="D8E2F2"/>
          </w:tcPr>
          <w:p>
            <w:pPr>
              <w:pStyle w:val="TableParagraph"/>
              <w:spacing w:line="176" w:lineRule="exact"/>
              <w:ind w:left="439" w:right="431"/>
              <w:rPr>
                <w:sz w:val="16"/>
              </w:rPr>
            </w:pPr>
            <w:r>
              <w:rPr>
                <w:sz w:val="16"/>
              </w:rPr>
              <w:t>7.41</w:t>
            </w:r>
          </w:p>
        </w:tc>
        <w:tc>
          <w:tcPr>
            <w:tcW w:w="1191" w:type="dxa"/>
            <w:shd w:val="clear" w:color="auto" w:fill="D8E2F2"/>
          </w:tcPr>
          <w:p>
            <w:pPr>
              <w:pStyle w:val="TableParagraph"/>
              <w:spacing w:line="176" w:lineRule="exact"/>
              <w:ind w:left="371" w:right="363"/>
              <w:rPr>
                <w:sz w:val="16"/>
              </w:rPr>
            </w:pPr>
            <w:r>
              <w:rPr>
                <w:sz w:val="16"/>
              </w:rPr>
              <w:t>970</w:t>
            </w:r>
          </w:p>
        </w:tc>
        <w:tc>
          <w:tcPr>
            <w:tcW w:w="1366" w:type="dxa"/>
            <w:shd w:val="clear" w:color="auto" w:fill="D8E2F2"/>
          </w:tcPr>
          <w:p>
            <w:pPr>
              <w:pStyle w:val="TableParagraph"/>
              <w:spacing w:line="176" w:lineRule="exact"/>
              <w:ind w:left="439" w:right="430"/>
              <w:rPr>
                <w:sz w:val="16"/>
              </w:rPr>
            </w:pPr>
            <w:r>
              <w:rPr>
                <w:sz w:val="16"/>
              </w:rPr>
              <w:t>1080</w:t>
            </w:r>
          </w:p>
        </w:tc>
      </w:tr>
      <w:tr>
        <w:trPr>
          <w:trHeight w:val="194" w:hRule="atLeast"/>
        </w:trPr>
        <w:tc>
          <w:tcPr>
            <w:tcW w:w="806" w:type="dxa"/>
          </w:tcPr>
          <w:p>
            <w:pPr>
              <w:pStyle w:val="TableParagraph"/>
              <w:ind w:left="131"/>
              <w:jc w:val="left"/>
              <w:rPr>
                <w:sz w:val="16"/>
              </w:rPr>
            </w:pPr>
            <w:r>
              <w:rPr>
                <w:sz w:val="16"/>
              </w:rPr>
              <w:t>WCH-42</w:t>
            </w:r>
          </w:p>
        </w:tc>
        <w:tc>
          <w:tcPr>
            <w:tcW w:w="900" w:type="dxa"/>
          </w:tcPr>
          <w:p>
            <w:pPr>
              <w:pStyle w:val="TableParagraph"/>
              <w:ind w:right="80"/>
              <w:rPr>
                <w:sz w:val="16"/>
              </w:rPr>
            </w:pPr>
            <w:r>
              <w:rPr>
                <w:sz w:val="16"/>
              </w:rPr>
              <w:t>112.50</w:t>
            </w:r>
          </w:p>
        </w:tc>
        <w:tc>
          <w:tcPr>
            <w:tcW w:w="1188" w:type="dxa"/>
          </w:tcPr>
          <w:p>
            <w:pPr>
              <w:pStyle w:val="TableParagraph"/>
              <w:ind w:left="350" w:right="341"/>
              <w:rPr>
                <w:sz w:val="16"/>
              </w:rPr>
            </w:pPr>
            <w:r>
              <w:rPr>
                <w:sz w:val="16"/>
              </w:rPr>
              <w:t>8.47</w:t>
            </w:r>
          </w:p>
        </w:tc>
        <w:tc>
          <w:tcPr>
            <w:tcW w:w="1366" w:type="dxa"/>
          </w:tcPr>
          <w:p>
            <w:pPr>
              <w:pStyle w:val="TableParagraph"/>
              <w:ind w:left="439" w:right="431"/>
              <w:rPr>
                <w:sz w:val="16"/>
              </w:rPr>
            </w:pPr>
            <w:r>
              <w:rPr>
                <w:sz w:val="16"/>
              </w:rPr>
              <w:t>4.24</w:t>
            </w:r>
          </w:p>
        </w:tc>
        <w:tc>
          <w:tcPr>
            <w:tcW w:w="1191" w:type="dxa"/>
          </w:tcPr>
          <w:p>
            <w:pPr>
              <w:pStyle w:val="TableParagraph"/>
              <w:ind w:left="371" w:right="364"/>
              <w:rPr>
                <w:sz w:val="16"/>
              </w:rPr>
            </w:pPr>
            <w:r>
              <w:rPr>
                <w:sz w:val="16"/>
              </w:rPr>
              <w:t>1080</w:t>
            </w:r>
          </w:p>
        </w:tc>
        <w:tc>
          <w:tcPr>
            <w:tcW w:w="1366" w:type="dxa"/>
          </w:tcPr>
          <w:p>
            <w:pPr>
              <w:pStyle w:val="TableParagraph"/>
              <w:ind w:left="439" w:right="430"/>
              <w:rPr>
                <w:sz w:val="16"/>
              </w:rPr>
            </w:pPr>
            <w:r>
              <w:rPr>
                <w:sz w:val="16"/>
              </w:rPr>
              <w:t>580</w:t>
            </w:r>
          </w:p>
        </w:tc>
      </w:tr>
      <w:tr>
        <w:trPr>
          <w:trHeight w:val="196" w:hRule="atLeast"/>
        </w:trPr>
        <w:tc>
          <w:tcPr>
            <w:tcW w:w="806" w:type="dxa"/>
            <w:shd w:val="clear" w:color="auto" w:fill="D8E2F2"/>
          </w:tcPr>
          <w:p>
            <w:pPr>
              <w:pStyle w:val="TableParagraph"/>
              <w:spacing w:line="175" w:lineRule="exact" w:before="1"/>
              <w:ind w:left="131"/>
              <w:jc w:val="left"/>
              <w:rPr>
                <w:sz w:val="16"/>
              </w:rPr>
            </w:pPr>
            <w:r>
              <w:rPr>
                <w:sz w:val="16"/>
              </w:rPr>
              <w:t>WCH-43</w:t>
            </w:r>
          </w:p>
        </w:tc>
        <w:tc>
          <w:tcPr>
            <w:tcW w:w="900" w:type="dxa"/>
            <w:shd w:val="clear" w:color="auto" w:fill="D8E2F2"/>
          </w:tcPr>
          <w:p>
            <w:pPr>
              <w:pStyle w:val="TableParagraph"/>
              <w:spacing w:line="175" w:lineRule="exact" w:before="1"/>
              <w:ind w:right="80"/>
              <w:rPr>
                <w:sz w:val="16"/>
              </w:rPr>
            </w:pPr>
            <w:r>
              <w:rPr>
                <w:sz w:val="16"/>
              </w:rPr>
              <w:t>126.17</w:t>
            </w:r>
          </w:p>
        </w:tc>
        <w:tc>
          <w:tcPr>
            <w:tcW w:w="1188" w:type="dxa"/>
            <w:shd w:val="clear" w:color="auto" w:fill="D8E2F2"/>
          </w:tcPr>
          <w:p>
            <w:pPr>
              <w:pStyle w:val="TableParagraph"/>
              <w:spacing w:line="175" w:lineRule="exact" w:before="1"/>
              <w:ind w:left="350" w:right="341"/>
              <w:rPr>
                <w:sz w:val="16"/>
              </w:rPr>
            </w:pPr>
            <w:r>
              <w:rPr>
                <w:sz w:val="16"/>
              </w:rPr>
              <w:t>2.79</w:t>
            </w:r>
          </w:p>
        </w:tc>
        <w:tc>
          <w:tcPr>
            <w:tcW w:w="1366" w:type="dxa"/>
            <w:shd w:val="clear" w:color="auto" w:fill="D8E2F2"/>
          </w:tcPr>
          <w:p>
            <w:pPr>
              <w:pStyle w:val="TableParagraph"/>
              <w:spacing w:line="175" w:lineRule="exact" w:before="1"/>
              <w:ind w:left="439" w:right="431"/>
              <w:rPr>
                <w:sz w:val="16"/>
              </w:rPr>
            </w:pPr>
            <w:r>
              <w:rPr>
                <w:sz w:val="16"/>
              </w:rPr>
              <w:t>8.34</w:t>
            </w:r>
          </w:p>
        </w:tc>
        <w:tc>
          <w:tcPr>
            <w:tcW w:w="1191" w:type="dxa"/>
            <w:shd w:val="clear" w:color="auto" w:fill="D8E2F2"/>
          </w:tcPr>
          <w:p>
            <w:pPr>
              <w:pStyle w:val="TableParagraph"/>
              <w:spacing w:line="175" w:lineRule="exact" w:before="1"/>
              <w:ind w:left="371" w:right="364"/>
              <w:rPr>
                <w:sz w:val="16"/>
              </w:rPr>
            </w:pPr>
            <w:r>
              <w:rPr>
                <w:sz w:val="16"/>
              </w:rPr>
              <w:t>1100</w:t>
            </w:r>
          </w:p>
        </w:tc>
        <w:tc>
          <w:tcPr>
            <w:tcW w:w="1366" w:type="dxa"/>
            <w:shd w:val="clear" w:color="auto" w:fill="D8E2F2"/>
          </w:tcPr>
          <w:p>
            <w:pPr>
              <w:pStyle w:val="TableParagraph"/>
              <w:spacing w:line="175" w:lineRule="exact" w:before="1"/>
              <w:ind w:left="439" w:right="430"/>
              <w:rPr>
                <w:sz w:val="16"/>
              </w:rPr>
            </w:pPr>
            <w:r>
              <w:rPr>
                <w:sz w:val="16"/>
              </w:rPr>
              <w:t>3790</w:t>
            </w:r>
          </w:p>
        </w:tc>
      </w:tr>
      <w:tr>
        <w:trPr>
          <w:trHeight w:val="194" w:hRule="atLeast"/>
        </w:trPr>
        <w:tc>
          <w:tcPr>
            <w:tcW w:w="806" w:type="dxa"/>
          </w:tcPr>
          <w:p>
            <w:pPr>
              <w:pStyle w:val="TableParagraph"/>
              <w:ind w:left="131"/>
              <w:jc w:val="left"/>
              <w:rPr>
                <w:sz w:val="16"/>
              </w:rPr>
            </w:pPr>
            <w:r>
              <w:rPr>
                <w:sz w:val="16"/>
              </w:rPr>
              <w:t>WCH-60</w:t>
            </w:r>
          </w:p>
        </w:tc>
        <w:tc>
          <w:tcPr>
            <w:tcW w:w="900" w:type="dxa"/>
          </w:tcPr>
          <w:p>
            <w:pPr>
              <w:pStyle w:val="TableParagraph"/>
              <w:ind w:right="80"/>
              <w:rPr>
                <w:sz w:val="16"/>
              </w:rPr>
            </w:pPr>
            <w:r>
              <w:rPr>
                <w:sz w:val="16"/>
              </w:rPr>
              <w:t>131.75</w:t>
            </w:r>
          </w:p>
        </w:tc>
        <w:tc>
          <w:tcPr>
            <w:tcW w:w="1188" w:type="dxa"/>
          </w:tcPr>
          <w:p>
            <w:pPr>
              <w:pStyle w:val="TableParagraph"/>
              <w:ind w:left="350" w:right="341"/>
              <w:rPr>
                <w:sz w:val="16"/>
              </w:rPr>
            </w:pPr>
            <w:r>
              <w:rPr>
                <w:sz w:val="16"/>
              </w:rPr>
              <w:t>11.43</w:t>
            </w:r>
          </w:p>
        </w:tc>
        <w:tc>
          <w:tcPr>
            <w:tcW w:w="1366" w:type="dxa"/>
          </w:tcPr>
          <w:p>
            <w:pPr>
              <w:pStyle w:val="TableParagraph"/>
              <w:ind w:left="439" w:right="431"/>
              <w:rPr>
                <w:sz w:val="16"/>
              </w:rPr>
            </w:pPr>
            <w:r>
              <w:rPr>
                <w:sz w:val="16"/>
              </w:rPr>
              <w:t>35.10</w:t>
            </w:r>
          </w:p>
        </w:tc>
        <w:tc>
          <w:tcPr>
            <w:tcW w:w="1191" w:type="dxa"/>
          </w:tcPr>
          <w:p>
            <w:pPr>
              <w:pStyle w:val="TableParagraph"/>
              <w:ind w:left="371" w:right="364"/>
              <w:rPr>
                <w:sz w:val="16"/>
              </w:rPr>
            </w:pPr>
            <w:r>
              <w:rPr>
                <w:sz w:val="16"/>
              </w:rPr>
              <w:t>1470</w:t>
            </w:r>
          </w:p>
        </w:tc>
        <w:tc>
          <w:tcPr>
            <w:tcW w:w="1366" w:type="dxa"/>
          </w:tcPr>
          <w:p>
            <w:pPr>
              <w:pStyle w:val="TableParagraph"/>
              <w:ind w:left="439" w:right="430"/>
              <w:rPr>
                <w:sz w:val="16"/>
              </w:rPr>
            </w:pPr>
            <w:r>
              <w:rPr>
                <w:sz w:val="16"/>
              </w:rPr>
              <w:t>5760</w:t>
            </w:r>
          </w:p>
        </w:tc>
      </w:tr>
      <w:tr>
        <w:trPr>
          <w:trHeight w:val="196" w:hRule="atLeast"/>
        </w:trPr>
        <w:tc>
          <w:tcPr>
            <w:tcW w:w="806" w:type="dxa"/>
            <w:shd w:val="clear" w:color="auto" w:fill="D8E2F2"/>
          </w:tcPr>
          <w:p>
            <w:pPr>
              <w:pStyle w:val="TableParagraph"/>
              <w:spacing w:line="175" w:lineRule="exact" w:before="1"/>
              <w:ind w:left="131"/>
              <w:jc w:val="left"/>
              <w:rPr>
                <w:sz w:val="16"/>
              </w:rPr>
            </w:pPr>
            <w:r>
              <w:rPr>
                <w:sz w:val="16"/>
              </w:rPr>
              <w:t>WCH-61</w:t>
            </w:r>
          </w:p>
        </w:tc>
        <w:tc>
          <w:tcPr>
            <w:tcW w:w="900" w:type="dxa"/>
            <w:shd w:val="clear" w:color="auto" w:fill="D8E2F2"/>
          </w:tcPr>
          <w:p>
            <w:pPr>
              <w:pStyle w:val="TableParagraph"/>
              <w:spacing w:line="175" w:lineRule="exact" w:before="1"/>
              <w:ind w:right="80"/>
              <w:rPr>
                <w:sz w:val="16"/>
              </w:rPr>
            </w:pPr>
            <w:r>
              <w:rPr>
                <w:sz w:val="16"/>
              </w:rPr>
              <w:t>132.75</w:t>
            </w:r>
          </w:p>
        </w:tc>
        <w:tc>
          <w:tcPr>
            <w:tcW w:w="1188" w:type="dxa"/>
            <w:shd w:val="clear" w:color="auto" w:fill="D8E2F2"/>
          </w:tcPr>
          <w:p>
            <w:pPr>
              <w:pStyle w:val="TableParagraph"/>
              <w:spacing w:line="175" w:lineRule="exact" w:before="1"/>
              <w:ind w:left="350" w:right="341"/>
              <w:rPr>
                <w:sz w:val="16"/>
              </w:rPr>
            </w:pPr>
            <w:r>
              <w:rPr>
                <w:sz w:val="16"/>
              </w:rPr>
              <w:t>25.53</w:t>
            </w:r>
          </w:p>
        </w:tc>
        <w:tc>
          <w:tcPr>
            <w:tcW w:w="1366" w:type="dxa"/>
            <w:shd w:val="clear" w:color="auto" w:fill="D8E2F2"/>
          </w:tcPr>
          <w:p>
            <w:pPr>
              <w:pStyle w:val="TableParagraph"/>
              <w:spacing w:line="175" w:lineRule="exact" w:before="1"/>
              <w:ind w:left="439" w:right="431"/>
              <w:rPr>
                <w:sz w:val="16"/>
              </w:rPr>
            </w:pPr>
            <w:r>
              <w:rPr>
                <w:sz w:val="16"/>
              </w:rPr>
              <w:t>120.17</w:t>
            </w:r>
          </w:p>
        </w:tc>
        <w:tc>
          <w:tcPr>
            <w:tcW w:w="1191" w:type="dxa"/>
            <w:shd w:val="clear" w:color="auto" w:fill="D8E2F2"/>
          </w:tcPr>
          <w:p>
            <w:pPr>
              <w:pStyle w:val="TableParagraph"/>
              <w:spacing w:line="175" w:lineRule="exact" w:before="1"/>
              <w:ind w:left="371" w:right="364"/>
              <w:rPr>
                <w:sz w:val="16"/>
              </w:rPr>
            </w:pPr>
            <w:r>
              <w:rPr>
                <w:sz w:val="16"/>
              </w:rPr>
              <w:t>2760</w:t>
            </w:r>
          </w:p>
        </w:tc>
        <w:tc>
          <w:tcPr>
            <w:tcW w:w="1366" w:type="dxa"/>
            <w:shd w:val="clear" w:color="auto" w:fill="D8E2F2"/>
          </w:tcPr>
          <w:p>
            <w:pPr>
              <w:pStyle w:val="TableParagraph"/>
              <w:spacing w:line="175" w:lineRule="exact" w:before="1"/>
              <w:ind w:left="439" w:right="430"/>
              <w:rPr>
                <w:sz w:val="16"/>
              </w:rPr>
            </w:pPr>
            <w:r>
              <w:rPr>
                <w:sz w:val="16"/>
              </w:rPr>
              <w:t>17720</w:t>
            </w: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6" w:lineRule="exact"/>
              <w:ind w:left="131"/>
              <w:jc w:val="left"/>
              <w:rPr>
                <w:sz w:val="16"/>
              </w:rPr>
            </w:pPr>
            <w:r>
              <w:rPr>
                <w:sz w:val="16"/>
              </w:rPr>
              <w:t>WCH-44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80"/>
              <w:rPr>
                <w:sz w:val="16"/>
              </w:rPr>
            </w:pPr>
            <w:r>
              <w:rPr>
                <w:sz w:val="16"/>
              </w:rPr>
              <w:t>134.00</w:t>
            </w:r>
          </w:p>
        </w:tc>
        <w:tc>
          <w:tcPr>
            <w:tcW w:w="1188" w:type="dxa"/>
          </w:tcPr>
          <w:p>
            <w:pPr>
              <w:pStyle w:val="TableParagraph"/>
              <w:spacing w:line="176" w:lineRule="exact"/>
              <w:ind w:left="350" w:right="341"/>
              <w:rPr>
                <w:sz w:val="16"/>
              </w:rPr>
            </w:pPr>
            <w:r>
              <w:rPr>
                <w:sz w:val="16"/>
              </w:rPr>
              <w:t>9.01</w:t>
            </w:r>
          </w:p>
        </w:tc>
        <w:tc>
          <w:tcPr>
            <w:tcW w:w="1366" w:type="dxa"/>
          </w:tcPr>
          <w:p>
            <w:pPr>
              <w:pStyle w:val="TableParagraph"/>
              <w:spacing w:line="176" w:lineRule="exact"/>
              <w:ind w:left="439" w:right="431"/>
              <w:rPr>
                <w:sz w:val="16"/>
              </w:rPr>
            </w:pPr>
            <w:r>
              <w:rPr>
                <w:sz w:val="16"/>
              </w:rPr>
              <w:t>30.02</w:t>
            </w:r>
          </w:p>
        </w:tc>
        <w:tc>
          <w:tcPr>
            <w:tcW w:w="1191" w:type="dxa"/>
          </w:tcPr>
          <w:p>
            <w:pPr>
              <w:pStyle w:val="TableParagraph"/>
              <w:spacing w:line="176" w:lineRule="exact"/>
              <w:ind w:left="371" w:right="364"/>
              <w:rPr>
                <w:sz w:val="16"/>
              </w:rPr>
            </w:pPr>
            <w:r>
              <w:rPr>
                <w:sz w:val="16"/>
              </w:rPr>
              <w:t>6600</w:t>
            </w:r>
          </w:p>
        </w:tc>
        <w:tc>
          <w:tcPr>
            <w:tcW w:w="1366" w:type="dxa"/>
          </w:tcPr>
          <w:p>
            <w:pPr>
              <w:pStyle w:val="TableParagraph"/>
              <w:spacing w:line="176" w:lineRule="exact"/>
              <w:ind w:left="439" w:right="430"/>
              <w:rPr>
                <w:sz w:val="16"/>
              </w:rPr>
            </w:pPr>
            <w:r>
              <w:rPr>
                <w:sz w:val="16"/>
              </w:rPr>
              <w:t>33090</w:t>
            </w:r>
          </w:p>
        </w:tc>
      </w:tr>
      <w:tr>
        <w:trPr>
          <w:trHeight w:val="194" w:hRule="atLeast"/>
        </w:trPr>
        <w:tc>
          <w:tcPr>
            <w:tcW w:w="806" w:type="dxa"/>
            <w:shd w:val="clear" w:color="auto" w:fill="D8E2F2"/>
          </w:tcPr>
          <w:p>
            <w:pPr>
              <w:pStyle w:val="TableParagraph"/>
              <w:ind w:left="131"/>
              <w:jc w:val="left"/>
              <w:rPr>
                <w:sz w:val="16"/>
              </w:rPr>
            </w:pPr>
            <w:r>
              <w:rPr>
                <w:sz w:val="16"/>
              </w:rPr>
              <w:t>WCH-45</w:t>
            </w:r>
          </w:p>
        </w:tc>
        <w:tc>
          <w:tcPr>
            <w:tcW w:w="900" w:type="dxa"/>
            <w:shd w:val="clear" w:color="auto" w:fill="D8E2F2"/>
          </w:tcPr>
          <w:p>
            <w:pPr>
              <w:pStyle w:val="TableParagraph"/>
              <w:ind w:right="80"/>
              <w:rPr>
                <w:sz w:val="16"/>
              </w:rPr>
            </w:pPr>
            <w:r>
              <w:rPr>
                <w:sz w:val="16"/>
              </w:rPr>
              <w:t>145.17</w:t>
            </w:r>
          </w:p>
        </w:tc>
        <w:tc>
          <w:tcPr>
            <w:tcW w:w="1188" w:type="dxa"/>
            <w:shd w:val="clear" w:color="auto" w:fill="D8E2F2"/>
          </w:tcPr>
          <w:p>
            <w:pPr>
              <w:pStyle w:val="TableParagraph"/>
              <w:ind w:left="350" w:right="341"/>
              <w:rPr>
                <w:sz w:val="16"/>
              </w:rPr>
            </w:pPr>
            <w:r>
              <w:rPr>
                <w:sz w:val="16"/>
              </w:rPr>
              <w:t>14.59</w:t>
            </w:r>
          </w:p>
        </w:tc>
        <w:tc>
          <w:tcPr>
            <w:tcW w:w="1366" w:type="dxa"/>
            <w:shd w:val="clear" w:color="auto" w:fill="D8E2F2"/>
          </w:tcPr>
          <w:p>
            <w:pPr>
              <w:pStyle w:val="TableParagraph"/>
              <w:ind w:left="439" w:right="431"/>
              <w:rPr>
                <w:sz w:val="16"/>
              </w:rPr>
            </w:pPr>
            <w:r>
              <w:rPr>
                <w:sz w:val="16"/>
              </w:rPr>
              <w:t>67.88</w:t>
            </w:r>
          </w:p>
        </w:tc>
        <w:tc>
          <w:tcPr>
            <w:tcW w:w="1191" w:type="dxa"/>
            <w:shd w:val="clear" w:color="auto" w:fill="D8E2F2"/>
          </w:tcPr>
          <w:p>
            <w:pPr>
              <w:pStyle w:val="TableParagraph"/>
              <w:ind w:left="371" w:right="364"/>
              <w:rPr>
                <w:sz w:val="16"/>
              </w:rPr>
            </w:pPr>
            <w:r>
              <w:rPr>
                <w:sz w:val="16"/>
              </w:rPr>
              <w:t>13820</w:t>
            </w:r>
          </w:p>
        </w:tc>
        <w:tc>
          <w:tcPr>
            <w:tcW w:w="1366" w:type="dxa"/>
            <w:shd w:val="clear" w:color="auto" w:fill="D8E2F2"/>
          </w:tcPr>
          <w:p>
            <w:pPr>
              <w:pStyle w:val="TableParagraph"/>
              <w:ind w:left="439" w:right="430"/>
              <w:rPr>
                <w:sz w:val="16"/>
              </w:rPr>
            </w:pPr>
            <w:r>
              <w:rPr>
                <w:sz w:val="16"/>
              </w:rPr>
              <w:t>92840</w:t>
            </w: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6" w:lineRule="exact"/>
              <w:ind w:left="131"/>
              <w:jc w:val="left"/>
              <w:rPr>
                <w:sz w:val="16"/>
              </w:rPr>
            </w:pPr>
            <w:r>
              <w:rPr>
                <w:sz w:val="16"/>
              </w:rPr>
              <w:t>WCH-46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80"/>
              <w:rPr>
                <w:sz w:val="16"/>
              </w:rPr>
            </w:pPr>
            <w:r>
              <w:rPr>
                <w:sz w:val="16"/>
              </w:rPr>
              <w:t>153.58</w:t>
            </w:r>
          </w:p>
        </w:tc>
        <w:tc>
          <w:tcPr>
            <w:tcW w:w="1188" w:type="dxa"/>
          </w:tcPr>
          <w:p>
            <w:pPr>
              <w:pStyle w:val="TableParagraph"/>
              <w:spacing w:line="176" w:lineRule="exact"/>
              <w:ind w:left="350" w:right="341"/>
              <w:rPr>
                <w:sz w:val="16"/>
              </w:rPr>
            </w:pPr>
            <w:r>
              <w:rPr>
                <w:sz w:val="16"/>
              </w:rPr>
              <w:t>15.62</w:t>
            </w:r>
          </w:p>
        </w:tc>
        <w:tc>
          <w:tcPr>
            <w:tcW w:w="1366" w:type="dxa"/>
          </w:tcPr>
          <w:p>
            <w:pPr>
              <w:pStyle w:val="TableParagraph"/>
              <w:spacing w:line="176" w:lineRule="exact"/>
              <w:ind w:left="439" w:right="431"/>
              <w:rPr>
                <w:sz w:val="16"/>
              </w:rPr>
            </w:pPr>
            <w:r>
              <w:rPr>
                <w:sz w:val="16"/>
              </w:rPr>
              <w:t>50.90</w:t>
            </w:r>
          </w:p>
        </w:tc>
        <w:tc>
          <w:tcPr>
            <w:tcW w:w="1191" w:type="dxa"/>
          </w:tcPr>
          <w:p>
            <w:pPr>
              <w:pStyle w:val="TableParagraph"/>
              <w:spacing w:line="176" w:lineRule="exact"/>
              <w:ind w:left="371" w:right="364"/>
              <w:rPr>
                <w:sz w:val="16"/>
              </w:rPr>
            </w:pPr>
            <w:r>
              <w:rPr>
                <w:sz w:val="16"/>
              </w:rPr>
              <w:t>14370</w:t>
            </w:r>
          </w:p>
        </w:tc>
        <w:tc>
          <w:tcPr>
            <w:tcW w:w="1366" w:type="dxa"/>
          </w:tcPr>
          <w:p>
            <w:pPr>
              <w:pStyle w:val="TableParagraph"/>
              <w:spacing w:line="176" w:lineRule="exact"/>
              <w:ind w:left="439" w:right="430"/>
              <w:rPr>
                <w:sz w:val="16"/>
              </w:rPr>
            </w:pPr>
            <w:r>
              <w:rPr>
                <w:sz w:val="16"/>
              </w:rPr>
              <w:t>59280</w:t>
            </w:r>
          </w:p>
        </w:tc>
      </w:tr>
      <w:tr>
        <w:trPr>
          <w:trHeight w:val="194" w:hRule="atLeast"/>
        </w:trPr>
        <w:tc>
          <w:tcPr>
            <w:tcW w:w="806" w:type="dxa"/>
            <w:shd w:val="clear" w:color="auto" w:fill="D8E2F2"/>
          </w:tcPr>
          <w:p>
            <w:pPr>
              <w:pStyle w:val="TableParagraph"/>
              <w:ind w:left="131"/>
              <w:jc w:val="left"/>
              <w:rPr>
                <w:sz w:val="16"/>
              </w:rPr>
            </w:pPr>
            <w:r>
              <w:rPr>
                <w:sz w:val="16"/>
              </w:rPr>
              <w:t>WCH-47</w:t>
            </w:r>
          </w:p>
        </w:tc>
        <w:tc>
          <w:tcPr>
            <w:tcW w:w="900" w:type="dxa"/>
            <w:shd w:val="clear" w:color="auto" w:fill="D8E2F2"/>
          </w:tcPr>
          <w:p>
            <w:pPr>
              <w:pStyle w:val="TableParagraph"/>
              <w:ind w:right="80"/>
              <w:rPr>
                <w:sz w:val="16"/>
              </w:rPr>
            </w:pPr>
            <w:r>
              <w:rPr>
                <w:sz w:val="16"/>
              </w:rPr>
              <w:t>160.17</w:t>
            </w:r>
          </w:p>
        </w:tc>
        <w:tc>
          <w:tcPr>
            <w:tcW w:w="1188" w:type="dxa"/>
            <w:shd w:val="clear" w:color="auto" w:fill="D8E2F2"/>
          </w:tcPr>
          <w:p>
            <w:pPr>
              <w:pStyle w:val="TableParagraph"/>
              <w:ind w:left="350" w:right="341"/>
              <w:rPr>
                <w:sz w:val="16"/>
              </w:rPr>
            </w:pPr>
            <w:r>
              <w:rPr>
                <w:sz w:val="16"/>
              </w:rPr>
              <w:t>13.54</w:t>
            </w:r>
          </w:p>
        </w:tc>
        <w:tc>
          <w:tcPr>
            <w:tcW w:w="1366" w:type="dxa"/>
            <w:shd w:val="clear" w:color="auto" w:fill="D8E2F2"/>
          </w:tcPr>
          <w:p>
            <w:pPr>
              <w:pStyle w:val="TableParagraph"/>
              <w:ind w:left="439" w:right="431"/>
              <w:rPr>
                <w:sz w:val="16"/>
              </w:rPr>
            </w:pPr>
            <w:r>
              <w:rPr>
                <w:sz w:val="16"/>
              </w:rPr>
              <w:t>37.68</w:t>
            </w:r>
          </w:p>
        </w:tc>
        <w:tc>
          <w:tcPr>
            <w:tcW w:w="1191" w:type="dxa"/>
            <w:shd w:val="clear" w:color="auto" w:fill="D8E2F2"/>
          </w:tcPr>
          <w:p>
            <w:pPr>
              <w:pStyle w:val="TableParagraph"/>
              <w:ind w:left="371" w:right="364"/>
              <w:rPr>
                <w:sz w:val="16"/>
              </w:rPr>
            </w:pPr>
            <w:r>
              <w:rPr>
                <w:sz w:val="16"/>
              </w:rPr>
              <w:t>10630</w:t>
            </w:r>
          </w:p>
        </w:tc>
        <w:tc>
          <w:tcPr>
            <w:tcW w:w="1366" w:type="dxa"/>
            <w:shd w:val="clear" w:color="auto" w:fill="D8E2F2"/>
          </w:tcPr>
          <w:p>
            <w:pPr>
              <w:pStyle w:val="TableParagraph"/>
              <w:ind w:left="439" w:right="430"/>
              <w:rPr>
                <w:sz w:val="16"/>
              </w:rPr>
            </w:pPr>
            <w:r>
              <w:rPr>
                <w:sz w:val="16"/>
              </w:rPr>
              <w:t>37070</w:t>
            </w: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6" w:lineRule="exact"/>
              <w:ind w:left="131"/>
              <w:jc w:val="left"/>
              <w:rPr>
                <w:sz w:val="16"/>
              </w:rPr>
            </w:pPr>
            <w:r>
              <w:rPr>
                <w:sz w:val="16"/>
              </w:rPr>
              <w:t>WCH-48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80"/>
              <w:rPr>
                <w:sz w:val="16"/>
              </w:rPr>
            </w:pPr>
            <w:r>
              <w:rPr>
                <w:sz w:val="16"/>
              </w:rPr>
              <w:t>160.83</w:t>
            </w:r>
          </w:p>
        </w:tc>
        <w:tc>
          <w:tcPr>
            <w:tcW w:w="1188" w:type="dxa"/>
          </w:tcPr>
          <w:p>
            <w:pPr>
              <w:pStyle w:val="TableParagraph"/>
              <w:spacing w:line="176" w:lineRule="exact"/>
              <w:ind w:left="350" w:right="341"/>
              <w:rPr>
                <w:sz w:val="16"/>
              </w:rPr>
            </w:pPr>
            <w:r>
              <w:rPr>
                <w:sz w:val="16"/>
              </w:rPr>
              <w:t>49.06</w:t>
            </w:r>
          </w:p>
        </w:tc>
        <w:tc>
          <w:tcPr>
            <w:tcW w:w="1366" w:type="dxa"/>
          </w:tcPr>
          <w:p>
            <w:pPr>
              <w:pStyle w:val="TableParagraph"/>
              <w:spacing w:line="176" w:lineRule="exact"/>
              <w:ind w:left="439" w:right="431"/>
              <w:rPr>
                <w:sz w:val="16"/>
              </w:rPr>
            </w:pPr>
            <w:r>
              <w:rPr>
                <w:sz w:val="16"/>
              </w:rPr>
              <w:t>117.79</w:t>
            </w:r>
          </w:p>
        </w:tc>
        <w:tc>
          <w:tcPr>
            <w:tcW w:w="1191" w:type="dxa"/>
          </w:tcPr>
          <w:p>
            <w:pPr>
              <w:pStyle w:val="TableParagraph"/>
              <w:spacing w:line="176" w:lineRule="exact"/>
              <w:ind w:left="371" w:right="364"/>
              <w:rPr>
                <w:sz w:val="16"/>
              </w:rPr>
            </w:pPr>
            <w:r>
              <w:rPr>
                <w:sz w:val="16"/>
              </w:rPr>
              <w:t>7170</w:t>
            </w:r>
          </w:p>
        </w:tc>
        <w:tc>
          <w:tcPr>
            <w:tcW w:w="1366" w:type="dxa"/>
          </w:tcPr>
          <w:p>
            <w:pPr>
              <w:pStyle w:val="TableParagraph"/>
              <w:spacing w:line="176" w:lineRule="exact"/>
              <w:ind w:left="439" w:right="430"/>
              <w:rPr>
                <w:sz w:val="16"/>
              </w:rPr>
            </w:pPr>
            <w:r>
              <w:rPr>
                <w:sz w:val="16"/>
              </w:rPr>
              <w:t>20660</w:t>
            </w:r>
          </w:p>
        </w:tc>
      </w:tr>
      <w:tr>
        <w:trPr>
          <w:trHeight w:val="194" w:hRule="atLeast"/>
        </w:trPr>
        <w:tc>
          <w:tcPr>
            <w:tcW w:w="806" w:type="dxa"/>
            <w:shd w:val="clear" w:color="auto" w:fill="D8E2F2"/>
          </w:tcPr>
          <w:p>
            <w:pPr>
              <w:pStyle w:val="TableParagraph"/>
              <w:ind w:left="131"/>
              <w:jc w:val="left"/>
              <w:rPr>
                <w:sz w:val="16"/>
              </w:rPr>
            </w:pPr>
            <w:r>
              <w:rPr>
                <w:sz w:val="16"/>
              </w:rPr>
              <w:t>WCH-49</w:t>
            </w:r>
          </w:p>
        </w:tc>
        <w:tc>
          <w:tcPr>
            <w:tcW w:w="900" w:type="dxa"/>
            <w:shd w:val="clear" w:color="auto" w:fill="D8E2F2"/>
          </w:tcPr>
          <w:p>
            <w:pPr>
              <w:pStyle w:val="TableParagraph"/>
              <w:ind w:right="80"/>
              <w:rPr>
                <w:sz w:val="16"/>
              </w:rPr>
            </w:pPr>
            <w:r>
              <w:rPr>
                <w:sz w:val="16"/>
              </w:rPr>
              <w:t>169.33</w:t>
            </w:r>
          </w:p>
        </w:tc>
        <w:tc>
          <w:tcPr>
            <w:tcW w:w="1188" w:type="dxa"/>
            <w:shd w:val="clear" w:color="auto" w:fill="D8E2F2"/>
          </w:tcPr>
          <w:p>
            <w:pPr>
              <w:pStyle w:val="TableParagraph"/>
              <w:ind w:left="350" w:right="341"/>
              <w:rPr>
                <w:sz w:val="16"/>
              </w:rPr>
            </w:pPr>
            <w:r>
              <w:rPr>
                <w:sz w:val="16"/>
              </w:rPr>
              <w:t>33.95</w:t>
            </w:r>
          </w:p>
        </w:tc>
        <w:tc>
          <w:tcPr>
            <w:tcW w:w="1366" w:type="dxa"/>
            <w:shd w:val="clear" w:color="auto" w:fill="D8E2F2"/>
          </w:tcPr>
          <w:p>
            <w:pPr>
              <w:pStyle w:val="TableParagraph"/>
              <w:ind w:left="439" w:right="431"/>
              <w:rPr>
                <w:sz w:val="16"/>
              </w:rPr>
            </w:pPr>
            <w:r>
              <w:rPr>
                <w:sz w:val="16"/>
              </w:rPr>
              <w:t>80.00</w:t>
            </w:r>
          </w:p>
        </w:tc>
        <w:tc>
          <w:tcPr>
            <w:tcW w:w="1191" w:type="dxa"/>
            <w:shd w:val="clear" w:color="auto" w:fill="D8E2F2"/>
          </w:tcPr>
          <w:p>
            <w:pPr>
              <w:pStyle w:val="TableParagraph"/>
              <w:ind w:left="371" w:right="364"/>
              <w:rPr>
                <w:sz w:val="16"/>
              </w:rPr>
            </w:pPr>
            <w:r>
              <w:rPr>
                <w:sz w:val="16"/>
              </w:rPr>
              <w:t>7760</w:t>
            </w:r>
          </w:p>
        </w:tc>
        <w:tc>
          <w:tcPr>
            <w:tcW w:w="1366" w:type="dxa"/>
            <w:shd w:val="clear" w:color="auto" w:fill="D8E2F2"/>
          </w:tcPr>
          <w:p>
            <w:pPr>
              <w:pStyle w:val="TableParagraph"/>
              <w:ind w:left="439" w:right="430"/>
              <w:rPr>
                <w:sz w:val="16"/>
              </w:rPr>
            </w:pPr>
            <w:r>
              <w:rPr>
                <w:sz w:val="16"/>
              </w:rPr>
              <w:t>23710</w:t>
            </w: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6" w:lineRule="exact"/>
              <w:ind w:left="131"/>
              <w:jc w:val="left"/>
              <w:rPr>
                <w:sz w:val="16"/>
              </w:rPr>
            </w:pPr>
            <w:r>
              <w:rPr>
                <w:sz w:val="16"/>
              </w:rPr>
              <w:t>WCH-50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80"/>
              <w:rPr>
                <w:sz w:val="16"/>
              </w:rPr>
            </w:pPr>
            <w:r>
              <w:rPr>
                <w:sz w:val="16"/>
              </w:rPr>
              <w:t>170.92</w:t>
            </w:r>
          </w:p>
        </w:tc>
        <w:tc>
          <w:tcPr>
            <w:tcW w:w="1188" w:type="dxa"/>
          </w:tcPr>
          <w:p>
            <w:pPr>
              <w:pStyle w:val="TableParagraph"/>
              <w:spacing w:line="176" w:lineRule="exact"/>
              <w:ind w:left="350" w:right="341"/>
              <w:rPr>
                <w:sz w:val="16"/>
              </w:rPr>
            </w:pPr>
            <w:r>
              <w:rPr>
                <w:sz w:val="16"/>
              </w:rPr>
              <w:t>21.83</w:t>
            </w:r>
          </w:p>
        </w:tc>
        <w:tc>
          <w:tcPr>
            <w:tcW w:w="1366" w:type="dxa"/>
          </w:tcPr>
          <w:p>
            <w:pPr>
              <w:pStyle w:val="TableParagraph"/>
              <w:spacing w:line="176" w:lineRule="exact"/>
              <w:ind w:left="439" w:right="431"/>
              <w:rPr>
                <w:sz w:val="16"/>
              </w:rPr>
            </w:pPr>
            <w:r>
              <w:rPr>
                <w:sz w:val="16"/>
              </w:rPr>
              <w:t>46.01</w:t>
            </w:r>
          </w:p>
        </w:tc>
        <w:tc>
          <w:tcPr>
            <w:tcW w:w="1191" w:type="dxa"/>
          </w:tcPr>
          <w:p>
            <w:pPr>
              <w:pStyle w:val="TableParagraph"/>
              <w:spacing w:line="176" w:lineRule="exact"/>
              <w:ind w:left="371" w:right="364"/>
              <w:rPr>
                <w:sz w:val="16"/>
              </w:rPr>
            </w:pPr>
            <w:r>
              <w:rPr>
                <w:sz w:val="16"/>
              </w:rPr>
              <w:t>5690</w:t>
            </w:r>
          </w:p>
        </w:tc>
        <w:tc>
          <w:tcPr>
            <w:tcW w:w="1366" w:type="dxa"/>
          </w:tcPr>
          <w:p>
            <w:pPr>
              <w:pStyle w:val="TableParagraph"/>
              <w:spacing w:line="176" w:lineRule="exact"/>
              <w:ind w:left="439" w:right="430"/>
              <w:rPr>
                <w:sz w:val="16"/>
              </w:rPr>
            </w:pPr>
            <w:r>
              <w:rPr>
                <w:sz w:val="16"/>
              </w:rPr>
              <w:t>15160</w:t>
            </w:r>
          </w:p>
        </w:tc>
      </w:tr>
      <w:tr>
        <w:trPr>
          <w:trHeight w:val="194" w:hRule="atLeast"/>
        </w:trPr>
        <w:tc>
          <w:tcPr>
            <w:tcW w:w="806" w:type="dxa"/>
            <w:shd w:val="clear" w:color="auto" w:fill="D8E2F2"/>
          </w:tcPr>
          <w:p>
            <w:pPr>
              <w:pStyle w:val="TableParagraph"/>
              <w:ind w:left="131"/>
              <w:jc w:val="left"/>
              <w:rPr>
                <w:sz w:val="16"/>
              </w:rPr>
            </w:pPr>
            <w:r>
              <w:rPr>
                <w:sz w:val="16"/>
              </w:rPr>
              <w:t>WCH-51</w:t>
            </w:r>
          </w:p>
        </w:tc>
        <w:tc>
          <w:tcPr>
            <w:tcW w:w="900" w:type="dxa"/>
            <w:shd w:val="clear" w:color="auto" w:fill="D8E2F2"/>
          </w:tcPr>
          <w:p>
            <w:pPr>
              <w:pStyle w:val="TableParagraph"/>
              <w:ind w:right="80"/>
              <w:rPr>
                <w:sz w:val="16"/>
              </w:rPr>
            </w:pPr>
            <w:r>
              <w:rPr>
                <w:sz w:val="16"/>
              </w:rPr>
              <w:t>172.00</w:t>
            </w:r>
          </w:p>
        </w:tc>
        <w:tc>
          <w:tcPr>
            <w:tcW w:w="1188" w:type="dxa"/>
            <w:shd w:val="clear" w:color="auto" w:fill="D8E2F2"/>
          </w:tcPr>
          <w:p>
            <w:pPr>
              <w:pStyle w:val="TableParagraph"/>
              <w:ind w:left="350" w:right="341"/>
              <w:rPr>
                <w:sz w:val="16"/>
              </w:rPr>
            </w:pPr>
            <w:r>
              <w:rPr>
                <w:sz w:val="16"/>
              </w:rPr>
              <w:t>12.76</w:t>
            </w:r>
          </w:p>
        </w:tc>
        <w:tc>
          <w:tcPr>
            <w:tcW w:w="1366" w:type="dxa"/>
            <w:shd w:val="clear" w:color="auto" w:fill="D8E2F2"/>
          </w:tcPr>
          <w:p>
            <w:pPr>
              <w:pStyle w:val="TableParagraph"/>
              <w:ind w:left="439" w:right="431"/>
              <w:rPr>
                <w:sz w:val="16"/>
              </w:rPr>
            </w:pPr>
            <w:r>
              <w:rPr>
                <w:sz w:val="16"/>
              </w:rPr>
              <w:t>20.61</w:t>
            </w:r>
          </w:p>
        </w:tc>
        <w:tc>
          <w:tcPr>
            <w:tcW w:w="1191" w:type="dxa"/>
            <w:shd w:val="clear" w:color="auto" w:fill="D8E2F2"/>
          </w:tcPr>
          <w:p>
            <w:pPr>
              <w:pStyle w:val="TableParagraph"/>
              <w:ind w:left="371" w:right="364"/>
              <w:rPr>
                <w:sz w:val="16"/>
              </w:rPr>
            </w:pPr>
            <w:r>
              <w:rPr>
                <w:sz w:val="16"/>
              </w:rPr>
              <w:t>1320</w:t>
            </w:r>
          </w:p>
        </w:tc>
        <w:tc>
          <w:tcPr>
            <w:tcW w:w="1366" w:type="dxa"/>
            <w:shd w:val="clear" w:color="auto" w:fill="D8E2F2"/>
          </w:tcPr>
          <w:p>
            <w:pPr>
              <w:pStyle w:val="TableParagraph"/>
              <w:ind w:left="439" w:right="430"/>
              <w:rPr>
                <w:sz w:val="16"/>
              </w:rPr>
            </w:pPr>
            <w:r>
              <w:rPr>
                <w:sz w:val="16"/>
              </w:rPr>
              <w:t>2680</w:t>
            </w: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5" w:lineRule="exact" w:before="1"/>
              <w:ind w:left="131"/>
              <w:jc w:val="left"/>
              <w:rPr>
                <w:sz w:val="16"/>
              </w:rPr>
            </w:pPr>
            <w:r>
              <w:rPr>
                <w:sz w:val="16"/>
              </w:rPr>
              <w:t>WCH-52</w:t>
            </w:r>
          </w:p>
        </w:tc>
        <w:tc>
          <w:tcPr>
            <w:tcW w:w="900" w:type="dxa"/>
          </w:tcPr>
          <w:p>
            <w:pPr>
              <w:pStyle w:val="TableParagraph"/>
              <w:spacing w:line="175" w:lineRule="exact" w:before="1"/>
              <w:ind w:right="80"/>
              <w:rPr>
                <w:sz w:val="16"/>
              </w:rPr>
            </w:pPr>
            <w:r>
              <w:rPr>
                <w:sz w:val="16"/>
              </w:rPr>
              <w:t>172.42</w:t>
            </w:r>
          </w:p>
        </w:tc>
        <w:tc>
          <w:tcPr>
            <w:tcW w:w="1188" w:type="dxa"/>
          </w:tcPr>
          <w:p>
            <w:pPr>
              <w:pStyle w:val="TableParagraph"/>
              <w:spacing w:line="175" w:lineRule="exact" w:before="1"/>
              <w:ind w:left="350" w:right="341"/>
              <w:rPr>
                <w:sz w:val="16"/>
              </w:rPr>
            </w:pPr>
            <w:r>
              <w:rPr>
                <w:sz w:val="16"/>
              </w:rPr>
              <w:t>8.97</w:t>
            </w:r>
          </w:p>
        </w:tc>
        <w:tc>
          <w:tcPr>
            <w:tcW w:w="1366" w:type="dxa"/>
          </w:tcPr>
          <w:p>
            <w:pPr>
              <w:pStyle w:val="TableParagraph"/>
              <w:spacing w:line="175" w:lineRule="exact" w:before="1"/>
              <w:ind w:left="439" w:right="431"/>
              <w:rPr>
                <w:sz w:val="16"/>
              </w:rPr>
            </w:pPr>
            <w:r>
              <w:rPr>
                <w:sz w:val="16"/>
              </w:rPr>
              <w:t>6.66</w:t>
            </w:r>
          </w:p>
        </w:tc>
        <w:tc>
          <w:tcPr>
            <w:tcW w:w="1191" w:type="dxa"/>
          </w:tcPr>
          <w:p>
            <w:pPr>
              <w:pStyle w:val="TableParagraph"/>
              <w:spacing w:line="175" w:lineRule="exact" w:before="1"/>
              <w:ind w:left="371" w:right="363"/>
              <w:rPr>
                <w:sz w:val="16"/>
              </w:rPr>
            </w:pPr>
            <w:r>
              <w:rPr>
                <w:sz w:val="16"/>
              </w:rPr>
              <w:t>630</w:t>
            </w:r>
          </w:p>
        </w:tc>
        <w:tc>
          <w:tcPr>
            <w:tcW w:w="1366" w:type="dxa"/>
          </w:tcPr>
          <w:p>
            <w:pPr>
              <w:pStyle w:val="TableParagraph"/>
              <w:spacing w:line="175" w:lineRule="exact" w:before="1"/>
              <w:ind w:left="439" w:right="430"/>
              <w:rPr>
                <w:sz w:val="16"/>
              </w:rPr>
            </w:pPr>
            <w:r>
              <w:rPr>
                <w:sz w:val="16"/>
              </w:rPr>
              <w:t>970</w:t>
            </w:r>
          </w:p>
        </w:tc>
      </w:tr>
      <w:tr>
        <w:trPr>
          <w:trHeight w:val="194" w:hRule="atLeast"/>
        </w:trPr>
        <w:tc>
          <w:tcPr>
            <w:tcW w:w="806" w:type="dxa"/>
            <w:shd w:val="clear" w:color="auto" w:fill="D8E2F2"/>
          </w:tcPr>
          <w:p>
            <w:pPr>
              <w:pStyle w:val="TableParagraph"/>
              <w:ind w:left="131"/>
              <w:jc w:val="left"/>
              <w:rPr>
                <w:sz w:val="16"/>
              </w:rPr>
            </w:pPr>
            <w:r>
              <w:rPr>
                <w:sz w:val="16"/>
              </w:rPr>
              <w:t>WCH-53</w:t>
            </w:r>
          </w:p>
        </w:tc>
        <w:tc>
          <w:tcPr>
            <w:tcW w:w="900" w:type="dxa"/>
            <w:shd w:val="clear" w:color="auto" w:fill="D8E2F2"/>
          </w:tcPr>
          <w:p>
            <w:pPr>
              <w:pStyle w:val="TableParagraph"/>
              <w:ind w:right="80"/>
              <w:rPr>
                <w:sz w:val="16"/>
              </w:rPr>
            </w:pPr>
            <w:r>
              <w:rPr>
                <w:sz w:val="16"/>
              </w:rPr>
              <w:t>173.83</w:t>
            </w:r>
          </w:p>
        </w:tc>
        <w:tc>
          <w:tcPr>
            <w:tcW w:w="1188" w:type="dxa"/>
            <w:shd w:val="clear" w:color="auto" w:fill="D8E2F2"/>
          </w:tcPr>
          <w:p>
            <w:pPr>
              <w:pStyle w:val="TableParagraph"/>
              <w:ind w:left="350" w:right="341"/>
              <w:rPr>
                <w:sz w:val="16"/>
              </w:rPr>
            </w:pPr>
            <w:r>
              <w:rPr>
                <w:sz w:val="16"/>
              </w:rPr>
              <w:t>16.18</w:t>
            </w:r>
          </w:p>
        </w:tc>
        <w:tc>
          <w:tcPr>
            <w:tcW w:w="1366" w:type="dxa"/>
            <w:shd w:val="clear" w:color="auto" w:fill="D8E2F2"/>
          </w:tcPr>
          <w:p>
            <w:pPr>
              <w:pStyle w:val="TableParagraph"/>
              <w:ind w:left="439" w:right="431"/>
              <w:rPr>
                <w:sz w:val="16"/>
              </w:rPr>
            </w:pPr>
            <w:r>
              <w:rPr>
                <w:sz w:val="16"/>
              </w:rPr>
              <w:t>12.83</w:t>
            </w:r>
          </w:p>
        </w:tc>
        <w:tc>
          <w:tcPr>
            <w:tcW w:w="1191" w:type="dxa"/>
            <w:shd w:val="clear" w:color="auto" w:fill="D8E2F2"/>
          </w:tcPr>
          <w:p>
            <w:pPr>
              <w:pStyle w:val="TableParagraph"/>
              <w:ind w:left="371" w:right="364"/>
              <w:rPr>
                <w:sz w:val="16"/>
              </w:rPr>
            </w:pPr>
            <w:r>
              <w:rPr>
                <w:sz w:val="16"/>
              </w:rPr>
              <w:t>2090</w:t>
            </w:r>
          </w:p>
        </w:tc>
        <w:tc>
          <w:tcPr>
            <w:tcW w:w="1366" w:type="dxa"/>
            <w:shd w:val="clear" w:color="auto" w:fill="D8E2F2"/>
          </w:tcPr>
          <w:p>
            <w:pPr>
              <w:pStyle w:val="TableParagraph"/>
              <w:ind w:left="439" w:right="430"/>
              <w:rPr>
                <w:sz w:val="16"/>
              </w:rPr>
            </w:pPr>
            <w:r>
              <w:rPr>
                <w:sz w:val="16"/>
              </w:rPr>
              <w:t>1760</w:t>
            </w: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5" w:lineRule="exact" w:before="1"/>
              <w:ind w:left="131"/>
              <w:jc w:val="left"/>
              <w:rPr>
                <w:sz w:val="16"/>
              </w:rPr>
            </w:pPr>
            <w:r>
              <w:rPr>
                <w:sz w:val="16"/>
              </w:rPr>
              <w:t>WCH-54</w:t>
            </w:r>
          </w:p>
        </w:tc>
        <w:tc>
          <w:tcPr>
            <w:tcW w:w="900" w:type="dxa"/>
          </w:tcPr>
          <w:p>
            <w:pPr>
              <w:pStyle w:val="TableParagraph"/>
              <w:spacing w:line="175" w:lineRule="exact" w:before="1"/>
              <w:ind w:right="80"/>
              <w:rPr>
                <w:sz w:val="16"/>
              </w:rPr>
            </w:pPr>
            <w:r>
              <w:rPr>
                <w:sz w:val="16"/>
              </w:rPr>
              <w:t>174.42</w:t>
            </w:r>
          </w:p>
        </w:tc>
        <w:tc>
          <w:tcPr>
            <w:tcW w:w="1188" w:type="dxa"/>
          </w:tcPr>
          <w:p>
            <w:pPr>
              <w:pStyle w:val="TableParagraph"/>
              <w:spacing w:line="175" w:lineRule="exact" w:before="1"/>
              <w:ind w:left="350" w:right="341"/>
              <w:rPr>
                <w:sz w:val="16"/>
              </w:rPr>
            </w:pPr>
            <w:r>
              <w:rPr>
                <w:sz w:val="16"/>
              </w:rPr>
              <w:t>5.55</w:t>
            </w:r>
          </w:p>
        </w:tc>
        <w:tc>
          <w:tcPr>
            <w:tcW w:w="1366" w:type="dxa"/>
          </w:tcPr>
          <w:p>
            <w:pPr>
              <w:pStyle w:val="TableParagraph"/>
              <w:spacing w:line="175" w:lineRule="exact" w:before="1"/>
              <w:ind w:left="439" w:right="431"/>
              <w:rPr>
                <w:sz w:val="16"/>
              </w:rPr>
            </w:pPr>
            <w:r>
              <w:rPr>
                <w:sz w:val="16"/>
              </w:rPr>
              <w:t>5.09</w:t>
            </w:r>
          </w:p>
        </w:tc>
        <w:tc>
          <w:tcPr>
            <w:tcW w:w="1191" w:type="dxa"/>
          </w:tcPr>
          <w:p>
            <w:pPr>
              <w:pStyle w:val="TableParagraph"/>
              <w:spacing w:line="175" w:lineRule="exact" w:before="1"/>
              <w:ind w:left="371" w:right="363"/>
              <w:rPr>
                <w:sz w:val="16"/>
              </w:rPr>
            </w:pPr>
            <w:r>
              <w:rPr>
                <w:sz w:val="16"/>
              </w:rPr>
              <w:t>810</w:t>
            </w:r>
          </w:p>
        </w:tc>
        <w:tc>
          <w:tcPr>
            <w:tcW w:w="1366" w:type="dxa"/>
          </w:tcPr>
          <w:p>
            <w:pPr>
              <w:pStyle w:val="TableParagraph"/>
              <w:spacing w:line="175" w:lineRule="exact" w:before="1"/>
              <w:ind w:left="439" w:right="430"/>
              <w:rPr>
                <w:sz w:val="16"/>
              </w:rPr>
            </w:pPr>
            <w:r>
              <w:rPr>
                <w:sz w:val="16"/>
              </w:rPr>
              <w:t>820</w:t>
            </w:r>
          </w:p>
        </w:tc>
      </w:tr>
      <w:tr>
        <w:trPr>
          <w:trHeight w:val="196" w:hRule="atLeast"/>
        </w:trPr>
        <w:tc>
          <w:tcPr>
            <w:tcW w:w="806" w:type="dxa"/>
            <w:shd w:val="clear" w:color="auto" w:fill="D8E2F2"/>
          </w:tcPr>
          <w:p>
            <w:pPr>
              <w:pStyle w:val="TableParagraph"/>
              <w:spacing w:line="176" w:lineRule="exact"/>
              <w:ind w:left="131"/>
              <w:jc w:val="left"/>
              <w:rPr>
                <w:sz w:val="16"/>
              </w:rPr>
            </w:pPr>
            <w:r>
              <w:rPr>
                <w:sz w:val="16"/>
              </w:rPr>
              <w:t>WCH-32</w:t>
            </w:r>
          </w:p>
        </w:tc>
        <w:tc>
          <w:tcPr>
            <w:tcW w:w="900" w:type="dxa"/>
            <w:shd w:val="clear" w:color="auto" w:fill="D8E2F2"/>
          </w:tcPr>
          <w:p>
            <w:pPr>
              <w:pStyle w:val="TableParagraph"/>
              <w:spacing w:line="176" w:lineRule="exact"/>
              <w:ind w:right="80"/>
              <w:rPr>
                <w:sz w:val="16"/>
              </w:rPr>
            </w:pPr>
            <w:r>
              <w:rPr>
                <w:sz w:val="16"/>
              </w:rPr>
              <w:t>181.92</w:t>
            </w:r>
          </w:p>
        </w:tc>
        <w:tc>
          <w:tcPr>
            <w:tcW w:w="1188" w:type="dxa"/>
            <w:shd w:val="clear" w:color="auto" w:fill="D8E2F2"/>
          </w:tcPr>
          <w:p>
            <w:pPr>
              <w:pStyle w:val="TableParagraph"/>
              <w:spacing w:line="176" w:lineRule="exact"/>
              <w:ind w:left="350" w:right="341"/>
              <w:rPr>
                <w:sz w:val="16"/>
              </w:rPr>
            </w:pPr>
            <w:r>
              <w:rPr>
                <w:sz w:val="16"/>
              </w:rPr>
              <w:t>21.15</w:t>
            </w:r>
          </w:p>
        </w:tc>
        <w:tc>
          <w:tcPr>
            <w:tcW w:w="1366" w:type="dxa"/>
            <w:shd w:val="clear" w:color="auto" w:fill="D8E2F2"/>
          </w:tcPr>
          <w:p>
            <w:pPr>
              <w:pStyle w:val="TableParagraph"/>
              <w:spacing w:line="176" w:lineRule="exact"/>
              <w:ind w:left="439" w:right="431"/>
              <w:rPr>
                <w:sz w:val="16"/>
              </w:rPr>
            </w:pPr>
            <w:r>
              <w:rPr>
                <w:sz w:val="16"/>
              </w:rPr>
              <w:t>8.49</w:t>
            </w:r>
          </w:p>
        </w:tc>
        <w:tc>
          <w:tcPr>
            <w:tcW w:w="1191" w:type="dxa"/>
            <w:shd w:val="clear" w:color="auto" w:fill="D8E2F2"/>
          </w:tcPr>
          <w:p>
            <w:pPr>
              <w:pStyle w:val="TableParagraph"/>
              <w:spacing w:line="176" w:lineRule="exact"/>
              <w:ind w:left="371" w:right="363"/>
              <w:rPr>
                <w:sz w:val="16"/>
              </w:rPr>
            </w:pPr>
            <w:r>
              <w:rPr>
                <w:sz w:val="16"/>
              </w:rPr>
              <w:t>880</w:t>
            </w:r>
          </w:p>
        </w:tc>
        <w:tc>
          <w:tcPr>
            <w:tcW w:w="1366" w:type="dxa"/>
            <w:shd w:val="clear" w:color="auto" w:fill="D8E2F2"/>
          </w:tcPr>
          <w:p>
            <w:pPr>
              <w:pStyle w:val="TableParagraph"/>
              <w:spacing w:line="176" w:lineRule="exact"/>
              <w:ind w:left="439" w:right="430"/>
              <w:rPr>
                <w:sz w:val="16"/>
              </w:rPr>
            </w:pPr>
            <w:r>
              <w:rPr>
                <w:sz w:val="16"/>
              </w:rPr>
              <w:t>570</w:t>
            </w:r>
          </w:p>
        </w:tc>
      </w:tr>
      <w:tr>
        <w:trPr>
          <w:trHeight w:val="194" w:hRule="atLeast"/>
        </w:trPr>
        <w:tc>
          <w:tcPr>
            <w:tcW w:w="806" w:type="dxa"/>
          </w:tcPr>
          <w:p>
            <w:pPr>
              <w:pStyle w:val="TableParagraph"/>
              <w:ind w:left="131"/>
              <w:jc w:val="left"/>
              <w:rPr>
                <w:sz w:val="16"/>
              </w:rPr>
            </w:pPr>
            <w:r>
              <w:rPr>
                <w:sz w:val="16"/>
              </w:rPr>
              <w:t>WCH-33</w:t>
            </w:r>
          </w:p>
        </w:tc>
        <w:tc>
          <w:tcPr>
            <w:tcW w:w="900" w:type="dxa"/>
          </w:tcPr>
          <w:p>
            <w:pPr>
              <w:pStyle w:val="TableParagraph"/>
              <w:ind w:right="80"/>
              <w:rPr>
                <w:sz w:val="16"/>
              </w:rPr>
            </w:pPr>
            <w:r>
              <w:rPr>
                <w:sz w:val="16"/>
              </w:rPr>
              <w:t>185.92</w:t>
            </w:r>
          </w:p>
        </w:tc>
        <w:tc>
          <w:tcPr>
            <w:tcW w:w="1188" w:type="dxa"/>
          </w:tcPr>
          <w:p>
            <w:pPr>
              <w:pStyle w:val="TableParagraph"/>
              <w:ind w:left="350" w:right="342"/>
              <w:rPr>
                <w:sz w:val="16"/>
              </w:rPr>
            </w:pPr>
            <w:r>
              <w:rPr>
                <w:sz w:val="16"/>
              </w:rPr>
              <w:t>123.40</w:t>
            </w:r>
          </w:p>
        </w:tc>
        <w:tc>
          <w:tcPr>
            <w:tcW w:w="1366" w:type="dxa"/>
          </w:tcPr>
          <w:p>
            <w:pPr>
              <w:pStyle w:val="TableParagraph"/>
              <w:ind w:left="439" w:right="431"/>
              <w:rPr>
                <w:sz w:val="16"/>
              </w:rPr>
            </w:pPr>
            <w:r>
              <w:rPr>
                <w:sz w:val="16"/>
              </w:rPr>
              <w:t>66.10</w:t>
            </w:r>
          </w:p>
        </w:tc>
        <w:tc>
          <w:tcPr>
            <w:tcW w:w="1191" w:type="dxa"/>
          </w:tcPr>
          <w:p>
            <w:pPr>
              <w:pStyle w:val="TableParagraph"/>
              <w:ind w:left="371" w:right="364"/>
              <w:rPr>
                <w:sz w:val="16"/>
              </w:rPr>
            </w:pPr>
            <w:r>
              <w:rPr>
                <w:sz w:val="16"/>
              </w:rPr>
              <w:t>4470</w:t>
            </w:r>
          </w:p>
        </w:tc>
        <w:tc>
          <w:tcPr>
            <w:tcW w:w="1366" w:type="dxa"/>
          </w:tcPr>
          <w:p>
            <w:pPr>
              <w:pStyle w:val="TableParagraph"/>
              <w:ind w:left="439" w:right="430"/>
              <w:rPr>
                <w:sz w:val="16"/>
              </w:rPr>
            </w:pPr>
            <w:r>
              <w:rPr>
                <w:sz w:val="16"/>
              </w:rPr>
              <w:t>7050</w:t>
            </w:r>
          </w:p>
        </w:tc>
      </w:tr>
      <w:tr>
        <w:trPr>
          <w:trHeight w:val="196" w:hRule="atLeast"/>
        </w:trPr>
        <w:tc>
          <w:tcPr>
            <w:tcW w:w="806" w:type="dxa"/>
            <w:shd w:val="clear" w:color="auto" w:fill="D8E2F2"/>
          </w:tcPr>
          <w:p>
            <w:pPr>
              <w:pStyle w:val="TableParagraph"/>
              <w:spacing w:line="176" w:lineRule="exact"/>
              <w:ind w:left="131"/>
              <w:jc w:val="left"/>
              <w:rPr>
                <w:sz w:val="16"/>
              </w:rPr>
            </w:pPr>
            <w:r>
              <w:rPr>
                <w:sz w:val="16"/>
              </w:rPr>
              <w:t>WCH-34</w:t>
            </w:r>
          </w:p>
        </w:tc>
        <w:tc>
          <w:tcPr>
            <w:tcW w:w="900" w:type="dxa"/>
            <w:shd w:val="clear" w:color="auto" w:fill="D8E2F2"/>
          </w:tcPr>
          <w:p>
            <w:pPr>
              <w:pStyle w:val="TableParagraph"/>
              <w:spacing w:line="176" w:lineRule="exact"/>
              <w:ind w:right="80"/>
              <w:rPr>
                <w:sz w:val="16"/>
              </w:rPr>
            </w:pPr>
            <w:r>
              <w:rPr>
                <w:sz w:val="16"/>
              </w:rPr>
              <w:t>186.42</w:t>
            </w:r>
          </w:p>
        </w:tc>
        <w:tc>
          <w:tcPr>
            <w:tcW w:w="1188" w:type="dxa"/>
            <w:shd w:val="clear" w:color="auto" w:fill="D8E2F2"/>
          </w:tcPr>
          <w:p>
            <w:pPr>
              <w:pStyle w:val="TableParagraph"/>
              <w:spacing w:line="176" w:lineRule="exact"/>
              <w:ind w:left="350" w:right="341"/>
              <w:rPr>
                <w:sz w:val="16"/>
              </w:rPr>
            </w:pPr>
            <w:r>
              <w:rPr>
                <w:sz w:val="16"/>
              </w:rPr>
              <w:t>32.70</w:t>
            </w:r>
          </w:p>
        </w:tc>
        <w:tc>
          <w:tcPr>
            <w:tcW w:w="1366" w:type="dxa"/>
            <w:shd w:val="clear" w:color="auto" w:fill="D8E2F2"/>
          </w:tcPr>
          <w:p>
            <w:pPr>
              <w:pStyle w:val="TableParagraph"/>
              <w:spacing w:line="176" w:lineRule="exact"/>
              <w:ind w:left="439" w:right="431"/>
              <w:rPr>
                <w:sz w:val="16"/>
              </w:rPr>
            </w:pPr>
            <w:r>
              <w:rPr>
                <w:sz w:val="16"/>
              </w:rPr>
              <w:t>15.96</w:t>
            </w:r>
          </w:p>
        </w:tc>
        <w:tc>
          <w:tcPr>
            <w:tcW w:w="1191" w:type="dxa"/>
            <w:shd w:val="clear" w:color="auto" w:fill="D8E2F2"/>
          </w:tcPr>
          <w:p>
            <w:pPr>
              <w:pStyle w:val="TableParagraph"/>
              <w:spacing w:line="176" w:lineRule="exact"/>
              <w:ind w:left="371" w:right="364"/>
              <w:rPr>
                <w:sz w:val="16"/>
              </w:rPr>
            </w:pPr>
            <w:r>
              <w:rPr>
                <w:sz w:val="16"/>
              </w:rPr>
              <w:t>3350</w:t>
            </w:r>
          </w:p>
        </w:tc>
        <w:tc>
          <w:tcPr>
            <w:tcW w:w="1366" w:type="dxa"/>
            <w:shd w:val="clear" w:color="auto" w:fill="D8E2F2"/>
          </w:tcPr>
          <w:p>
            <w:pPr>
              <w:pStyle w:val="TableParagraph"/>
              <w:spacing w:line="176" w:lineRule="exact"/>
              <w:ind w:left="439" w:right="430"/>
              <w:rPr>
                <w:sz w:val="16"/>
              </w:rPr>
            </w:pPr>
            <w:r>
              <w:rPr>
                <w:sz w:val="16"/>
              </w:rPr>
              <w:t>2350</w:t>
            </w:r>
          </w:p>
        </w:tc>
      </w:tr>
      <w:tr>
        <w:trPr>
          <w:trHeight w:val="194" w:hRule="atLeast"/>
        </w:trPr>
        <w:tc>
          <w:tcPr>
            <w:tcW w:w="806" w:type="dxa"/>
          </w:tcPr>
          <w:p>
            <w:pPr>
              <w:pStyle w:val="TableParagraph"/>
              <w:ind w:left="131"/>
              <w:jc w:val="left"/>
              <w:rPr>
                <w:sz w:val="16"/>
              </w:rPr>
            </w:pPr>
            <w:r>
              <w:rPr>
                <w:sz w:val="16"/>
              </w:rPr>
              <w:t>WCH-35</w:t>
            </w:r>
          </w:p>
        </w:tc>
        <w:tc>
          <w:tcPr>
            <w:tcW w:w="900" w:type="dxa"/>
          </w:tcPr>
          <w:p>
            <w:pPr>
              <w:pStyle w:val="TableParagraph"/>
              <w:ind w:right="80"/>
              <w:rPr>
                <w:sz w:val="16"/>
              </w:rPr>
            </w:pPr>
            <w:r>
              <w:rPr>
                <w:sz w:val="16"/>
              </w:rPr>
              <w:t>187.75</w:t>
            </w:r>
          </w:p>
        </w:tc>
        <w:tc>
          <w:tcPr>
            <w:tcW w:w="1188" w:type="dxa"/>
          </w:tcPr>
          <w:p>
            <w:pPr>
              <w:pStyle w:val="TableParagraph"/>
              <w:ind w:left="350" w:right="341"/>
              <w:rPr>
                <w:sz w:val="16"/>
              </w:rPr>
            </w:pPr>
            <w:r>
              <w:rPr>
                <w:sz w:val="16"/>
              </w:rPr>
              <w:t>13.11</w:t>
            </w:r>
          </w:p>
        </w:tc>
        <w:tc>
          <w:tcPr>
            <w:tcW w:w="1366" w:type="dxa"/>
          </w:tcPr>
          <w:p>
            <w:pPr>
              <w:pStyle w:val="TableParagraph"/>
              <w:ind w:left="439" w:right="431"/>
              <w:rPr>
                <w:sz w:val="16"/>
              </w:rPr>
            </w:pPr>
            <w:r>
              <w:rPr>
                <w:sz w:val="16"/>
              </w:rPr>
              <w:t>12.87</w:t>
            </w:r>
          </w:p>
        </w:tc>
        <w:tc>
          <w:tcPr>
            <w:tcW w:w="1191" w:type="dxa"/>
          </w:tcPr>
          <w:p>
            <w:pPr>
              <w:pStyle w:val="TableParagraph"/>
              <w:ind w:left="371" w:right="364"/>
              <w:rPr>
                <w:sz w:val="16"/>
              </w:rPr>
            </w:pPr>
            <w:r>
              <w:rPr>
                <w:sz w:val="16"/>
              </w:rPr>
              <w:t>2250</w:t>
            </w:r>
          </w:p>
        </w:tc>
        <w:tc>
          <w:tcPr>
            <w:tcW w:w="1366" w:type="dxa"/>
          </w:tcPr>
          <w:p>
            <w:pPr>
              <w:pStyle w:val="TableParagraph"/>
              <w:ind w:left="439" w:right="430"/>
              <w:rPr>
                <w:sz w:val="16"/>
              </w:rPr>
            </w:pPr>
            <w:r>
              <w:rPr>
                <w:sz w:val="16"/>
              </w:rPr>
              <w:t>2960</w:t>
            </w:r>
          </w:p>
        </w:tc>
      </w:tr>
      <w:tr>
        <w:trPr>
          <w:trHeight w:val="196" w:hRule="atLeast"/>
        </w:trPr>
        <w:tc>
          <w:tcPr>
            <w:tcW w:w="806" w:type="dxa"/>
            <w:shd w:val="clear" w:color="auto" w:fill="D8E2F2"/>
          </w:tcPr>
          <w:p>
            <w:pPr>
              <w:pStyle w:val="TableParagraph"/>
              <w:spacing w:line="176" w:lineRule="exact"/>
              <w:ind w:left="131"/>
              <w:jc w:val="left"/>
              <w:rPr>
                <w:sz w:val="16"/>
              </w:rPr>
            </w:pPr>
            <w:r>
              <w:rPr>
                <w:sz w:val="16"/>
              </w:rPr>
              <w:t>WCH-36</w:t>
            </w:r>
          </w:p>
        </w:tc>
        <w:tc>
          <w:tcPr>
            <w:tcW w:w="900" w:type="dxa"/>
            <w:shd w:val="clear" w:color="auto" w:fill="D8E2F2"/>
          </w:tcPr>
          <w:p>
            <w:pPr>
              <w:pStyle w:val="TableParagraph"/>
              <w:spacing w:line="176" w:lineRule="exact"/>
              <w:ind w:right="80"/>
              <w:rPr>
                <w:sz w:val="16"/>
              </w:rPr>
            </w:pPr>
            <w:r>
              <w:rPr>
                <w:sz w:val="16"/>
              </w:rPr>
              <w:t>191.08</w:t>
            </w:r>
          </w:p>
        </w:tc>
        <w:tc>
          <w:tcPr>
            <w:tcW w:w="1188" w:type="dxa"/>
            <w:shd w:val="clear" w:color="auto" w:fill="D8E2F2"/>
          </w:tcPr>
          <w:p>
            <w:pPr>
              <w:pStyle w:val="TableParagraph"/>
              <w:spacing w:line="176" w:lineRule="exact"/>
              <w:ind w:left="350" w:right="341"/>
              <w:rPr>
                <w:sz w:val="16"/>
              </w:rPr>
            </w:pPr>
            <w:r>
              <w:rPr>
                <w:sz w:val="16"/>
              </w:rPr>
              <w:t>24.43</w:t>
            </w:r>
          </w:p>
        </w:tc>
        <w:tc>
          <w:tcPr>
            <w:tcW w:w="1366" w:type="dxa"/>
            <w:shd w:val="clear" w:color="auto" w:fill="D8E2F2"/>
          </w:tcPr>
          <w:p>
            <w:pPr>
              <w:pStyle w:val="TableParagraph"/>
              <w:spacing w:line="176" w:lineRule="exact"/>
              <w:ind w:left="439" w:right="431"/>
              <w:rPr>
                <w:sz w:val="16"/>
              </w:rPr>
            </w:pPr>
            <w:r>
              <w:rPr>
                <w:sz w:val="16"/>
              </w:rPr>
              <w:t>35.26</w:t>
            </w:r>
          </w:p>
        </w:tc>
        <w:tc>
          <w:tcPr>
            <w:tcW w:w="1191" w:type="dxa"/>
            <w:shd w:val="clear" w:color="auto" w:fill="D8E2F2"/>
          </w:tcPr>
          <w:p>
            <w:pPr>
              <w:pStyle w:val="TableParagraph"/>
              <w:spacing w:line="176" w:lineRule="exact"/>
              <w:ind w:left="371" w:right="364"/>
              <w:rPr>
                <w:sz w:val="16"/>
              </w:rPr>
            </w:pPr>
            <w:r>
              <w:rPr>
                <w:sz w:val="16"/>
              </w:rPr>
              <w:t>5060</w:t>
            </w:r>
          </w:p>
        </w:tc>
        <w:tc>
          <w:tcPr>
            <w:tcW w:w="1366" w:type="dxa"/>
            <w:shd w:val="clear" w:color="auto" w:fill="D8E2F2"/>
          </w:tcPr>
          <w:p>
            <w:pPr>
              <w:pStyle w:val="TableParagraph"/>
              <w:spacing w:line="176" w:lineRule="exact"/>
              <w:ind w:left="439" w:right="430"/>
              <w:rPr>
                <w:sz w:val="16"/>
              </w:rPr>
            </w:pPr>
            <w:r>
              <w:rPr>
                <w:sz w:val="16"/>
              </w:rPr>
              <w:t>8320</w:t>
            </w:r>
          </w:p>
        </w:tc>
      </w:tr>
      <w:tr>
        <w:trPr>
          <w:trHeight w:val="194" w:hRule="atLeast"/>
        </w:trPr>
        <w:tc>
          <w:tcPr>
            <w:tcW w:w="806" w:type="dxa"/>
          </w:tcPr>
          <w:p>
            <w:pPr>
              <w:pStyle w:val="TableParagraph"/>
              <w:ind w:left="131"/>
              <w:jc w:val="left"/>
              <w:rPr>
                <w:sz w:val="16"/>
              </w:rPr>
            </w:pPr>
            <w:r>
              <w:rPr>
                <w:sz w:val="16"/>
              </w:rPr>
              <w:t>WCH-55</w:t>
            </w:r>
          </w:p>
        </w:tc>
        <w:tc>
          <w:tcPr>
            <w:tcW w:w="900" w:type="dxa"/>
          </w:tcPr>
          <w:p>
            <w:pPr>
              <w:pStyle w:val="TableParagraph"/>
              <w:ind w:right="80"/>
              <w:rPr>
                <w:sz w:val="16"/>
              </w:rPr>
            </w:pPr>
            <w:r>
              <w:rPr>
                <w:sz w:val="16"/>
              </w:rPr>
              <w:t>191.33</w:t>
            </w:r>
          </w:p>
        </w:tc>
        <w:tc>
          <w:tcPr>
            <w:tcW w:w="1188" w:type="dxa"/>
          </w:tcPr>
          <w:p>
            <w:pPr>
              <w:pStyle w:val="TableParagraph"/>
              <w:ind w:left="350" w:right="341"/>
              <w:rPr>
                <w:sz w:val="16"/>
              </w:rPr>
            </w:pPr>
            <w:r>
              <w:rPr>
                <w:sz w:val="16"/>
              </w:rPr>
              <w:t>9.84</w:t>
            </w:r>
          </w:p>
        </w:tc>
        <w:tc>
          <w:tcPr>
            <w:tcW w:w="1366" w:type="dxa"/>
          </w:tcPr>
          <w:p>
            <w:pPr>
              <w:pStyle w:val="TableParagraph"/>
              <w:ind w:left="439" w:right="431"/>
              <w:rPr>
                <w:sz w:val="16"/>
              </w:rPr>
            </w:pPr>
            <w:r>
              <w:rPr>
                <w:sz w:val="16"/>
              </w:rPr>
              <w:t>8.18</w:t>
            </w:r>
          </w:p>
        </w:tc>
        <w:tc>
          <w:tcPr>
            <w:tcW w:w="1191" w:type="dxa"/>
          </w:tcPr>
          <w:p>
            <w:pPr>
              <w:pStyle w:val="TableParagraph"/>
              <w:ind w:left="371" w:right="364"/>
              <w:rPr>
                <w:sz w:val="16"/>
              </w:rPr>
            </w:pPr>
            <w:r>
              <w:rPr>
                <w:sz w:val="16"/>
              </w:rPr>
              <w:t>1130</w:t>
            </w:r>
          </w:p>
        </w:tc>
        <w:tc>
          <w:tcPr>
            <w:tcW w:w="1366" w:type="dxa"/>
          </w:tcPr>
          <w:p>
            <w:pPr>
              <w:pStyle w:val="TableParagraph"/>
              <w:ind w:left="439" w:right="430"/>
              <w:rPr>
                <w:sz w:val="16"/>
              </w:rPr>
            </w:pPr>
            <w:r>
              <w:rPr>
                <w:sz w:val="16"/>
              </w:rPr>
              <w:t>1130</w:t>
            </w:r>
          </w:p>
        </w:tc>
      </w:tr>
      <w:tr>
        <w:trPr>
          <w:trHeight w:val="196" w:hRule="atLeast"/>
        </w:trPr>
        <w:tc>
          <w:tcPr>
            <w:tcW w:w="806" w:type="dxa"/>
            <w:shd w:val="clear" w:color="auto" w:fill="D8E2F2"/>
          </w:tcPr>
          <w:p>
            <w:pPr>
              <w:pStyle w:val="TableParagraph"/>
              <w:spacing w:line="176" w:lineRule="exact"/>
              <w:ind w:left="131"/>
              <w:jc w:val="left"/>
              <w:rPr>
                <w:sz w:val="16"/>
              </w:rPr>
            </w:pPr>
            <w:r>
              <w:rPr>
                <w:sz w:val="16"/>
              </w:rPr>
              <w:t>WCH-37</w:t>
            </w:r>
          </w:p>
        </w:tc>
        <w:tc>
          <w:tcPr>
            <w:tcW w:w="900" w:type="dxa"/>
            <w:shd w:val="clear" w:color="auto" w:fill="D8E2F2"/>
          </w:tcPr>
          <w:p>
            <w:pPr>
              <w:pStyle w:val="TableParagraph"/>
              <w:spacing w:line="176" w:lineRule="exact"/>
              <w:ind w:right="80"/>
              <w:rPr>
                <w:sz w:val="16"/>
              </w:rPr>
            </w:pPr>
            <w:r>
              <w:rPr>
                <w:sz w:val="16"/>
              </w:rPr>
              <w:t>192.75</w:t>
            </w:r>
          </w:p>
        </w:tc>
        <w:tc>
          <w:tcPr>
            <w:tcW w:w="1188" w:type="dxa"/>
            <w:shd w:val="clear" w:color="auto" w:fill="D8E2F2"/>
          </w:tcPr>
          <w:p>
            <w:pPr>
              <w:pStyle w:val="TableParagraph"/>
              <w:spacing w:line="176" w:lineRule="exact"/>
              <w:ind w:left="350" w:right="341"/>
              <w:rPr>
                <w:sz w:val="16"/>
              </w:rPr>
            </w:pPr>
            <w:r>
              <w:rPr>
                <w:sz w:val="16"/>
              </w:rPr>
              <w:t>23.22</w:t>
            </w:r>
          </w:p>
        </w:tc>
        <w:tc>
          <w:tcPr>
            <w:tcW w:w="1366" w:type="dxa"/>
            <w:shd w:val="clear" w:color="auto" w:fill="D8E2F2"/>
          </w:tcPr>
          <w:p>
            <w:pPr>
              <w:pStyle w:val="TableParagraph"/>
              <w:spacing w:line="176" w:lineRule="exact"/>
              <w:ind w:left="439" w:right="431"/>
              <w:rPr>
                <w:sz w:val="16"/>
              </w:rPr>
            </w:pPr>
            <w:r>
              <w:rPr>
                <w:sz w:val="16"/>
              </w:rPr>
              <w:t>24.07</w:t>
            </w:r>
          </w:p>
        </w:tc>
        <w:tc>
          <w:tcPr>
            <w:tcW w:w="1191" w:type="dxa"/>
            <w:shd w:val="clear" w:color="auto" w:fill="D8E2F2"/>
          </w:tcPr>
          <w:p>
            <w:pPr>
              <w:pStyle w:val="TableParagraph"/>
              <w:spacing w:line="176" w:lineRule="exact"/>
              <w:ind w:left="371" w:right="364"/>
              <w:rPr>
                <w:sz w:val="16"/>
              </w:rPr>
            </w:pPr>
            <w:r>
              <w:rPr>
                <w:sz w:val="16"/>
              </w:rPr>
              <w:t>1450</w:t>
            </w:r>
          </w:p>
        </w:tc>
        <w:tc>
          <w:tcPr>
            <w:tcW w:w="1366" w:type="dxa"/>
            <w:shd w:val="clear" w:color="auto" w:fill="D8E2F2"/>
          </w:tcPr>
          <w:p>
            <w:pPr>
              <w:pStyle w:val="TableParagraph"/>
              <w:spacing w:line="176" w:lineRule="exact"/>
              <w:ind w:left="439" w:right="430"/>
              <w:rPr>
                <w:sz w:val="16"/>
              </w:rPr>
            </w:pPr>
            <w:r>
              <w:rPr>
                <w:sz w:val="16"/>
              </w:rPr>
              <w:t>2590</w:t>
            </w:r>
          </w:p>
        </w:tc>
      </w:tr>
      <w:tr>
        <w:trPr>
          <w:trHeight w:val="194" w:hRule="atLeast"/>
        </w:trPr>
        <w:tc>
          <w:tcPr>
            <w:tcW w:w="806" w:type="dxa"/>
          </w:tcPr>
          <w:p>
            <w:pPr>
              <w:pStyle w:val="TableParagraph"/>
              <w:ind w:left="131"/>
              <w:jc w:val="left"/>
              <w:rPr>
                <w:sz w:val="16"/>
              </w:rPr>
            </w:pPr>
            <w:r>
              <w:rPr>
                <w:sz w:val="16"/>
              </w:rPr>
              <w:t>WCH-38</w:t>
            </w:r>
          </w:p>
        </w:tc>
        <w:tc>
          <w:tcPr>
            <w:tcW w:w="900" w:type="dxa"/>
          </w:tcPr>
          <w:p>
            <w:pPr>
              <w:pStyle w:val="TableParagraph"/>
              <w:ind w:right="80"/>
              <w:rPr>
                <w:sz w:val="16"/>
              </w:rPr>
            </w:pPr>
            <w:r>
              <w:rPr>
                <w:sz w:val="16"/>
              </w:rPr>
              <w:t>193.75</w:t>
            </w:r>
          </w:p>
        </w:tc>
        <w:tc>
          <w:tcPr>
            <w:tcW w:w="1188" w:type="dxa"/>
          </w:tcPr>
          <w:p>
            <w:pPr>
              <w:pStyle w:val="TableParagraph"/>
              <w:ind w:left="350" w:right="341"/>
              <w:rPr>
                <w:sz w:val="16"/>
              </w:rPr>
            </w:pPr>
            <w:r>
              <w:rPr>
                <w:sz w:val="16"/>
              </w:rPr>
              <w:t>6.69</w:t>
            </w:r>
          </w:p>
        </w:tc>
        <w:tc>
          <w:tcPr>
            <w:tcW w:w="1366" w:type="dxa"/>
          </w:tcPr>
          <w:p>
            <w:pPr>
              <w:pStyle w:val="TableParagraph"/>
              <w:ind w:left="439" w:right="431"/>
              <w:rPr>
                <w:sz w:val="16"/>
              </w:rPr>
            </w:pPr>
            <w:r>
              <w:rPr>
                <w:sz w:val="16"/>
              </w:rPr>
              <w:t>4.03</w:t>
            </w:r>
          </w:p>
        </w:tc>
        <w:tc>
          <w:tcPr>
            <w:tcW w:w="1191" w:type="dxa"/>
          </w:tcPr>
          <w:p>
            <w:pPr>
              <w:pStyle w:val="TableParagraph"/>
              <w:ind w:left="371" w:right="364"/>
              <w:rPr>
                <w:sz w:val="16"/>
              </w:rPr>
            </w:pPr>
            <w:r>
              <w:rPr>
                <w:sz w:val="16"/>
              </w:rPr>
              <w:t>2370</w:t>
            </w:r>
          </w:p>
        </w:tc>
        <w:tc>
          <w:tcPr>
            <w:tcW w:w="1366" w:type="dxa"/>
          </w:tcPr>
          <w:p>
            <w:pPr>
              <w:pStyle w:val="TableParagraph"/>
              <w:ind w:left="439" w:right="430"/>
              <w:rPr>
                <w:sz w:val="16"/>
              </w:rPr>
            </w:pPr>
            <w:r>
              <w:rPr>
                <w:sz w:val="16"/>
              </w:rPr>
              <w:t>1490</w:t>
            </w:r>
          </w:p>
        </w:tc>
      </w:tr>
      <w:tr>
        <w:trPr>
          <w:trHeight w:val="196" w:hRule="atLeast"/>
        </w:trPr>
        <w:tc>
          <w:tcPr>
            <w:tcW w:w="806" w:type="dxa"/>
            <w:shd w:val="clear" w:color="auto" w:fill="D8E2F2"/>
          </w:tcPr>
          <w:p>
            <w:pPr>
              <w:pStyle w:val="TableParagraph"/>
              <w:spacing w:line="175" w:lineRule="exact" w:before="1"/>
              <w:ind w:left="131"/>
              <w:jc w:val="left"/>
              <w:rPr>
                <w:sz w:val="16"/>
              </w:rPr>
            </w:pPr>
            <w:r>
              <w:rPr>
                <w:sz w:val="16"/>
              </w:rPr>
              <w:t>WCH-39</w:t>
            </w:r>
          </w:p>
        </w:tc>
        <w:tc>
          <w:tcPr>
            <w:tcW w:w="900" w:type="dxa"/>
            <w:shd w:val="clear" w:color="auto" w:fill="D8E2F2"/>
          </w:tcPr>
          <w:p>
            <w:pPr>
              <w:pStyle w:val="TableParagraph"/>
              <w:spacing w:line="175" w:lineRule="exact" w:before="1"/>
              <w:ind w:right="80"/>
              <w:rPr>
                <w:sz w:val="16"/>
              </w:rPr>
            </w:pPr>
            <w:r>
              <w:rPr>
                <w:sz w:val="16"/>
              </w:rPr>
              <w:t>195.42</w:t>
            </w:r>
          </w:p>
        </w:tc>
        <w:tc>
          <w:tcPr>
            <w:tcW w:w="1188" w:type="dxa"/>
            <w:shd w:val="clear" w:color="auto" w:fill="D8E2F2"/>
          </w:tcPr>
          <w:p>
            <w:pPr>
              <w:pStyle w:val="TableParagraph"/>
              <w:spacing w:line="175" w:lineRule="exact" w:before="1"/>
              <w:ind w:left="350" w:right="341"/>
              <w:rPr>
                <w:sz w:val="16"/>
              </w:rPr>
            </w:pPr>
            <w:r>
              <w:rPr>
                <w:sz w:val="16"/>
              </w:rPr>
              <w:t>21.13</w:t>
            </w:r>
          </w:p>
        </w:tc>
        <w:tc>
          <w:tcPr>
            <w:tcW w:w="1366" w:type="dxa"/>
            <w:shd w:val="clear" w:color="auto" w:fill="D8E2F2"/>
          </w:tcPr>
          <w:p>
            <w:pPr>
              <w:pStyle w:val="TableParagraph"/>
              <w:spacing w:line="175" w:lineRule="exact" w:before="1"/>
              <w:ind w:left="439" w:right="431"/>
              <w:rPr>
                <w:sz w:val="16"/>
              </w:rPr>
            </w:pPr>
            <w:r>
              <w:rPr>
                <w:sz w:val="16"/>
              </w:rPr>
              <w:t>16.80</w:t>
            </w:r>
          </w:p>
        </w:tc>
        <w:tc>
          <w:tcPr>
            <w:tcW w:w="1191" w:type="dxa"/>
            <w:shd w:val="clear" w:color="auto" w:fill="D8E2F2"/>
          </w:tcPr>
          <w:p>
            <w:pPr>
              <w:pStyle w:val="TableParagraph"/>
              <w:spacing w:line="175" w:lineRule="exact" w:before="1"/>
              <w:ind w:left="371" w:right="364"/>
              <w:rPr>
                <w:sz w:val="16"/>
              </w:rPr>
            </w:pPr>
            <w:r>
              <w:rPr>
                <w:sz w:val="16"/>
              </w:rPr>
              <w:t>1600</w:t>
            </w:r>
          </w:p>
        </w:tc>
        <w:tc>
          <w:tcPr>
            <w:tcW w:w="1366" w:type="dxa"/>
            <w:shd w:val="clear" w:color="auto" w:fill="D8E2F2"/>
          </w:tcPr>
          <w:p>
            <w:pPr>
              <w:pStyle w:val="TableParagraph"/>
              <w:spacing w:line="175" w:lineRule="exact" w:before="1"/>
              <w:ind w:left="439" w:right="430"/>
              <w:rPr>
                <w:sz w:val="16"/>
              </w:rPr>
            </w:pPr>
            <w:r>
              <w:rPr>
                <w:sz w:val="16"/>
              </w:rPr>
              <w:t>1430</w:t>
            </w:r>
          </w:p>
        </w:tc>
      </w:tr>
      <w:tr>
        <w:trPr>
          <w:trHeight w:val="194" w:hRule="atLeast"/>
        </w:trPr>
        <w:tc>
          <w:tcPr>
            <w:tcW w:w="806" w:type="dxa"/>
          </w:tcPr>
          <w:p>
            <w:pPr>
              <w:pStyle w:val="TableParagraph"/>
              <w:ind w:left="131"/>
              <w:jc w:val="left"/>
              <w:rPr>
                <w:sz w:val="16"/>
              </w:rPr>
            </w:pPr>
            <w:r>
              <w:rPr>
                <w:sz w:val="16"/>
              </w:rPr>
              <w:t>WCH-56</w:t>
            </w:r>
          </w:p>
        </w:tc>
        <w:tc>
          <w:tcPr>
            <w:tcW w:w="900" w:type="dxa"/>
          </w:tcPr>
          <w:p>
            <w:pPr>
              <w:pStyle w:val="TableParagraph"/>
              <w:ind w:right="80"/>
              <w:rPr>
                <w:sz w:val="16"/>
              </w:rPr>
            </w:pPr>
            <w:r>
              <w:rPr>
                <w:sz w:val="16"/>
              </w:rPr>
              <w:t>203.08</w:t>
            </w:r>
          </w:p>
        </w:tc>
        <w:tc>
          <w:tcPr>
            <w:tcW w:w="1188" w:type="dxa"/>
          </w:tcPr>
          <w:p>
            <w:pPr>
              <w:pStyle w:val="TableParagraph"/>
              <w:ind w:left="350" w:right="341"/>
              <w:rPr>
                <w:sz w:val="16"/>
              </w:rPr>
            </w:pPr>
            <w:r>
              <w:rPr>
                <w:sz w:val="16"/>
              </w:rPr>
              <w:t>27.63</w:t>
            </w:r>
          </w:p>
        </w:tc>
        <w:tc>
          <w:tcPr>
            <w:tcW w:w="1366" w:type="dxa"/>
          </w:tcPr>
          <w:p>
            <w:pPr>
              <w:pStyle w:val="TableParagraph"/>
              <w:ind w:left="439" w:right="431"/>
              <w:rPr>
                <w:sz w:val="16"/>
              </w:rPr>
            </w:pPr>
            <w:r>
              <w:rPr>
                <w:sz w:val="16"/>
              </w:rPr>
              <w:t>21.72</w:t>
            </w:r>
          </w:p>
        </w:tc>
        <w:tc>
          <w:tcPr>
            <w:tcW w:w="1191" w:type="dxa"/>
          </w:tcPr>
          <w:p>
            <w:pPr>
              <w:pStyle w:val="TableParagraph"/>
              <w:ind w:left="371" w:right="364"/>
              <w:rPr>
                <w:sz w:val="16"/>
              </w:rPr>
            </w:pPr>
            <w:r>
              <w:rPr>
                <w:sz w:val="16"/>
              </w:rPr>
              <w:t>3810</w:t>
            </w:r>
          </w:p>
        </w:tc>
        <w:tc>
          <w:tcPr>
            <w:tcW w:w="1366" w:type="dxa"/>
          </w:tcPr>
          <w:p>
            <w:pPr>
              <w:pStyle w:val="TableParagraph"/>
              <w:ind w:left="439" w:right="430"/>
              <w:rPr>
                <w:sz w:val="16"/>
              </w:rPr>
            </w:pPr>
            <w:r>
              <w:rPr>
                <w:sz w:val="16"/>
              </w:rPr>
              <w:t>3400</w:t>
            </w:r>
          </w:p>
        </w:tc>
      </w:tr>
      <w:tr>
        <w:trPr>
          <w:trHeight w:val="196" w:hRule="atLeast"/>
        </w:trPr>
        <w:tc>
          <w:tcPr>
            <w:tcW w:w="806" w:type="dxa"/>
            <w:shd w:val="clear" w:color="auto" w:fill="D8E2F2"/>
          </w:tcPr>
          <w:p>
            <w:pPr>
              <w:pStyle w:val="TableParagraph"/>
              <w:spacing w:line="175" w:lineRule="exact" w:before="1"/>
              <w:ind w:left="131"/>
              <w:jc w:val="left"/>
              <w:rPr>
                <w:sz w:val="16"/>
              </w:rPr>
            </w:pPr>
            <w:r>
              <w:rPr>
                <w:sz w:val="16"/>
              </w:rPr>
              <w:t>WCH-57</w:t>
            </w:r>
          </w:p>
        </w:tc>
        <w:tc>
          <w:tcPr>
            <w:tcW w:w="900" w:type="dxa"/>
            <w:shd w:val="clear" w:color="auto" w:fill="D8E2F2"/>
          </w:tcPr>
          <w:p>
            <w:pPr>
              <w:pStyle w:val="TableParagraph"/>
              <w:spacing w:line="175" w:lineRule="exact" w:before="1"/>
              <w:ind w:right="80"/>
              <w:rPr>
                <w:sz w:val="16"/>
              </w:rPr>
            </w:pPr>
            <w:r>
              <w:rPr>
                <w:sz w:val="16"/>
              </w:rPr>
              <w:t>207.00</w:t>
            </w:r>
          </w:p>
        </w:tc>
        <w:tc>
          <w:tcPr>
            <w:tcW w:w="1188" w:type="dxa"/>
            <w:shd w:val="clear" w:color="auto" w:fill="D8E2F2"/>
          </w:tcPr>
          <w:p>
            <w:pPr>
              <w:pStyle w:val="TableParagraph"/>
              <w:spacing w:line="175" w:lineRule="exact" w:before="1"/>
              <w:ind w:left="350" w:right="341"/>
              <w:rPr>
                <w:sz w:val="16"/>
              </w:rPr>
            </w:pPr>
            <w:r>
              <w:rPr>
                <w:sz w:val="16"/>
              </w:rPr>
              <w:t>12.95</w:t>
            </w:r>
          </w:p>
        </w:tc>
        <w:tc>
          <w:tcPr>
            <w:tcW w:w="1366" w:type="dxa"/>
            <w:shd w:val="clear" w:color="auto" w:fill="D8E2F2"/>
          </w:tcPr>
          <w:p>
            <w:pPr>
              <w:pStyle w:val="TableParagraph"/>
              <w:spacing w:line="175" w:lineRule="exact" w:before="1"/>
              <w:ind w:left="439" w:right="431"/>
              <w:rPr>
                <w:sz w:val="16"/>
              </w:rPr>
            </w:pPr>
            <w:r>
              <w:rPr>
                <w:sz w:val="16"/>
              </w:rPr>
              <w:t>9.49</w:t>
            </w:r>
          </w:p>
        </w:tc>
        <w:tc>
          <w:tcPr>
            <w:tcW w:w="1191" w:type="dxa"/>
            <w:shd w:val="clear" w:color="auto" w:fill="D8E2F2"/>
          </w:tcPr>
          <w:p>
            <w:pPr>
              <w:pStyle w:val="TableParagraph"/>
              <w:spacing w:line="175" w:lineRule="exact" w:before="1"/>
              <w:ind w:left="371" w:right="364"/>
              <w:rPr>
                <w:sz w:val="16"/>
              </w:rPr>
            </w:pPr>
            <w:r>
              <w:rPr>
                <w:sz w:val="16"/>
              </w:rPr>
              <w:t>1840</w:t>
            </w:r>
          </w:p>
        </w:tc>
        <w:tc>
          <w:tcPr>
            <w:tcW w:w="1366" w:type="dxa"/>
            <w:shd w:val="clear" w:color="auto" w:fill="D8E2F2"/>
          </w:tcPr>
          <w:p>
            <w:pPr>
              <w:pStyle w:val="TableParagraph"/>
              <w:spacing w:line="175" w:lineRule="exact" w:before="1"/>
              <w:ind w:left="439" w:right="430"/>
              <w:rPr>
                <w:sz w:val="16"/>
              </w:rPr>
            </w:pPr>
            <w:r>
              <w:rPr>
                <w:sz w:val="16"/>
              </w:rPr>
              <w:t>1520</w:t>
            </w: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6" w:lineRule="exact"/>
              <w:ind w:left="131"/>
              <w:jc w:val="left"/>
              <w:rPr>
                <w:sz w:val="16"/>
              </w:rPr>
            </w:pPr>
            <w:r>
              <w:rPr>
                <w:sz w:val="16"/>
              </w:rPr>
              <w:t>WCH-58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80"/>
              <w:rPr>
                <w:sz w:val="16"/>
              </w:rPr>
            </w:pPr>
            <w:r>
              <w:rPr>
                <w:sz w:val="16"/>
              </w:rPr>
              <w:t>209.92</w:t>
            </w:r>
          </w:p>
        </w:tc>
        <w:tc>
          <w:tcPr>
            <w:tcW w:w="1188" w:type="dxa"/>
          </w:tcPr>
          <w:p>
            <w:pPr>
              <w:pStyle w:val="TableParagraph"/>
              <w:spacing w:line="176" w:lineRule="exact"/>
              <w:ind w:left="350" w:right="341"/>
              <w:rPr>
                <w:sz w:val="16"/>
              </w:rPr>
            </w:pPr>
            <w:r>
              <w:rPr>
                <w:sz w:val="16"/>
              </w:rPr>
              <w:t>2.44</w:t>
            </w:r>
          </w:p>
        </w:tc>
        <w:tc>
          <w:tcPr>
            <w:tcW w:w="1366" w:type="dxa"/>
          </w:tcPr>
          <w:p>
            <w:pPr>
              <w:pStyle w:val="TableParagraph"/>
              <w:spacing w:line="176" w:lineRule="exact"/>
              <w:ind w:left="439" w:right="431"/>
              <w:rPr>
                <w:sz w:val="16"/>
              </w:rPr>
            </w:pPr>
            <w:r>
              <w:rPr>
                <w:sz w:val="16"/>
              </w:rPr>
              <w:t>2.75</w:t>
            </w:r>
          </w:p>
        </w:tc>
        <w:tc>
          <w:tcPr>
            <w:tcW w:w="1191" w:type="dxa"/>
          </w:tcPr>
          <w:p>
            <w:pPr>
              <w:pStyle w:val="TableParagraph"/>
              <w:spacing w:line="176" w:lineRule="exact"/>
              <w:ind w:left="371" w:right="363"/>
              <w:rPr>
                <w:sz w:val="16"/>
              </w:rPr>
            </w:pPr>
            <w:r>
              <w:rPr>
                <w:sz w:val="16"/>
              </w:rPr>
              <w:t>200</w:t>
            </w:r>
          </w:p>
        </w:tc>
        <w:tc>
          <w:tcPr>
            <w:tcW w:w="1366" w:type="dxa"/>
          </w:tcPr>
          <w:p>
            <w:pPr>
              <w:pStyle w:val="TableParagraph"/>
              <w:spacing w:line="176" w:lineRule="exact"/>
              <w:ind w:left="439" w:right="430"/>
              <w:rPr>
                <w:sz w:val="16"/>
              </w:rPr>
            </w:pPr>
            <w:r>
              <w:rPr>
                <w:sz w:val="16"/>
              </w:rPr>
              <w:t>120</w:t>
            </w:r>
          </w:p>
        </w:tc>
      </w:tr>
    </w:tbl>
    <w:p>
      <w:pPr>
        <w:spacing w:after="0" w:line="176" w:lineRule="exact"/>
        <w:rPr>
          <w:sz w:val="16"/>
        </w:rPr>
        <w:sectPr>
          <w:footerReference w:type="default" r:id="rId47"/>
          <w:pgSz w:w="12240" w:h="15840"/>
          <w:pgMar w:footer="1014" w:header="0" w:top="1400" w:bottom="1200" w:left="1320" w:right="820"/>
          <w:pgNumType w:start="1"/>
        </w:sectPr>
      </w:pPr>
    </w:p>
    <w:p>
      <w:pPr>
        <w:pStyle w:val="BodyText"/>
        <w:ind w:left="1348"/>
        <w:rPr>
          <w:sz w:val="20"/>
        </w:rPr>
      </w:pPr>
      <w:r>
        <w:rPr>
          <w:sz w:val="20"/>
        </w:rPr>
        <w:drawing>
          <wp:inline distT="0" distB="0" distL="0" distR="0">
            <wp:extent cx="4416157" cy="5071872"/>
            <wp:effectExtent l="0" t="0" r="0" b="0"/>
            <wp:docPr id="47" name="image2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24.jpe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6157" cy="5071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4"/>
        <w:rPr>
          <w:sz w:val="13"/>
        </w:rPr>
      </w:pPr>
    </w:p>
    <w:p>
      <w:pPr>
        <w:spacing w:before="56"/>
        <w:ind w:left="120" w:right="660" w:firstLine="0"/>
        <w:jc w:val="left"/>
        <w:rPr>
          <w:sz w:val="22"/>
        </w:rPr>
      </w:pPr>
      <w:r>
        <w:rPr>
          <w:sz w:val="22"/>
        </w:rPr>
        <w:t>Figure</w:t>
      </w:r>
      <w:r>
        <w:rPr>
          <w:spacing w:val="-1"/>
          <w:sz w:val="22"/>
        </w:rPr>
        <w:t> </w:t>
      </w:r>
      <w:r>
        <w:rPr>
          <w:sz w:val="22"/>
        </w:rPr>
        <w:t>24.</w:t>
      </w:r>
      <w:r>
        <w:rPr>
          <w:spacing w:val="-3"/>
          <w:sz w:val="22"/>
        </w:rPr>
        <w:t> </w:t>
      </w:r>
      <w:r>
        <w:rPr>
          <w:sz w:val="22"/>
        </w:rPr>
        <w:t>Depth profiles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Isorenieratane(</w:t>
      </w:r>
      <w:r>
        <w:rPr>
          <w:b/>
          <w:sz w:val="22"/>
        </w:rPr>
        <w:t>I</w:t>
      </w:r>
      <w:r>
        <w:rPr>
          <w:sz w:val="22"/>
        </w:rPr>
        <w:t>)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2"/>
          <w:sz w:val="22"/>
        </w:rPr>
        <w:t> </w:t>
      </w:r>
      <w:r>
        <w:rPr>
          <w:sz w:val="22"/>
        </w:rPr>
        <w:t>Paleorenieratane</w:t>
      </w:r>
      <w:r>
        <w:rPr>
          <w:spacing w:val="-1"/>
          <w:sz w:val="22"/>
        </w:rPr>
        <w:t> </w:t>
      </w:r>
      <w:r>
        <w:rPr>
          <w:sz w:val="22"/>
        </w:rPr>
        <w:t>(</w:t>
      </w:r>
      <w:r>
        <w:rPr>
          <w:b/>
          <w:sz w:val="22"/>
        </w:rPr>
        <w:t>II</w:t>
      </w:r>
      <w:r>
        <w:rPr>
          <w:sz w:val="22"/>
        </w:rPr>
        <w:t>)</w:t>
      </w:r>
      <w:r>
        <w:rPr>
          <w:spacing w:val="-2"/>
          <w:sz w:val="22"/>
        </w:rPr>
        <w:t> </w:t>
      </w:r>
      <w:r>
        <w:rPr>
          <w:sz w:val="22"/>
        </w:rPr>
        <w:t>measured</w:t>
      </w:r>
      <w:r>
        <w:rPr>
          <w:spacing w:val="-5"/>
          <w:sz w:val="22"/>
        </w:rPr>
        <w:t> </w:t>
      </w:r>
      <w:r>
        <w:rPr>
          <w:sz w:val="22"/>
        </w:rPr>
        <w:t>on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LCMS and</w:t>
      </w:r>
      <w:r>
        <w:rPr>
          <w:spacing w:val="-47"/>
          <w:sz w:val="22"/>
        </w:rPr>
        <w:t> </w:t>
      </w:r>
      <w:r>
        <w:rPr>
          <w:sz w:val="22"/>
        </w:rPr>
        <w:t>GCMS.</w:t>
      </w:r>
      <w:r>
        <w:rPr>
          <w:spacing w:val="-1"/>
          <w:sz w:val="22"/>
        </w:rPr>
        <w:t> </w:t>
      </w:r>
      <w:r>
        <w:rPr>
          <w:sz w:val="22"/>
        </w:rPr>
        <w:t>GCMS results</w:t>
      </w:r>
      <w:r>
        <w:rPr>
          <w:spacing w:val="-2"/>
          <w:sz w:val="22"/>
        </w:rPr>
        <w:t> </w:t>
      </w:r>
      <w:r>
        <w:rPr>
          <w:sz w:val="22"/>
        </w:rPr>
        <w:t>were</w:t>
      </w:r>
      <w:r>
        <w:rPr>
          <w:spacing w:val="-3"/>
          <w:sz w:val="22"/>
        </w:rPr>
        <w:t> </w:t>
      </w:r>
      <w:r>
        <w:rPr>
          <w:sz w:val="22"/>
        </w:rPr>
        <w:t>obtained from</w:t>
      </w:r>
      <w:r>
        <w:rPr>
          <w:spacing w:val="2"/>
          <w:sz w:val="22"/>
        </w:rPr>
        <w:t> </w:t>
      </w:r>
      <w:r>
        <w:rPr>
          <w:sz w:val="22"/>
        </w:rPr>
        <w:t>Connock et</w:t>
      </w:r>
      <w:r>
        <w:rPr>
          <w:spacing w:val="-3"/>
          <w:sz w:val="22"/>
        </w:rPr>
        <w:t> </w:t>
      </w:r>
      <w:r>
        <w:rPr>
          <w:sz w:val="22"/>
        </w:rPr>
        <w:t>al.</w:t>
      </w:r>
      <w:r>
        <w:rPr>
          <w:spacing w:val="-1"/>
          <w:sz w:val="22"/>
        </w:rPr>
        <w:t> </w:t>
      </w:r>
      <w:r>
        <w:rPr>
          <w:sz w:val="22"/>
        </w:rPr>
        <w:t>(2018).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1"/>
        <w:rPr>
          <w:sz w:val="32"/>
        </w:rPr>
      </w:pPr>
    </w:p>
    <w:p>
      <w:pPr>
        <w:pStyle w:val="BodyText"/>
        <w:spacing w:line="480" w:lineRule="auto"/>
        <w:ind w:left="120" w:right="658" w:firstLine="720"/>
      </w:pPr>
      <w:r>
        <w:rPr/>
        <w:t>Aromatic</w:t>
      </w:r>
      <w:r>
        <w:rPr>
          <w:spacing w:val="-2"/>
        </w:rPr>
        <w:t> </w:t>
      </w:r>
      <w:r>
        <w:rPr/>
        <w:t>carotenoids</w:t>
      </w:r>
      <w:r>
        <w:rPr>
          <w:spacing w:val="-2"/>
        </w:rPr>
        <w:t> </w:t>
      </w:r>
      <w:r>
        <w:rPr/>
        <w:t>(C40+)</w:t>
      </w:r>
      <w:r>
        <w:rPr>
          <w:spacing w:val="-2"/>
        </w:rPr>
        <w:t> </w:t>
      </w:r>
      <w:r>
        <w:rPr/>
        <w:t>are</w:t>
      </w:r>
      <w:r>
        <w:rPr>
          <w:spacing w:val="-3"/>
        </w:rPr>
        <w:t> </w:t>
      </w:r>
      <w:r>
        <w:rPr/>
        <w:t>one</w:t>
      </w:r>
      <w:r>
        <w:rPr>
          <w:spacing w:val="-1"/>
        </w:rPr>
        <w:t> </w:t>
      </w:r>
      <w:r>
        <w:rPr/>
        <w:t>group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biomarkers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can</w:t>
      </w:r>
      <w:r>
        <w:rPr>
          <w:spacing w:val="-3"/>
        </w:rPr>
        <w:t> </w:t>
      </w:r>
      <w:r>
        <w:rPr/>
        <w:t>be</w:t>
      </w:r>
      <w:r>
        <w:rPr>
          <w:spacing w:val="-2"/>
        </w:rPr>
        <w:t> </w:t>
      </w:r>
      <w:r>
        <w:rPr/>
        <w:t>analyzed</w:t>
      </w:r>
      <w:r>
        <w:rPr>
          <w:spacing w:val="-2"/>
        </w:rPr>
        <w:t> </w:t>
      </w:r>
      <w:r>
        <w:rPr/>
        <w:t>with</w:t>
      </w:r>
      <w:r>
        <w:rPr>
          <w:spacing w:val="-51"/>
        </w:rPr>
        <w:t> </w:t>
      </w:r>
      <w:r>
        <w:rPr/>
        <w:t>both GCMS and LCMS methods. They do not fully elute from the GCMS at 310°C, meaning the</w:t>
      </w:r>
      <w:r>
        <w:rPr>
          <w:spacing w:val="1"/>
        </w:rPr>
        <w:t> </w:t>
      </w:r>
      <w:r>
        <w:rPr/>
        <w:t>samples must be run at higher temperatures, explaining why previous studies do not detect</w:t>
      </w:r>
      <w:r>
        <w:rPr>
          <w:spacing w:val="1"/>
        </w:rPr>
        <w:t> </w:t>
      </w:r>
      <w:r>
        <w:rPr/>
        <w:t>these compounds (Romero and Philp, 2012). In Connock et al. (2018), they run the samples at</w:t>
      </w:r>
      <w:r>
        <w:rPr>
          <w:spacing w:val="1"/>
        </w:rPr>
        <w:t> </w:t>
      </w:r>
      <w:r>
        <w:rPr/>
        <w:t>315°C, and they speculate that running at even higher temperatures such as 320°C would elute</w:t>
      </w:r>
      <w:r>
        <w:rPr>
          <w:spacing w:val="-52"/>
        </w:rPr>
        <w:t> </w:t>
      </w:r>
      <w:r>
        <w:rPr/>
        <w:t>even</w:t>
      </w:r>
      <w:r>
        <w:rPr>
          <w:spacing w:val="-2"/>
        </w:rPr>
        <w:t> </w:t>
      </w:r>
      <w:r>
        <w:rPr/>
        <w:t>higher</w:t>
      </w:r>
      <w:r>
        <w:rPr>
          <w:spacing w:val="-4"/>
        </w:rPr>
        <w:t> </w:t>
      </w:r>
      <w:r>
        <w:rPr/>
        <w:t>amounts</w:t>
      </w:r>
      <w:r>
        <w:rPr>
          <w:spacing w:val="1"/>
        </w:rPr>
        <w:t> </w:t>
      </w:r>
      <w:r>
        <w:rPr/>
        <w:t>relative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internal</w:t>
      </w:r>
      <w:r>
        <w:rPr>
          <w:spacing w:val="-2"/>
        </w:rPr>
        <w:t> </w:t>
      </w:r>
      <w:r>
        <w:rPr/>
        <w:t>standard. However,</w:t>
      </w:r>
      <w:r>
        <w:rPr>
          <w:spacing w:val="-3"/>
        </w:rPr>
        <w:t> </w:t>
      </w:r>
      <w:r>
        <w:rPr/>
        <w:t>these</w:t>
      </w:r>
      <w:r>
        <w:rPr>
          <w:spacing w:val="-3"/>
        </w:rPr>
        <w:t> </w:t>
      </w:r>
      <w:r>
        <w:rPr/>
        <w:t>higher</w:t>
      </w:r>
      <w:r>
        <w:rPr>
          <w:spacing w:val="-3"/>
        </w:rPr>
        <w:t> </w:t>
      </w:r>
      <w:r>
        <w:rPr/>
        <w:t>temperatures</w:t>
      </w:r>
    </w:p>
    <w:p>
      <w:pPr>
        <w:spacing w:after="0" w:line="480" w:lineRule="auto"/>
        <w:sectPr>
          <w:pgSz w:w="12240" w:h="15840"/>
          <w:pgMar w:header="0" w:footer="1014" w:top="1440" w:bottom="1200" w:left="1320" w:right="820"/>
        </w:sectPr>
      </w:pPr>
    </w:p>
    <w:p>
      <w:pPr>
        <w:pStyle w:val="BodyText"/>
        <w:spacing w:line="480" w:lineRule="auto" w:before="39"/>
        <w:ind w:left="120" w:right="694"/>
      </w:pPr>
      <w:r>
        <w:rPr/>
        <w:t>have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potential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damage</w:t>
      </w:r>
      <w:r>
        <w:rPr>
          <w:spacing w:val="-1"/>
        </w:rPr>
        <w:t> </w:t>
      </w:r>
      <w:r>
        <w:rPr/>
        <w:t>the</w:t>
      </w:r>
      <w:r>
        <w:rPr>
          <w:spacing w:val="1"/>
        </w:rPr>
        <w:t> </w:t>
      </w:r>
      <w:r>
        <w:rPr/>
        <w:t>GC</w:t>
      </w:r>
      <w:r>
        <w:rPr>
          <w:spacing w:val="-2"/>
        </w:rPr>
        <w:t> </w:t>
      </w:r>
      <w:r>
        <w:rPr/>
        <w:t>capillary</w:t>
      </w:r>
      <w:r>
        <w:rPr>
          <w:spacing w:val="-2"/>
        </w:rPr>
        <w:t> </w:t>
      </w:r>
      <w:r>
        <w:rPr/>
        <w:t>column.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GCMS</w:t>
      </w:r>
      <w:r>
        <w:rPr>
          <w:spacing w:val="-2"/>
        </w:rPr>
        <w:t> </w:t>
      </w:r>
      <w:r>
        <w:rPr/>
        <w:t>is better</w:t>
      </w:r>
      <w:r>
        <w:rPr>
          <w:spacing w:val="-2"/>
        </w:rPr>
        <w:t> </w:t>
      </w:r>
      <w:r>
        <w:rPr/>
        <w:t>suited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measuring</w:t>
      </w:r>
      <w:r>
        <w:rPr>
          <w:spacing w:val="-51"/>
        </w:rPr>
        <w:t> </w:t>
      </w:r>
      <w:r>
        <w:rPr/>
        <w:t>volatile compounds that the gas phase can easily carry. Carotenoids are not very volatile, and</w:t>
      </w:r>
      <w:r>
        <w:rPr>
          <w:spacing w:val="1"/>
        </w:rPr>
        <w:t> </w:t>
      </w:r>
      <w:r>
        <w:rPr/>
        <w:t>therefore it is difficult to measure them using GCMS. Under the LCMS setup all aromatic</w:t>
      </w:r>
      <w:r>
        <w:rPr>
          <w:spacing w:val="1"/>
        </w:rPr>
        <w:t> </w:t>
      </w:r>
      <w:r>
        <w:rPr/>
        <w:t>carotenoids are readily detected in the injected TLEs (Appendix III: </w:t>
      </w:r>
      <w:r>
        <w:rPr>
          <w:b/>
        </w:rPr>
        <w:t>I-VI)</w:t>
      </w:r>
      <w:r>
        <w:rPr/>
        <w:t>, regardless of the</w:t>
      </w:r>
      <w:r>
        <w:rPr>
          <w:spacing w:val="1"/>
        </w:rPr>
        <w:t> </w:t>
      </w:r>
      <w:r>
        <w:rPr/>
        <w:t>complex background signal of the matrix. Each LCMS analysis takes only one hour which is</w:t>
      </w:r>
      <w:r>
        <w:rPr>
          <w:spacing w:val="1"/>
        </w:rPr>
        <w:t> </w:t>
      </w:r>
      <w:r>
        <w:rPr/>
        <w:t>much</w:t>
      </w:r>
      <w:r>
        <w:rPr>
          <w:spacing w:val="-2"/>
        </w:rPr>
        <w:t> </w:t>
      </w:r>
      <w:r>
        <w:rPr/>
        <w:t>shorter</w:t>
      </w:r>
      <w:r>
        <w:rPr>
          <w:spacing w:val="3"/>
        </w:rPr>
        <w:t> </w:t>
      </w:r>
      <w:r>
        <w:rPr/>
        <w:t>compared</w:t>
      </w:r>
      <w:r>
        <w:rPr>
          <w:spacing w:val="-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two</w:t>
      </w:r>
      <w:r>
        <w:rPr>
          <w:spacing w:val="-2"/>
        </w:rPr>
        <w:t> </w:t>
      </w:r>
      <w:r>
        <w:rPr/>
        <w:t>hour</w:t>
      </w:r>
      <w:r>
        <w:rPr>
          <w:spacing w:val="-2"/>
        </w:rPr>
        <w:t> </w:t>
      </w:r>
      <w:r>
        <w:rPr/>
        <w:t>program</w:t>
      </w:r>
      <w:r>
        <w:rPr>
          <w:spacing w:val="-3"/>
        </w:rPr>
        <w:t> </w:t>
      </w:r>
      <w:r>
        <w:rPr/>
        <w:t>for</w:t>
      </w:r>
      <w:r>
        <w:rPr>
          <w:spacing w:val="-4"/>
        </w:rPr>
        <w:t> </w:t>
      </w:r>
      <w:r>
        <w:rPr/>
        <w:t>GCMS.</w:t>
      </w:r>
    </w:p>
    <w:p>
      <w:pPr>
        <w:pStyle w:val="BodyText"/>
        <w:spacing w:before="2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211">
            <wp:simplePos x="0" y="0"/>
            <wp:positionH relativeFrom="page">
              <wp:posOffset>2788919</wp:posOffset>
            </wp:positionH>
            <wp:positionV relativeFrom="paragraph">
              <wp:posOffset>148701</wp:posOffset>
            </wp:positionV>
            <wp:extent cx="2267712" cy="4657344"/>
            <wp:effectExtent l="0" t="0" r="0" b="0"/>
            <wp:wrapTopAndBottom/>
            <wp:docPr id="49" name="image2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25.jpe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7712" cy="4657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9"/>
        <w:rPr>
          <w:sz w:val="22"/>
        </w:rPr>
      </w:pPr>
    </w:p>
    <w:p>
      <w:pPr>
        <w:spacing w:line="240" w:lineRule="auto" w:before="0"/>
        <w:ind w:left="120" w:right="660" w:firstLine="0"/>
        <w:jc w:val="left"/>
        <w:rPr>
          <w:sz w:val="22"/>
        </w:rPr>
      </w:pPr>
      <w:r>
        <w:rPr>
          <w:sz w:val="22"/>
        </w:rPr>
        <w:t>Figure</w:t>
      </w:r>
      <w:r>
        <w:rPr>
          <w:spacing w:val="-1"/>
          <w:sz w:val="22"/>
        </w:rPr>
        <w:t> </w:t>
      </w:r>
      <w:r>
        <w:rPr>
          <w:sz w:val="22"/>
        </w:rPr>
        <w:t>25.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depth profiles</w:t>
      </w:r>
      <w:r>
        <w:rPr>
          <w:spacing w:val="-1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the Isorenieratane(</w:t>
      </w:r>
      <w:r>
        <w:rPr>
          <w:b/>
          <w:sz w:val="22"/>
        </w:rPr>
        <w:t>I</w:t>
      </w:r>
      <w:r>
        <w:rPr>
          <w:sz w:val="22"/>
        </w:rPr>
        <w:t>)/Paleorenieratane(</w:t>
      </w:r>
      <w:r>
        <w:rPr>
          <w:b/>
          <w:sz w:val="22"/>
        </w:rPr>
        <w:t>II</w:t>
      </w:r>
      <w:r>
        <w:rPr>
          <w:sz w:val="22"/>
        </w:rPr>
        <w:t>)</w:t>
      </w:r>
      <w:r>
        <w:rPr>
          <w:spacing w:val="-1"/>
          <w:sz w:val="22"/>
        </w:rPr>
        <w:t> </w:t>
      </w:r>
      <w:r>
        <w:rPr>
          <w:sz w:val="22"/>
        </w:rPr>
        <w:t>ratio</w:t>
      </w:r>
      <w:r>
        <w:rPr>
          <w:spacing w:val="-3"/>
          <w:sz w:val="22"/>
        </w:rPr>
        <w:t> </w:t>
      </w:r>
      <w:r>
        <w:rPr>
          <w:sz w:val="22"/>
        </w:rPr>
        <w:t>found</w:t>
      </w:r>
      <w:r>
        <w:rPr>
          <w:spacing w:val="-2"/>
          <w:sz w:val="22"/>
        </w:rPr>
        <w:t> </w:t>
      </w:r>
      <w:r>
        <w:rPr>
          <w:sz w:val="22"/>
        </w:rPr>
        <w:t>on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LCMS and</w:t>
      </w:r>
      <w:r>
        <w:rPr>
          <w:spacing w:val="-47"/>
          <w:sz w:val="22"/>
        </w:rPr>
        <w:t> </w:t>
      </w:r>
      <w:r>
        <w:rPr>
          <w:sz w:val="22"/>
        </w:rPr>
        <w:t>the GCMS. GCMS results were obtained from Connock et al. (2018). The line at 118ft separates the</w:t>
      </w:r>
      <w:r>
        <w:rPr>
          <w:spacing w:val="1"/>
          <w:sz w:val="22"/>
        </w:rPr>
        <w:t> </w:t>
      </w:r>
      <w:r>
        <w:rPr>
          <w:sz w:val="22"/>
        </w:rPr>
        <w:t>Upper Woodford Shale and the Middle Woodford Shale, the line at 185ft separates the Middle</w:t>
      </w:r>
      <w:r>
        <w:rPr>
          <w:spacing w:val="1"/>
          <w:sz w:val="22"/>
        </w:rPr>
        <w:t> </w:t>
      </w:r>
      <w:r>
        <w:rPr>
          <w:sz w:val="22"/>
        </w:rPr>
        <w:t>Woodford</w:t>
      </w:r>
      <w:r>
        <w:rPr>
          <w:spacing w:val="-1"/>
          <w:sz w:val="22"/>
        </w:rPr>
        <w:t> </w:t>
      </w:r>
      <w:r>
        <w:rPr>
          <w:sz w:val="22"/>
        </w:rPr>
        <w:t>Shale and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Lower</w:t>
      </w:r>
      <w:r>
        <w:rPr>
          <w:spacing w:val="-2"/>
          <w:sz w:val="22"/>
        </w:rPr>
        <w:t> </w:t>
      </w:r>
      <w:r>
        <w:rPr>
          <w:sz w:val="22"/>
        </w:rPr>
        <w:t>Woodford</w:t>
      </w:r>
      <w:r>
        <w:rPr>
          <w:spacing w:val="-3"/>
          <w:sz w:val="22"/>
        </w:rPr>
        <w:t> </w:t>
      </w:r>
      <w:r>
        <w:rPr>
          <w:sz w:val="22"/>
        </w:rPr>
        <w:t>Shale.</w:t>
      </w:r>
    </w:p>
    <w:p>
      <w:pPr>
        <w:spacing w:after="0" w:line="240" w:lineRule="auto"/>
        <w:jc w:val="left"/>
        <w:rPr>
          <w:sz w:val="22"/>
        </w:rPr>
        <w:sectPr>
          <w:pgSz w:w="12240" w:h="15840"/>
          <w:pgMar w:header="0" w:footer="1014" w:top="1400" w:bottom="1200" w:left="1320" w:right="820"/>
        </w:sectPr>
      </w:pPr>
    </w:p>
    <w:p>
      <w:pPr>
        <w:pStyle w:val="BodyText"/>
        <w:spacing w:line="480" w:lineRule="auto" w:before="39"/>
        <w:ind w:left="120" w:right="649" w:firstLine="720"/>
      </w:pPr>
      <w:r>
        <w:rPr/>
        <w:t>The extraction and detection efficiencies between the two methods are different. This is</w:t>
      </w:r>
      <w:r>
        <w:rPr>
          <w:spacing w:val="-52"/>
        </w:rPr>
        <w:t> </w:t>
      </w:r>
      <w:r>
        <w:rPr/>
        <w:t>likely because, for the LCMS procedure, the total lipid extract (TLE) was injected, while for the</w:t>
      </w:r>
      <w:r>
        <w:rPr>
          <w:spacing w:val="1"/>
        </w:rPr>
        <w:t> </w:t>
      </w:r>
      <w:r>
        <w:rPr/>
        <w:t>GCMS, the samples were fractionated first. Injecting the TLE instead of fractionated samples</w:t>
      </w:r>
      <w:r>
        <w:rPr>
          <w:spacing w:val="1"/>
        </w:rPr>
        <w:t> </w:t>
      </w:r>
      <w:r>
        <w:rPr/>
        <w:t>results in a much higher background for the LCMS method. Comparing the results between the</w:t>
      </w:r>
      <w:r>
        <w:rPr>
          <w:spacing w:val="1"/>
        </w:rPr>
        <w:t> </w:t>
      </w:r>
      <w:r>
        <w:rPr/>
        <w:t>GCMS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LCMS</w:t>
      </w:r>
      <w:r>
        <w:rPr>
          <w:spacing w:val="-3"/>
        </w:rPr>
        <w:t> </w:t>
      </w:r>
      <w:r>
        <w:rPr/>
        <w:t>methods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figures</w:t>
      </w:r>
      <w:r>
        <w:rPr>
          <w:spacing w:val="-4"/>
        </w:rPr>
        <w:t> </w:t>
      </w:r>
      <w:r>
        <w:rPr/>
        <w:t>24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25</w:t>
      </w:r>
      <w:r>
        <w:rPr>
          <w:spacing w:val="-2"/>
        </w:rPr>
        <w:t> </w:t>
      </w:r>
      <w:r>
        <w:rPr/>
        <w:t>shows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depth profiles</w:t>
      </w:r>
      <w:r>
        <w:rPr>
          <w:spacing w:val="-2"/>
        </w:rPr>
        <w:t> </w:t>
      </w:r>
      <w:r>
        <w:rPr/>
        <w:t>appear</w:t>
      </w:r>
      <w:r>
        <w:rPr>
          <w:spacing w:val="-2"/>
        </w:rPr>
        <w:t> </w:t>
      </w:r>
      <w:r>
        <w:rPr/>
        <w:t>very</w:t>
      </w:r>
      <w:r>
        <w:rPr>
          <w:spacing w:val="-2"/>
        </w:rPr>
        <w:t> </w:t>
      </w:r>
      <w:r>
        <w:rPr/>
        <w:t>similar</w:t>
      </w:r>
      <w:r>
        <w:rPr>
          <w:spacing w:val="-51"/>
        </w:rPr>
        <w:t> </w:t>
      </w:r>
      <w:r>
        <w:rPr/>
        <w:t>for each</w:t>
      </w:r>
      <w:r>
        <w:rPr>
          <w:spacing w:val="1"/>
        </w:rPr>
        <w:t> </w:t>
      </w:r>
      <w:r>
        <w:rPr/>
        <w:t>compound and the ratio.</w:t>
      </w:r>
      <w:r>
        <w:rPr>
          <w:spacing w:val="3"/>
        </w:rPr>
        <w:t> </w:t>
      </w:r>
      <w:r>
        <w:rPr/>
        <w:t>However, when</w:t>
      </w:r>
      <w:r>
        <w:rPr>
          <w:spacing w:val="1"/>
        </w:rPr>
        <w:t> </w:t>
      </w:r>
      <w:r>
        <w:rPr/>
        <w:t>looking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the</w:t>
      </w:r>
      <w:r>
        <w:rPr>
          <w:spacing w:val="4"/>
        </w:rPr>
        <w:t> </w:t>
      </w:r>
      <w:r>
        <w:rPr/>
        <w:t>cross</w:t>
      </w:r>
      <w:r>
        <w:rPr>
          <w:spacing w:val="-1"/>
        </w:rPr>
        <w:t> </w:t>
      </w:r>
      <w:r>
        <w:rPr/>
        <w:t>plots</w:t>
      </w:r>
      <w:r>
        <w:rPr>
          <w:spacing w:val="1"/>
        </w:rPr>
        <w:t> </w:t>
      </w:r>
      <w:r>
        <w:rPr/>
        <w:t>in figure</w:t>
      </w:r>
      <w:r>
        <w:rPr>
          <w:spacing w:val="1"/>
        </w:rPr>
        <w:t> </w:t>
      </w:r>
      <w:r>
        <w:rPr/>
        <w:t>26,</w:t>
      </w:r>
      <w:r>
        <w:rPr>
          <w:spacing w:val="2"/>
        </w:rPr>
        <w:t> </w:t>
      </w:r>
      <w:r>
        <w:rPr/>
        <w:t>they</w:t>
      </w:r>
      <w:r>
        <w:rPr>
          <w:spacing w:val="1"/>
        </w:rPr>
        <w:t> </w:t>
      </w:r>
      <w:r>
        <w:rPr/>
        <w:t>do not seem to correlate as well. Isorenieratane(</w:t>
      </w:r>
      <w:r>
        <w:rPr>
          <w:b/>
        </w:rPr>
        <w:t>I</w:t>
      </w:r>
      <w:r>
        <w:rPr/>
        <w:t>) and paleorenieratane(</w:t>
      </w:r>
      <w:r>
        <w:rPr>
          <w:b/>
        </w:rPr>
        <w:t>II</w:t>
      </w:r>
      <w:r>
        <w:rPr/>
        <w:t>) show very low R</w:t>
      </w:r>
      <w:r>
        <w:rPr>
          <w:vertAlign w:val="superscript"/>
        </w:rPr>
        <w:t>2</w:t>
      </w:r>
      <w:r>
        <w:rPr>
          <w:spacing w:val="1"/>
          <w:vertAlign w:val="baseline"/>
        </w:rPr>
        <w:t> </w:t>
      </w:r>
      <w:r>
        <w:rPr>
          <w:vertAlign w:val="baseline"/>
        </w:rPr>
        <w:t>values, indicating their correlation between the LCMS and GCMS methods is low. The cross plot</w:t>
      </w:r>
      <w:r>
        <w:rPr>
          <w:spacing w:val="-52"/>
          <w:vertAlign w:val="baseline"/>
        </w:rPr>
        <w:t> </w:t>
      </w:r>
      <w:r>
        <w:rPr>
          <w:vertAlign w:val="baseline"/>
        </w:rPr>
        <w:t>for</w:t>
      </w:r>
      <w:r>
        <w:rPr>
          <w:spacing w:val="-3"/>
          <w:vertAlign w:val="baseline"/>
        </w:rPr>
        <w:t> </w:t>
      </w:r>
      <w:r>
        <w:rPr>
          <w:vertAlign w:val="baseline"/>
        </w:rPr>
        <w:t>the</w:t>
      </w:r>
      <w:r>
        <w:rPr>
          <w:spacing w:val="-2"/>
          <w:vertAlign w:val="baseline"/>
        </w:rPr>
        <w:t> </w:t>
      </w:r>
      <w:r>
        <w:rPr>
          <w:vertAlign w:val="baseline"/>
        </w:rPr>
        <w:t>isorenieratane/paleorenieratane</w:t>
      </w:r>
      <w:r>
        <w:rPr>
          <w:spacing w:val="-3"/>
          <w:vertAlign w:val="baseline"/>
        </w:rPr>
        <w:t> </w:t>
      </w:r>
      <w:r>
        <w:rPr>
          <w:vertAlign w:val="baseline"/>
        </w:rPr>
        <w:t>ratios,</w:t>
      </w:r>
      <w:r>
        <w:rPr>
          <w:spacing w:val="-2"/>
          <w:vertAlign w:val="baseline"/>
        </w:rPr>
        <w:t> </w:t>
      </w:r>
      <w:r>
        <w:rPr>
          <w:vertAlign w:val="baseline"/>
        </w:rPr>
        <w:t>however,</w:t>
      </w:r>
      <w:r>
        <w:rPr>
          <w:spacing w:val="-4"/>
          <w:vertAlign w:val="baseline"/>
        </w:rPr>
        <w:t> </w:t>
      </w:r>
      <w:r>
        <w:rPr>
          <w:vertAlign w:val="baseline"/>
        </w:rPr>
        <w:t>shows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-3"/>
          <w:vertAlign w:val="baseline"/>
        </w:rPr>
        <w:t> </w:t>
      </w:r>
      <w:r>
        <w:rPr>
          <w:vertAlign w:val="baseline"/>
        </w:rPr>
        <w:t>much</w:t>
      </w:r>
      <w:r>
        <w:rPr>
          <w:spacing w:val="-3"/>
          <w:vertAlign w:val="baseline"/>
        </w:rPr>
        <w:t> </w:t>
      </w:r>
      <w:r>
        <w:rPr>
          <w:vertAlign w:val="baseline"/>
        </w:rPr>
        <w:t>stronger</w:t>
      </w:r>
      <w:r>
        <w:rPr>
          <w:spacing w:val="-4"/>
          <w:vertAlign w:val="baseline"/>
        </w:rPr>
        <w:t> </w:t>
      </w:r>
      <w:r>
        <w:rPr>
          <w:vertAlign w:val="baseline"/>
        </w:rPr>
        <w:t>correlation.</w:t>
      </w:r>
    </w:p>
    <w:p>
      <w:pPr>
        <w:pStyle w:val="BodyText"/>
        <w:spacing w:line="480" w:lineRule="auto"/>
        <w:ind w:left="120" w:right="726"/>
      </w:pPr>
      <w:r>
        <w:rPr/>
        <w:t>There were four outliers identified (Figure 26) that, if removed, would result in a much higher</w:t>
      </w:r>
      <w:r>
        <w:rPr>
          <w:spacing w:val="1"/>
        </w:rPr>
        <w:t> </w:t>
      </w:r>
      <w:r>
        <w:rPr/>
        <w:t>correlation for isorenieratane and paleorenieratane. These were samples WCH-44, WCH-45,</w:t>
      </w:r>
      <w:r>
        <w:rPr>
          <w:spacing w:val="1"/>
        </w:rPr>
        <w:t> </w:t>
      </w:r>
      <w:r>
        <w:rPr/>
        <w:t>WCH-46,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WCH-47.</w:t>
      </w:r>
      <w:r>
        <w:rPr>
          <w:spacing w:val="-4"/>
        </w:rPr>
        <w:t> </w:t>
      </w:r>
      <w:r>
        <w:rPr/>
        <w:t>These</w:t>
      </w:r>
      <w:r>
        <w:rPr>
          <w:spacing w:val="-2"/>
        </w:rPr>
        <w:t> </w:t>
      </w:r>
      <w:r>
        <w:rPr/>
        <w:t>outliers</w:t>
      </w:r>
      <w:r>
        <w:rPr>
          <w:spacing w:val="-2"/>
        </w:rPr>
        <w:t> </w:t>
      </w:r>
      <w:r>
        <w:rPr/>
        <w:t>showed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much</w:t>
      </w:r>
      <w:r>
        <w:rPr>
          <w:spacing w:val="-3"/>
        </w:rPr>
        <w:t> </w:t>
      </w:r>
      <w:r>
        <w:rPr/>
        <w:t>lower</w:t>
      </w:r>
      <w:r>
        <w:rPr>
          <w:spacing w:val="-2"/>
        </w:rPr>
        <w:t> </w:t>
      </w:r>
      <w:r>
        <w:rPr/>
        <w:t>relative</w:t>
      </w:r>
      <w:r>
        <w:rPr>
          <w:spacing w:val="-2"/>
        </w:rPr>
        <w:t> </w:t>
      </w:r>
      <w:r>
        <w:rPr/>
        <w:t>concentration</w:t>
      </w:r>
      <w:r>
        <w:rPr>
          <w:spacing w:val="-4"/>
        </w:rPr>
        <w:t> </w:t>
      </w:r>
      <w:r>
        <w:rPr/>
        <w:t>detected</w:t>
      </w:r>
      <w:r>
        <w:rPr>
          <w:spacing w:val="-3"/>
        </w:rPr>
        <w:t> </w:t>
      </w:r>
      <w:r>
        <w:rPr/>
        <w:t>by</w:t>
      </w:r>
      <w:r>
        <w:rPr>
          <w:spacing w:val="-51"/>
        </w:rPr>
        <w:t> </w:t>
      </w:r>
      <w:r>
        <w:rPr/>
        <w:t>the LCMS than by the GCMS. It is possible these outliers resulted from the different recovery</w:t>
      </w:r>
      <w:r>
        <w:rPr>
          <w:spacing w:val="1"/>
        </w:rPr>
        <w:t> </w:t>
      </w:r>
      <w:r>
        <w:rPr/>
        <w:t>efficiency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 two</w:t>
      </w:r>
      <w:r>
        <w:rPr>
          <w:spacing w:val="1"/>
        </w:rPr>
        <w:t> </w:t>
      </w:r>
      <w:r>
        <w:rPr/>
        <w:t>lipid</w:t>
      </w:r>
      <w:r>
        <w:rPr>
          <w:spacing w:val="1"/>
        </w:rPr>
        <w:t> </w:t>
      </w:r>
      <w:r>
        <w:rPr/>
        <w:t>extraction</w:t>
      </w:r>
      <w:r>
        <w:rPr>
          <w:spacing w:val="-3"/>
        </w:rPr>
        <w:t> </w:t>
      </w:r>
      <w:r>
        <w:rPr/>
        <w:t>methods,</w:t>
      </w:r>
      <w:r>
        <w:rPr>
          <w:spacing w:val="-3"/>
        </w:rPr>
        <w:t> </w:t>
      </w:r>
      <w:r>
        <w:rPr/>
        <w:t>which could be</w:t>
      </w:r>
      <w:r>
        <w:rPr>
          <w:spacing w:val="-4"/>
        </w:rPr>
        <w:t> </w:t>
      </w:r>
      <w:r>
        <w:rPr/>
        <w:t>related</w:t>
      </w:r>
      <w:r>
        <w:rPr>
          <w:spacing w:val="-3"/>
        </w:rPr>
        <w:t> </w:t>
      </w:r>
      <w:r>
        <w:rPr/>
        <w:t>to</w:t>
      </w:r>
      <w:r>
        <w:rPr>
          <w:spacing w:val="-5"/>
        </w:rPr>
        <w:t> </w:t>
      </w:r>
      <w:r>
        <w:rPr/>
        <w:t>mineral</w:t>
      </w:r>
      <w:r>
        <w:rPr>
          <w:spacing w:val="-4"/>
        </w:rPr>
        <w:t> </w:t>
      </w:r>
      <w:r>
        <w:rPr/>
        <w:t>absorption.</w:t>
      </w:r>
    </w:p>
    <w:p>
      <w:pPr>
        <w:pStyle w:val="BodyText"/>
        <w:spacing w:line="480" w:lineRule="auto"/>
        <w:ind w:left="120" w:right="950"/>
      </w:pPr>
      <w:r>
        <w:rPr/>
        <w:t>The bias could also be a result of a bias in the mass extraction and peak area integration.</w:t>
      </w:r>
      <w:r>
        <w:rPr>
          <w:spacing w:val="1"/>
        </w:rPr>
        <w:t> </w:t>
      </w:r>
      <w:r>
        <w:rPr/>
        <w:t>However, reintegrating with a different mass deviation window provided similar results.</w:t>
      </w:r>
      <w:r>
        <w:rPr>
          <w:spacing w:val="1"/>
        </w:rPr>
        <w:t> </w:t>
      </w:r>
      <w:r>
        <w:rPr/>
        <w:t>Nevertheless, comparing the ratio between isorenieratane and paleorenieratane removed</w:t>
      </w:r>
      <w:r>
        <w:rPr>
          <w:spacing w:val="1"/>
        </w:rPr>
        <w:t> </w:t>
      </w:r>
      <w:r>
        <w:rPr/>
        <w:t>these</w:t>
      </w:r>
      <w:r>
        <w:rPr>
          <w:spacing w:val="-4"/>
        </w:rPr>
        <w:t> </w:t>
      </w:r>
      <w:r>
        <w:rPr/>
        <w:t>possible</w:t>
      </w:r>
      <w:r>
        <w:rPr>
          <w:spacing w:val="-3"/>
        </w:rPr>
        <w:t> </w:t>
      </w:r>
      <w:r>
        <w:rPr/>
        <w:t>biases.</w:t>
      </w:r>
      <w:r>
        <w:rPr>
          <w:spacing w:val="51"/>
        </w:rPr>
        <w:t> </w:t>
      </w:r>
      <w:r>
        <w:rPr/>
        <w:t>The</w:t>
      </w:r>
      <w:r>
        <w:rPr>
          <w:spacing w:val="-3"/>
        </w:rPr>
        <w:t> </w:t>
      </w:r>
      <w:r>
        <w:rPr/>
        <w:t>correlation observed for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carotenoid ratios</w:t>
      </w:r>
      <w:r>
        <w:rPr>
          <w:spacing w:val="-4"/>
        </w:rPr>
        <w:t> </w:t>
      </w:r>
      <w:r>
        <w:rPr/>
        <w:t>is</w:t>
      </w:r>
      <w:r>
        <w:rPr>
          <w:spacing w:val="-2"/>
        </w:rPr>
        <w:t> </w:t>
      </w:r>
      <w:r>
        <w:rPr/>
        <w:t>strong</w:t>
      </w:r>
      <w:r>
        <w:rPr>
          <w:spacing w:val="-2"/>
        </w:rPr>
        <w:t> </w:t>
      </w:r>
      <w:r>
        <w:rPr/>
        <w:t>enough</w:t>
      </w:r>
      <w:r>
        <w:rPr>
          <w:spacing w:val="-3"/>
        </w:rPr>
        <w:t> </w:t>
      </w:r>
      <w:r>
        <w:rPr/>
        <w:t>to</w:t>
      </w:r>
      <w:r>
        <w:rPr>
          <w:spacing w:val="-52"/>
        </w:rPr>
        <w:t> </w:t>
      </w:r>
      <w:r>
        <w:rPr/>
        <w:t>determine that this new ultrasonic bath extraction and LCMS method is a viable method for</w:t>
      </w:r>
      <w:r>
        <w:rPr>
          <w:spacing w:val="1"/>
        </w:rPr>
        <w:t> </w:t>
      </w:r>
      <w:r>
        <w:rPr/>
        <w:t>biomarker extraction</w:t>
      </w:r>
      <w:r>
        <w:rPr>
          <w:spacing w:val="-2"/>
        </w:rPr>
        <w:t> </w:t>
      </w:r>
      <w:r>
        <w:rPr/>
        <w:t>for</w:t>
      </w:r>
      <w:r>
        <w:rPr>
          <w:spacing w:val="-4"/>
        </w:rPr>
        <w:t> </w:t>
      </w:r>
      <w:r>
        <w:rPr/>
        <w:t>future</w:t>
      </w:r>
      <w:r>
        <w:rPr>
          <w:spacing w:val="-2"/>
        </w:rPr>
        <w:t> </w:t>
      </w:r>
      <w:r>
        <w:rPr/>
        <w:t>experiments.</w:t>
      </w:r>
    </w:p>
    <w:p>
      <w:pPr>
        <w:spacing w:after="0" w:line="480" w:lineRule="auto"/>
        <w:sectPr>
          <w:pgSz w:w="12240" w:h="15840"/>
          <w:pgMar w:header="0" w:footer="1014" w:top="1400" w:bottom="1200" w:left="1320" w:right="820"/>
        </w:sectPr>
      </w:pPr>
    </w:p>
    <w:p>
      <w:pPr>
        <w:pStyle w:val="BodyText"/>
        <w:ind w:left="513"/>
        <w:rPr>
          <w:sz w:val="20"/>
        </w:rPr>
      </w:pPr>
      <w:r>
        <w:rPr>
          <w:sz w:val="20"/>
        </w:rPr>
        <w:drawing>
          <wp:inline distT="0" distB="0" distL="0" distR="0">
            <wp:extent cx="5452094" cy="5958840"/>
            <wp:effectExtent l="0" t="0" r="0" b="0"/>
            <wp:docPr id="51" name="image2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26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2094" cy="595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1"/>
        <w:rPr>
          <w:sz w:val="29"/>
        </w:rPr>
      </w:pPr>
    </w:p>
    <w:p>
      <w:pPr>
        <w:spacing w:line="240" w:lineRule="auto" w:before="56"/>
        <w:ind w:left="120" w:right="660" w:firstLine="0"/>
        <w:jc w:val="left"/>
        <w:rPr>
          <w:sz w:val="22"/>
        </w:rPr>
      </w:pPr>
      <w:r>
        <w:rPr>
          <w:sz w:val="22"/>
        </w:rPr>
        <w:t>Figure 26. Correlation plots between results obtained from the LCMS and GCMS methods for</w:t>
      </w:r>
      <w:r>
        <w:rPr>
          <w:spacing w:val="1"/>
          <w:sz w:val="22"/>
        </w:rPr>
        <w:t> </w:t>
      </w:r>
      <w:r>
        <w:rPr>
          <w:sz w:val="22"/>
        </w:rPr>
        <w:t>Isorenieratane(</w:t>
      </w:r>
      <w:r>
        <w:rPr>
          <w:b/>
          <w:sz w:val="22"/>
        </w:rPr>
        <w:t>I</w:t>
      </w:r>
      <w:r>
        <w:rPr>
          <w:sz w:val="22"/>
        </w:rPr>
        <w:t>), Paleorenieratane (II) and the Isorenieratane(</w:t>
      </w:r>
      <w:r>
        <w:rPr>
          <w:b/>
          <w:sz w:val="22"/>
        </w:rPr>
        <w:t>I</w:t>
      </w:r>
      <w:r>
        <w:rPr>
          <w:sz w:val="22"/>
        </w:rPr>
        <w:t>)/Paleorenieratane (II) ratio. A straight</w:t>
      </w:r>
      <w:r>
        <w:rPr>
          <w:spacing w:val="1"/>
          <w:sz w:val="22"/>
        </w:rPr>
        <w:t> </w:t>
      </w:r>
      <w:r>
        <w:rPr>
          <w:sz w:val="22"/>
        </w:rPr>
        <w:t>line</w:t>
      </w:r>
      <w:r>
        <w:rPr>
          <w:spacing w:val="-1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best</w:t>
      </w:r>
      <w:r>
        <w:rPr>
          <w:spacing w:val="-1"/>
          <w:sz w:val="22"/>
        </w:rPr>
        <w:t> </w:t>
      </w:r>
      <w:r>
        <w:rPr>
          <w:sz w:val="22"/>
        </w:rPr>
        <w:t>fit</w:t>
      </w:r>
      <w:r>
        <w:rPr>
          <w:spacing w:val="-1"/>
          <w:sz w:val="22"/>
        </w:rPr>
        <w:t> </w:t>
      </w:r>
      <w:r>
        <w:rPr>
          <w:sz w:val="22"/>
        </w:rPr>
        <w:t>was</w:t>
      </w:r>
      <w:r>
        <w:rPr>
          <w:spacing w:val="-1"/>
          <w:sz w:val="22"/>
        </w:rPr>
        <w:t> </w:t>
      </w:r>
      <w:r>
        <w:rPr>
          <w:sz w:val="22"/>
        </w:rPr>
        <w:t>used and</w:t>
      </w:r>
      <w:r>
        <w:rPr>
          <w:spacing w:val="-1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R</w:t>
      </w:r>
      <w:r>
        <w:rPr>
          <w:sz w:val="22"/>
          <w:vertAlign w:val="superscript"/>
        </w:rPr>
        <w:t>2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value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was displayed.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GCMS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results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were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obtained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from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Connock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et</w:t>
      </w:r>
      <w:r>
        <w:rPr>
          <w:spacing w:val="2"/>
          <w:sz w:val="22"/>
          <w:vertAlign w:val="baseline"/>
        </w:rPr>
        <w:t> </w:t>
      </w:r>
      <w:r>
        <w:rPr>
          <w:sz w:val="22"/>
          <w:vertAlign w:val="baseline"/>
        </w:rPr>
        <w:t>al</w:t>
      </w:r>
      <w:r>
        <w:rPr>
          <w:spacing w:val="-47"/>
          <w:sz w:val="22"/>
          <w:vertAlign w:val="baseline"/>
        </w:rPr>
        <w:t> </w:t>
      </w:r>
      <w:r>
        <w:rPr>
          <w:sz w:val="22"/>
          <w:vertAlign w:val="baseline"/>
        </w:rPr>
        <w:t>(2018).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The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four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outliers are circled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in red.</w:t>
      </w:r>
    </w:p>
    <w:p>
      <w:pPr>
        <w:spacing w:after="0" w:line="240" w:lineRule="auto"/>
        <w:jc w:val="left"/>
        <w:rPr>
          <w:sz w:val="22"/>
        </w:rPr>
        <w:sectPr>
          <w:pgSz w:w="12240" w:h="15840"/>
          <w:pgMar w:header="0" w:footer="1014" w:top="1440" w:bottom="1200" w:left="1320" w:right="820"/>
        </w:sectPr>
      </w:pPr>
    </w:p>
    <w:p>
      <w:pPr>
        <w:pStyle w:val="ListParagraph"/>
        <w:numPr>
          <w:ilvl w:val="1"/>
          <w:numId w:val="5"/>
        </w:numPr>
        <w:tabs>
          <w:tab w:pos="478" w:val="left" w:leader="none"/>
        </w:tabs>
        <w:spacing w:line="240" w:lineRule="auto" w:before="39" w:after="0"/>
        <w:ind w:left="477" w:right="0" w:hanging="358"/>
        <w:jc w:val="left"/>
        <w:rPr>
          <w:i/>
          <w:sz w:val="24"/>
        </w:rPr>
      </w:pPr>
      <w:r>
        <w:rPr>
          <w:i/>
          <w:sz w:val="24"/>
        </w:rPr>
        <w:t>Isorenieratane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Paleorenieratane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as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biomarkers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for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PZE</w:t>
      </w:r>
    </w:p>
    <w:p>
      <w:pPr>
        <w:pStyle w:val="BodyText"/>
        <w:rPr>
          <w:i/>
        </w:rPr>
      </w:pPr>
    </w:p>
    <w:p>
      <w:pPr>
        <w:pStyle w:val="BodyText"/>
        <w:spacing w:line="480" w:lineRule="auto" w:before="161"/>
        <w:ind w:left="120" w:right="660" w:firstLine="706"/>
      </w:pPr>
      <w:r>
        <w:rPr/>
        <w:t>Carotenoids</w:t>
      </w:r>
      <w:r>
        <w:rPr>
          <w:spacing w:val="-2"/>
        </w:rPr>
        <w:t> </w:t>
      </w:r>
      <w:r>
        <w:rPr/>
        <w:t>are</w:t>
      </w:r>
      <w:r>
        <w:rPr>
          <w:spacing w:val="-3"/>
        </w:rPr>
        <w:t> </w:t>
      </w:r>
      <w:r>
        <w:rPr/>
        <w:t>pigment</w:t>
      </w:r>
      <w:r>
        <w:rPr>
          <w:spacing w:val="-2"/>
        </w:rPr>
        <w:t> </w:t>
      </w:r>
      <w:r>
        <w:rPr/>
        <w:t>molecules</w:t>
      </w:r>
      <w:r>
        <w:rPr>
          <w:spacing w:val="-4"/>
        </w:rPr>
        <w:t> </w:t>
      </w:r>
      <w:r>
        <w:rPr/>
        <w:t>that</w:t>
      </w:r>
      <w:r>
        <w:rPr>
          <w:spacing w:val="-2"/>
        </w:rPr>
        <w:t> </w:t>
      </w:r>
      <w:r>
        <w:rPr/>
        <w:t>are</w:t>
      </w:r>
      <w:r>
        <w:rPr>
          <w:spacing w:val="-2"/>
        </w:rPr>
        <w:t> </w:t>
      </w:r>
      <w:r>
        <w:rPr/>
        <w:t>produced</w:t>
      </w:r>
      <w:r>
        <w:rPr>
          <w:spacing w:val="-3"/>
        </w:rPr>
        <w:t> </w:t>
      </w:r>
      <w:r>
        <w:rPr/>
        <w:t>by</w:t>
      </w:r>
      <w:r>
        <w:rPr>
          <w:spacing w:val="-4"/>
        </w:rPr>
        <w:t> </w:t>
      </w:r>
      <w:r>
        <w:rPr/>
        <w:t>many</w:t>
      </w:r>
      <w:r>
        <w:rPr>
          <w:spacing w:val="-5"/>
        </w:rPr>
        <w:t> </w:t>
      </w:r>
      <w:r>
        <w:rPr/>
        <w:t>different</w:t>
      </w:r>
      <w:r>
        <w:rPr>
          <w:spacing w:val="-2"/>
        </w:rPr>
        <w:t> </w:t>
      </w:r>
      <w:r>
        <w:rPr/>
        <w:t>photosynthetic</w:t>
      </w:r>
      <w:r>
        <w:rPr>
          <w:spacing w:val="-51"/>
        </w:rPr>
        <w:t> </w:t>
      </w:r>
      <w:r>
        <w:rPr/>
        <w:t>organisms.</w:t>
      </w:r>
      <w:r>
        <w:rPr>
          <w:spacing w:val="-4"/>
        </w:rPr>
        <w:t> </w:t>
      </w:r>
      <w:r>
        <w:rPr/>
        <w:t>However,</w:t>
      </w:r>
      <w:r>
        <w:rPr>
          <w:spacing w:val="-2"/>
        </w:rPr>
        <w:t> </w:t>
      </w:r>
      <w:r>
        <w:rPr/>
        <w:t>C40</w:t>
      </w:r>
      <w:r>
        <w:rPr>
          <w:spacing w:val="-3"/>
        </w:rPr>
        <w:t> </w:t>
      </w:r>
      <w:r>
        <w:rPr/>
        <w:t>aromatic</w:t>
      </w:r>
      <w:r>
        <w:rPr>
          <w:spacing w:val="-3"/>
        </w:rPr>
        <w:t> </w:t>
      </w:r>
      <w:r>
        <w:rPr/>
        <w:t>carotenoids</w:t>
      </w:r>
      <w:r>
        <w:rPr>
          <w:spacing w:val="-2"/>
        </w:rPr>
        <w:t> </w:t>
      </w:r>
      <w:r>
        <w:rPr/>
        <w:t>are</w:t>
      </w:r>
      <w:r>
        <w:rPr>
          <w:spacing w:val="-2"/>
        </w:rPr>
        <w:t> </w:t>
      </w:r>
      <w:r>
        <w:rPr/>
        <w:t>exclusively</w:t>
      </w:r>
      <w:r>
        <w:rPr>
          <w:spacing w:val="-4"/>
        </w:rPr>
        <w:t> </w:t>
      </w:r>
      <w:r>
        <w:rPr/>
        <w:t>produced</w:t>
      </w:r>
      <w:r>
        <w:rPr>
          <w:spacing w:val="-4"/>
        </w:rPr>
        <w:t> </w:t>
      </w:r>
      <w:r>
        <w:rPr/>
        <w:t>by green</w:t>
      </w:r>
      <w:r>
        <w:rPr>
          <w:spacing w:val="-3"/>
        </w:rPr>
        <w:t> </w:t>
      </w:r>
      <w:r>
        <w:rPr/>
        <w:t>(GSB),</w:t>
      </w:r>
      <w:r>
        <w:rPr>
          <w:spacing w:val="-2"/>
        </w:rPr>
        <w:t> </w:t>
      </w:r>
      <w:r>
        <w:rPr/>
        <w:t>purple</w:t>
      </w:r>
      <w:r>
        <w:rPr>
          <w:spacing w:val="-52"/>
        </w:rPr>
        <w:t> </w:t>
      </w:r>
      <w:r>
        <w:rPr/>
        <w:t>sulfur bacteria (PSB), and cyanobacteria and can therefore be used as a biomarker for photic</w:t>
      </w:r>
      <w:r>
        <w:rPr>
          <w:spacing w:val="1"/>
        </w:rPr>
        <w:t> </w:t>
      </w:r>
      <w:r>
        <w:rPr/>
        <w:t>zone euxinia (PZE) (Brocks and Summons, 2005; Cui et al., 2020). Using C40 aromatic</w:t>
      </w:r>
      <w:r>
        <w:rPr>
          <w:spacing w:val="1"/>
        </w:rPr>
        <w:t> </w:t>
      </w:r>
      <w:r>
        <w:rPr/>
        <w:t>carotenoids as a proxy can provide information about the extent of the PZE. Since light</w:t>
      </w:r>
      <w:r>
        <w:rPr>
          <w:spacing w:val="1"/>
        </w:rPr>
        <w:t> </w:t>
      </w:r>
      <w:r>
        <w:rPr/>
        <w:t>availability, pH, sulfidic concentration, and competition from organisms in the oxic layer impact</w:t>
      </w:r>
      <w:r>
        <w:rPr>
          <w:spacing w:val="-52"/>
        </w:rPr>
        <w:t> </w:t>
      </w:r>
      <w:r>
        <w:rPr/>
        <w:t>the growth of PSB/GSB, carotenoid concentrations can also be used to provide some ideas</w:t>
      </w:r>
      <w:r>
        <w:rPr>
          <w:spacing w:val="1"/>
        </w:rPr>
        <w:t> </w:t>
      </w:r>
      <w:r>
        <w:rPr/>
        <w:t>about these as well. This study focuses on the carotenoids produced from the degradation of</w:t>
      </w:r>
      <w:r>
        <w:rPr>
          <w:spacing w:val="1"/>
        </w:rPr>
        <w:t> </w:t>
      </w:r>
      <w:r>
        <w:rPr/>
        <w:t>carotenoids produced by GSB, mainly isorenieratane(</w:t>
      </w:r>
      <w:r>
        <w:rPr>
          <w:b/>
        </w:rPr>
        <w:t>I</w:t>
      </w:r>
      <w:r>
        <w:rPr/>
        <w:t>) and paleorenieratane (</w:t>
      </w:r>
      <w:r>
        <w:rPr>
          <w:b/>
        </w:rPr>
        <w:t>II</w:t>
      </w:r>
      <w:r>
        <w:rPr/>
        <w:t>). Since GSB can</w:t>
      </w:r>
      <w:r>
        <w:rPr>
          <w:spacing w:val="-52"/>
        </w:rPr>
        <w:t> </w:t>
      </w:r>
      <w:r>
        <w:rPr/>
        <w:t>live in deeper water than PSB, these results will not provide information on the minimal depth</w:t>
      </w:r>
      <w:r>
        <w:rPr>
          <w:spacing w:val="1"/>
        </w:rPr>
        <w:t> </w:t>
      </w:r>
      <w:r>
        <w:rPr/>
        <w:t>of</w:t>
      </w:r>
      <w:r>
        <w:rPr>
          <w:spacing w:val="2"/>
        </w:rPr>
        <w:t> </w:t>
      </w:r>
      <w:r>
        <w:rPr/>
        <w:t>PZE</w:t>
      </w:r>
      <w:r>
        <w:rPr>
          <w:spacing w:val="-3"/>
        </w:rPr>
        <w:t> </w:t>
      </w:r>
      <w:r>
        <w:rPr/>
        <w:t>but</w:t>
      </w:r>
      <w:r>
        <w:rPr>
          <w:spacing w:val="3"/>
        </w:rPr>
        <w:t> </w:t>
      </w:r>
      <w:r>
        <w:rPr/>
        <w:t>instead</w:t>
      </w:r>
      <w:r>
        <w:rPr>
          <w:spacing w:val="-3"/>
        </w:rPr>
        <w:t> </w:t>
      </w:r>
      <w:r>
        <w:rPr/>
        <w:t>provide</w:t>
      </w:r>
      <w:r>
        <w:rPr>
          <w:spacing w:val="-1"/>
        </w:rPr>
        <w:t> </w:t>
      </w:r>
      <w:r>
        <w:rPr/>
        <w:t>a</w:t>
      </w:r>
      <w:r>
        <w:rPr>
          <w:spacing w:val="1"/>
        </w:rPr>
        <w:t> </w:t>
      </w:r>
      <w:r>
        <w:rPr/>
        <w:t>general</w:t>
      </w:r>
      <w:r>
        <w:rPr>
          <w:spacing w:val="-3"/>
        </w:rPr>
        <w:t> </w:t>
      </w:r>
      <w:r>
        <w:rPr/>
        <w:t>indication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presence</w:t>
      </w:r>
      <w:r>
        <w:rPr>
          <w:spacing w:val="-4"/>
        </w:rPr>
        <w:t> </w:t>
      </w:r>
      <w:r>
        <w:rPr/>
        <w:t>of</w:t>
      </w:r>
      <w:r>
        <w:rPr>
          <w:spacing w:val="1"/>
        </w:rPr>
        <w:t> </w:t>
      </w:r>
      <w:r>
        <w:rPr/>
        <w:t>PZE</w:t>
      </w:r>
      <w:r>
        <w:rPr>
          <w:spacing w:val="-4"/>
        </w:rPr>
        <w:t> </w:t>
      </w:r>
      <w:r>
        <w:rPr/>
        <w:t>(Meyer</w:t>
      </w:r>
      <w:r>
        <w:rPr>
          <w:spacing w:val="3"/>
        </w:rPr>
        <w:t> </w:t>
      </w:r>
      <w:r>
        <w:rPr/>
        <w:t>et</w:t>
      </w:r>
      <w:r>
        <w:rPr>
          <w:spacing w:val="-3"/>
        </w:rPr>
        <w:t> </w:t>
      </w:r>
      <w:r>
        <w:rPr/>
        <w:t>al.,</w:t>
      </w:r>
      <w:r>
        <w:rPr>
          <w:spacing w:val="-1"/>
        </w:rPr>
        <w:t> </w:t>
      </w:r>
      <w:r>
        <w:rPr/>
        <w:t>2011).</w:t>
      </w:r>
    </w:p>
    <w:p>
      <w:pPr>
        <w:pStyle w:val="BodyText"/>
        <w:spacing w:line="480" w:lineRule="auto" w:before="159"/>
        <w:ind w:left="120" w:right="747" w:firstLine="706"/>
      </w:pPr>
      <w:r>
        <w:rPr/>
        <w:t>Aromatic carotenoids were detected in varying concentrations throughout the</w:t>
      </w:r>
      <w:r>
        <w:rPr>
          <w:spacing w:val="1"/>
        </w:rPr>
        <w:t> </w:t>
      </w:r>
      <w:r>
        <w:rPr/>
        <w:t>Woodford Shale (Figure 15: Table 2). Of these carotenoids, isorenieratane(</w:t>
      </w:r>
      <w:r>
        <w:rPr>
          <w:b/>
        </w:rPr>
        <w:t>I</w:t>
      </w:r>
      <w:r>
        <w:rPr/>
        <w:t>) and</w:t>
      </w:r>
      <w:r>
        <w:rPr>
          <w:spacing w:val="1"/>
        </w:rPr>
        <w:t> </w:t>
      </w:r>
      <w:r>
        <w:rPr/>
        <w:t>paleorenieratane (</w:t>
      </w:r>
      <w:r>
        <w:rPr>
          <w:b/>
        </w:rPr>
        <w:t>II</w:t>
      </w:r>
      <w:r>
        <w:rPr/>
        <w:t>) were detected in the highest concentrations. Other carotenoids</w:t>
      </w:r>
      <w:r>
        <w:rPr>
          <w:spacing w:val="1"/>
        </w:rPr>
        <w:t> </w:t>
      </w:r>
      <w:r>
        <w:rPr/>
        <w:t>derivatives</w:t>
      </w:r>
      <w:r>
        <w:rPr>
          <w:spacing w:val="-5"/>
        </w:rPr>
        <w:t> </w:t>
      </w:r>
      <w:r>
        <w:rPr/>
        <w:t>with</w:t>
      </w:r>
      <w:r>
        <w:rPr>
          <w:spacing w:val="-2"/>
        </w:rPr>
        <w:t> </w:t>
      </w:r>
      <w:r>
        <w:rPr/>
        <w:t>higher (up to</w:t>
      </w:r>
      <w:r>
        <w:rPr>
          <w:spacing w:val="1"/>
        </w:rPr>
        <w:t> </w:t>
      </w:r>
      <w:r>
        <w:rPr/>
        <w:t>C42) and</w:t>
      </w:r>
      <w:r>
        <w:rPr>
          <w:spacing w:val="1"/>
        </w:rPr>
        <w:t> </w:t>
      </w:r>
      <w:r>
        <w:rPr/>
        <w:t>lower</w:t>
      </w:r>
      <w:r>
        <w:rPr>
          <w:spacing w:val="-4"/>
        </w:rPr>
        <w:t> </w:t>
      </w:r>
      <w:r>
        <w:rPr/>
        <w:t>(to</w:t>
      </w:r>
      <w:r>
        <w:rPr>
          <w:spacing w:val="-6"/>
        </w:rPr>
        <w:t> </w:t>
      </w:r>
      <w:r>
        <w:rPr/>
        <w:t>C38)</w:t>
      </w:r>
      <w:r>
        <w:rPr>
          <w:spacing w:val="-2"/>
        </w:rPr>
        <w:t> </w:t>
      </w:r>
      <w:r>
        <w:rPr/>
        <w:t>methylation</w:t>
      </w:r>
      <w:r>
        <w:rPr>
          <w:spacing w:val="-2"/>
        </w:rPr>
        <w:t> </w:t>
      </w:r>
      <w:r>
        <w:rPr/>
        <w:t>level</w:t>
      </w:r>
      <w:r>
        <w:rPr>
          <w:spacing w:val="-3"/>
        </w:rPr>
        <w:t> </w:t>
      </w:r>
      <w:r>
        <w:rPr/>
        <w:t>(Cui</w:t>
      </w:r>
      <w:r>
        <w:rPr>
          <w:spacing w:val="-2"/>
        </w:rPr>
        <w:t> </w:t>
      </w:r>
      <w:r>
        <w:rPr/>
        <w:t>et</w:t>
      </w:r>
      <w:r>
        <w:rPr>
          <w:spacing w:val="-3"/>
        </w:rPr>
        <w:t> </w:t>
      </w:r>
      <w:r>
        <w:rPr/>
        <w:t>al.,</w:t>
      </w:r>
      <w:r>
        <w:rPr>
          <w:spacing w:val="-3"/>
        </w:rPr>
        <w:t> </w:t>
      </w:r>
      <w:r>
        <w:rPr/>
        <w:t>2020)</w:t>
      </w:r>
      <w:r>
        <w:rPr>
          <w:spacing w:val="-3"/>
        </w:rPr>
        <w:t> </w:t>
      </w:r>
      <w:r>
        <w:rPr/>
        <w:t>were</w:t>
      </w:r>
      <w:r>
        <w:rPr>
          <w:spacing w:val="-51"/>
        </w:rPr>
        <w:t> </w:t>
      </w:r>
      <w:r>
        <w:rPr/>
        <w:t>also detected in the samples (Appendix I: </w:t>
      </w:r>
      <w:r>
        <w:rPr>
          <w:b/>
        </w:rPr>
        <w:t>I-VI</w:t>
      </w:r>
      <w:r>
        <w:rPr/>
        <w:t>). These compounds have potential future</w:t>
      </w:r>
      <w:r>
        <w:rPr>
          <w:spacing w:val="1"/>
        </w:rPr>
        <w:t> </w:t>
      </w:r>
      <w:r>
        <w:rPr/>
        <w:t>applications, but their significance is beyond the scope of this study. Isorenieratane(</w:t>
      </w:r>
      <w:r>
        <w:rPr>
          <w:b/>
        </w:rPr>
        <w:t>I</w:t>
      </w:r>
      <w:r>
        <w:rPr/>
        <w:t>) and</w:t>
      </w:r>
      <w:r>
        <w:rPr>
          <w:spacing w:val="1"/>
        </w:rPr>
        <w:t> </w:t>
      </w:r>
      <w:r>
        <w:rPr/>
        <w:t>paleorenieratane (</w:t>
      </w:r>
      <w:r>
        <w:rPr>
          <w:b/>
        </w:rPr>
        <w:t>II</w:t>
      </w:r>
      <w:r>
        <w:rPr/>
        <w:t>) seem to parallel each other in the samples, which may indicate that they</w:t>
      </w:r>
      <w:r>
        <w:rPr>
          <w:spacing w:val="-52"/>
        </w:rPr>
        <w:t> </w:t>
      </w:r>
      <w:r>
        <w:rPr/>
        <w:t>come from similar sources. Paleorenieratane (</w:t>
      </w:r>
      <w:r>
        <w:rPr>
          <w:b/>
        </w:rPr>
        <w:t>II</w:t>
      </w:r>
      <w:r>
        <w:rPr/>
        <w:t>) currently does not have a known modern</w:t>
      </w:r>
      <w:r>
        <w:rPr>
          <w:spacing w:val="1"/>
        </w:rPr>
        <w:t> </w:t>
      </w:r>
      <w:r>
        <w:rPr/>
        <w:t>source; the</w:t>
      </w:r>
      <w:r>
        <w:rPr>
          <w:spacing w:val="-2"/>
        </w:rPr>
        <w:t> </w:t>
      </w:r>
      <w:r>
        <w:rPr/>
        <w:t>most</w:t>
      </w:r>
      <w:r>
        <w:rPr>
          <w:spacing w:val="2"/>
        </w:rPr>
        <w:t> </w:t>
      </w:r>
      <w:r>
        <w:rPr/>
        <w:t>recent</w:t>
      </w:r>
      <w:r>
        <w:rPr>
          <w:spacing w:val="-3"/>
        </w:rPr>
        <w:t> </w:t>
      </w:r>
      <w:r>
        <w:rPr/>
        <w:t>sediments</w:t>
      </w:r>
      <w:r>
        <w:rPr>
          <w:spacing w:val="-1"/>
        </w:rPr>
        <w:t> </w:t>
      </w:r>
      <w:r>
        <w:rPr/>
        <w:t>where</w:t>
      </w:r>
      <w:r>
        <w:rPr>
          <w:spacing w:val="-2"/>
        </w:rPr>
        <w:t> </w:t>
      </w:r>
      <w:r>
        <w:rPr/>
        <w:t>it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detected occur</w:t>
      </w:r>
      <w:r>
        <w:rPr>
          <w:spacing w:val="2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Mesozoic.</w:t>
      </w:r>
      <w:r>
        <w:rPr>
          <w:spacing w:val="-3"/>
        </w:rPr>
        <w:t> </w:t>
      </w:r>
      <w:r>
        <w:rPr/>
        <w:t>However,</w:t>
      </w:r>
    </w:p>
    <w:p>
      <w:pPr>
        <w:spacing w:after="0" w:line="480" w:lineRule="auto"/>
        <w:sectPr>
          <w:pgSz w:w="12240" w:h="15840"/>
          <w:pgMar w:header="0" w:footer="1014" w:top="1400" w:bottom="1200" w:left="1320" w:right="820"/>
        </w:sectPr>
      </w:pPr>
    </w:p>
    <w:p>
      <w:pPr>
        <w:pStyle w:val="BodyText"/>
        <w:spacing w:line="480" w:lineRule="auto" w:before="39"/>
        <w:ind w:left="120" w:right="660"/>
      </w:pPr>
      <w:r>
        <w:rPr/>
        <w:t>because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2"/>
        </w:rPr>
        <w:t> </w:t>
      </w:r>
      <w:r>
        <w:rPr/>
        <w:t>similarity</w:t>
      </w:r>
      <w:r>
        <w:rPr>
          <w:spacing w:val="-3"/>
        </w:rPr>
        <w:t> </w:t>
      </w:r>
      <w:r>
        <w:rPr/>
        <w:t>in</w:t>
      </w:r>
      <w:r>
        <w:rPr>
          <w:spacing w:val="2"/>
        </w:rPr>
        <w:t> </w:t>
      </w:r>
      <w:r>
        <w:rPr/>
        <w:t>abundance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isorenieratane(</w:t>
      </w:r>
      <w:r>
        <w:rPr>
          <w:b/>
        </w:rPr>
        <w:t>I</w:t>
      </w:r>
      <w:r>
        <w:rPr/>
        <w:t>),</w:t>
      </w:r>
      <w:r>
        <w:rPr>
          <w:spacing w:val="-2"/>
        </w:rPr>
        <w:t> </w:t>
      </w:r>
      <w:r>
        <w:rPr/>
        <w:t>it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assumed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be</w:t>
      </w:r>
      <w:r>
        <w:rPr>
          <w:spacing w:val="-3"/>
        </w:rPr>
        <w:t> </w:t>
      </w:r>
      <w:r>
        <w:rPr/>
        <w:t>produced</w:t>
      </w:r>
      <w:r>
        <w:rPr>
          <w:spacing w:val="-1"/>
        </w:rPr>
        <w:t> </w:t>
      </w:r>
      <w:r>
        <w:rPr/>
        <w:t>by</w:t>
      </w:r>
      <w:r>
        <w:rPr>
          <w:spacing w:val="-2"/>
        </w:rPr>
        <w:t> </w:t>
      </w:r>
      <w:r>
        <w:rPr/>
        <w:t>a</w:t>
      </w:r>
      <w:r>
        <w:rPr>
          <w:spacing w:val="-51"/>
        </w:rPr>
        <w:t> </w:t>
      </w:r>
      <w:r>
        <w:rPr/>
        <w:t>now</w:t>
      </w:r>
      <w:r>
        <w:rPr>
          <w:spacing w:val="-2"/>
        </w:rPr>
        <w:t> </w:t>
      </w:r>
      <w:r>
        <w:rPr/>
        <w:t>extinct</w:t>
      </w:r>
      <w:r>
        <w:rPr>
          <w:spacing w:val="-1"/>
        </w:rPr>
        <w:t> </w:t>
      </w:r>
      <w:r>
        <w:rPr/>
        <w:t>GSB</w:t>
      </w:r>
      <w:r>
        <w:rPr>
          <w:spacing w:val="-2"/>
        </w:rPr>
        <w:t> </w:t>
      </w:r>
      <w:r>
        <w:rPr/>
        <w:t>(Spaak</w:t>
      </w:r>
      <w:r>
        <w:rPr>
          <w:spacing w:val="-3"/>
        </w:rPr>
        <w:t> </w:t>
      </w:r>
      <w:r>
        <w:rPr/>
        <w:t>et</w:t>
      </w:r>
      <w:r>
        <w:rPr>
          <w:spacing w:val="3"/>
        </w:rPr>
        <w:t> </w:t>
      </w:r>
      <w:r>
        <w:rPr/>
        <w:t>al.,</w:t>
      </w:r>
      <w:r>
        <w:rPr>
          <w:spacing w:val="-2"/>
        </w:rPr>
        <w:t> </w:t>
      </w:r>
      <w:r>
        <w:rPr/>
        <w:t>2018).</w:t>
      </w:r>
    </w:p>
    <w:p>
      <w:pPr>
        <w:pStyle w:val="BodyText"/>
        <w:spacing w:line="480" w:lineRule="auto" w:before="160"/>
        <w:ind w:left="120" w:right="638" w:firstLine="706"/>
      </w:pPr>
      <w:r>
        <w:rPr/>
        <w:t>Isorenieratane(</w:t>
      </w:r>
      <w:r>
        <w:rPr>
          <w:b/>
        </w:rPr>
        <w:t>I</w:t>
      </w:r>
      <w:r>
        <w:rPr/>
        <w:t>) is produced by the brown strain of GSB (bGSB), which can live in low</w:t>
      </w:r>
      <w:r>
        <w:rPr>
          <w:spacing w:val="1"/>
        </w:rPr>
        <w:t> </w:t>
      </w:r>
      <w:r>
        <w:rPr/>
        <w:t>light conditions owing to their special light-harvesting organelle, the chlorosome. They are</w:t>
      </w:r>
      <w:r>
        <w:rPr>
          <w:spacing w:val="1"/>
        </w:rPr>
        <w:t> </w:t>
      </w:r>
      <w:r>
        <w:rPr/>
        <w:t>efficient</w:t>
      </w:r>
      <w:r>
        <w:rPr>
          <w:spacing w:val="-4"/>
        </w:rPr>
        <w:t> </w:t>
      </w:r>
      <w:r>
        <w:rPr/>
        <w:t>sulfide</w:t>
      </w:r>
      <w:r>
        <w:rPr>
          <w:spacing w:val="-2"/>
        </w:rPr>
        <w:t> </w:t>
      </w:r>
      <w:r>
        <w:rPr/>
        <w:t>oxidizers</w:t>
      </w:r>
      <w:r>
        <w:rPr>
          <w:spacing w:val="-4"/>
        </w:rPr>
        <w:t> </w:t>
      </w:r>
      <w:r>
        <w:rPr/>
        <w:t>in</w:t>
      </w:r>
      <w:r>
        <w:rPr>
          <w:spacing w:val="2"/>
        </w:rPr>
        <w:t> </w:t>
      </w:r>
      <w:r>
        <w:rPr/>
        <w:t>low</w:t>
      </w:r>
      <w:r>
        <w:rPr>
          <w:spacing w:val="-3"/>
        </w:rPr>
        <w:t> </w:t>
      </w:r>
      <w:r>
        <w:rPr/>
        <w:t>light</w:t>
      </w:r>
      <w:r>
        <w:rPr>
          <w:spacing w:val="-4"/>
        </w:rPr>
        <w:t> </w:t>
      </w:r>
      <w:r>
        <w:rPr/>
        <w:t>conditions</w:t>
      </w:r>
      <w:r>
        <w:rPr>
          <w:spacing w:val="-5"/>
        </w:rPr>
        <w:t> </w:t>
      </w:r>
      <w:r>
        <w:rPr/>
        <w:t>with the</w:t>
      </w:r>
      <w:r>
        <w:rPr>
          <w:spacing w:val="2"/>
        </w:rPr>
        <w:t> </w:t>
      </w:r>
      <w:r>
        <w:rPr/>
        <w:t>ability</w:t>
      </w:r>
      <w:r>
        <w:rPr>
          <w:spacing w:val="-1"/>
        </w:rPr>
        <w:t> </w:t>
      </w:r>
      <w:r>
        <w:rPr/>
        <w:t>to survive</w:t>
      </w:r>
      <w:r>
        <w:rPr>
          <w:spacing w:val="-2"/>
        </w:rPr>
        <w:t> </w:t>
      </w:r>
      <w:r>
        <w:rPr/>
        <w:t>with</w:t>
      </w:r>
      <w:r>
        <w:rPr>
          <w:spacing w:val="2"/>
        </w:rPr>
        <w:t> </w:t>
      </w:r>
      <w:r>
        <w:rPr/>
        <w:t>light</w:t>
      </w:r>
      <w:r>
        <w:rPr>
          <w:spacing w:val="2"/>
        </w:rPr>
        <w:t> </w:t>
      </w:r>
      <w:r>
        <w:rPr/>
        <w:t>as</w:t>
      </w:r>
      <w:r>
        <w:rPr>
          <w:spacing w:val="-5"/>
        </w:rPr>
        <w:t> </w:t>
      </w:r>
      <w:r>
        <w:rPr/>
        <w:t>low</w:t>
      </w:r>
      <w:r>
        <w:rPr>
          <w:spacing w:val="-2"/>
        </w:rPr>
        <w:t> </w:t>
      </w:r>
      <w:r>
        <w:rPr/>
        <w:t>as</w:t>
      </w:r>
      <w:r>
        <w:rPr>
          <w:spacing w:val="-5"/>
        </w:rPr>
        <w:t> </w:t>
      </w:r>
      <w:r>
        <w:rPr/>
        <w:t>20</w:t>
      </w:r>
      <w:r>
        <w:rPr>
          <w:spacing w:val="-51"/>
        </w:rPr>
        <w:t> </w:t>
      </w:r>
      <w:r>
        <w:rPr/>
        <w:t>lux (Biebl and Pfennig, 1978). They also have more light-harvesting pigments than other strains</w:t>
      </w:r>
      <w:r>
        <w:rPr>
          <w:spacing w:val="1"/>
        </w:rPr>
        <w:t> </w:t>
      </w:r>
      <w:r>
        <w:rPr/>
        <w:t>of GSB or PSB, resulting in them having concentrations of these molecules 175% higher than</w:t>
      </w:r>
      <w:r>
        <w:rPr>
          <w:spacing w:val="1"/>
        </w:rPr>
        <w:t> </w:t>
      </w:r>
      <w:r>
        <w:rPr/>
        <w:t>these other strains</w:t>
      </w:r>
      <w:r>
        <w:rPr>
          <w:spacing w:val="1"/>
        </w:rPr>
        <w:t> </w:t>
      </w:r>
      <w:r>
        <w:rPr/>
        <w:t>(Overmann</w:t>
      </w:r>
      <w:r>
        <w:rPr>
          <w:spacing w:val="2"/>
        </w:rPr>
        <w:t> </w:t>
      </w:r>
      <w:r>
        <w:rPr/>
        <w:t>et al.,</w:t>
      </w:r>
      <w:r>
        <w:rPr>
          <w:spacing w:val="2"/>
        </w:rPr>
        <w:t> </w:t>
      </w:r>
      <w:r>
        <w:rPr/>
        <w:t>1992).</w:t>
      </w:r>
      <w:r>
        <w:rPr>
          <w:spacing w:val="-1"/>
        </w:rPr>
        <w:t> </w:t>
      </w:r>
      <w:r>
        <w:rPr/>
        <w:t>As a</w:t>
      </w:r>
      <w:r>
        <w:rPr>
          <w:spacing w:val="2"/>
        </w:rPr>
        <w:t> </w:t>
      </w:r>
      <w:r>
        <w:rPr/>
        <w:t>result of</w:t>
      </w:r>
      <w:r>
        <w:rPr>
          <w:spacing w:val="1"/>
        </w:rPr>
        <w:t> </w:t>
      </w:r>
      <w:r>
        <w:rPr/>
        <w:t>the</w:t>
      </w:r>
      <w:r>
        <w:rPr>
          <w:spacing w:val="4"/>
        </w:rPr>
        <w:t> </w:t>
      </w:r>
      <w:r>
        <w:rPr/>
        <w:t>low</w:t>
      </w:r>
      <w:r>
        <w:rPr>
          <w:spacing w:val="5"/>
        </w:rPr>
        <w:t> </w:t>
      </w:r>
      <w:r>
        <w:rPr/>
        <w:t>light</w:t>
      </w:r>
      <w:r>
        <w:rPr>
          <w:spacing w:val="1"/>
        </w:rPr>
        <w:t> </w:t>
      </w:r>
      <w:r>
        <w:rPr/>
        <w:t>conditions, bGSB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an increased number of photosynthetic units. In their chlorosomes, bGSB contains 5000-8000</w:t>
      </w:r>
      <w:r>
        <w:rPr>
          <w:spacing w:val="1"/>
        </w:rPr>
        <w:t> </w:t>
      </w:r>
      <w:r>
        <w:rPr/>
        <w:t>BChl</w:t>
      </w:r>
      <w:r>
        <w:rPr>
          <w:spacing w:val="1"/>
        </w:rPr>
        <w:t> </w:t>
      </w:r>
      <w:r>
        <w:rPr/>
        <w:t>c</w:t>
      </w:r>
      <w:r>
        <w:rPr>
          <w:spacing w:val="3"/>
        </w:rPr>
        <w:t> </w:t>
      </w:r>
      <w:r>
        <w:rPr/>
        <w:t>molecules/reaction</w:t>
      </w:r>
      <w:r>
        <w:rPr>
          <w:spacing w:val="1"/>
        </w:rPr>
        <w:t> </w:t>
      </w:r>
      <w:r>
        <w:rPr/>
        <w:t>centers</w:t>
      </w:r>
      <w:r>
        <w:rPr>
          <w:spacing w:val="2"/>
        </w:rPr>
        <w:t> </w:t>
      </w:r>
      <w:r>
        <w:rPr/>
        <w:t>(Frigaard</w:t>
      </w:r>
      <w:r>
        <w:rPr>
          <w:spacing w:val="1"/>
        </w:rPr>
        <w:t> </w:t>
      </w:r>
      <w:r>
        <w:rPr/>
        <w:t>et al.,</w:t>
      </w:r>
      <w:r>
        <w:rPr>
          <w:spacing w:val="2"/>
        </w:rPr>
        <w:t> </w:t>
      </w:r>
      <w:r>
        <w:rPr/>
        <w:t>2003).</w:t>
      </w:r>
      <w:r>
        <w:rPr>
          <w:spacing w:val="1"/>
        </w:rPr>
        <w:t> </w:t>
      </w:r>
      <w:r>
        <w:rPr/>
        <w:t>They</w:t>
      </w:r>
      <w:r>
        <w:rPr>
          <w:spacing w:val="-2"/>
        </w:rPr>
        <w:t> </w:t>
      </w:r>
      <w:r>
        <w:rPr/>
        <w:t>also</w:t>
      </w:r>
      <w:r>
        <w:rPr>
          <w:spacing w:val="2"/>
        </w:rPr>
        <w:t> </w:t>
      </w:r>
      <w:r>
        <w:rPr/>
        <w:t>require</w:t>
      </w:r>
      <w:r>
        <w:rPr>
          <w:spacing w:val="1"/>
        </w:rPr>
        <w:t> </w:t>
      </w:r>
      <w:r>
        <w:rPr/>
        <w:t>lower</w:t>
      </w:r>
      <w:r>
        <w:rPr>
          <w:spacing w:val="1"/>
        </w:rPr>
        <w:t> </w:t>
      </w:r>
      <w:r>
        <w:rPr>
          <w:position w:val="2"/>
        </w:rPr>
        <w:t>concentrations of CO</w:t>
      </w:r>
      <w:r>
        <w:rPr>
          <w:sz w:val="16"/>
        </w:rPr>
        <w:t>2 </w:t>
      </w:r>
      <w:r>
        <w:rPr>
          <w:position w:val="2"/>
        </w:rPr>
        <w:t>to survive at 3.5-4.5 mol quanta/mol CO</w:t>
      </w:r>
      <w:r>
        <w:rPr>
          <w:sz w:val="16"/>
        </w:rPr>
        <w:t>2</w:t>
      </w:r>
      <w:r>
        <w:rPr>
          <w:spacing w:val="1"/>
          <w:sz w:val="16"/>
        </w:rPr>
        <w:t> </w:t>
      </w:r>
      <w:r>
        <w:rPr>
          <w:position w:val="2"/>
        </w:rPr>
        <w:t>(Brune, 1989). Due to the</w:t>
      </w:r>
      <w:r>
        <w:rPr>
          <w:spacing w:val="1"/>
          <w:position w:val="2"/>
        </w:rPr>
        <w:t> </w:t>
      </w:r>
      <w:r>
        <w:rPr/>
        <w:t>positive linear increase of both paleorenieratane(</w:t>
      </w:r>
      <w:r>
        <w:rPr>
          <w:b/>
        </w:rPr>
        <w:t>II</w:t>
      </w:r>
      <w:r>
        <w:rPr/>
        <w:t>) and isorenieratane(</w:t>
      </w:r>
      <w:r>
        <w:rPr>
          <w:b/>
        </w:rPr>
        <w:t>I</w:t>
      </w:r>
      <w:r>
        <w:rPr/>
        <w:t>), it is likely that the</w:t>
      </w:r>
      <w:r>
        <w:rPr>
          <w:spacing w:val="1"/>
        </w:rPr>
        <w:t> </w:t>
      </w:r>
      <w:r>
        <w:rPr/>
        <w:t>producers of each molecule have little resource competition with each other or they are</w:t>
      </w:r>
      <w:r>
        <w:rPr>
          <w:spacing w:val="1"/>
        </w:rPr>
        <w:t> </w:t>
      </w:r>
      <w:r>
        <w:rPr/>
        <w:t>produced by the same source organisms. Since isorenieratane(</w:t>
      </w:r>
      <w:r>
        <w:rPr>
          <w:b/>
        </w:rPr>
        <w:t>I</w:t>
      </w:r>
      <w:r>
        <w:rPr/>
        <w:t>) can absorb lower wavelengths</w:t>
      </w:r>
      <w:r>
        <w:rPr>
          <w:spacing w:val="1"/>
        </w:rPr>
        <w:t> </w:t>
      </w:r>
      <w:r>
        <w:rPr/>
        <w:t>of light (460nm) within the wavelength of the deepest penetrating daylight wavelengths 450-</w:t>
      </w:r>
      <w:r>
        <w:rPr>
          <w:spacing w:val="1"/>
        </w:rPr>
        <w:t> </w:t>
      </w:r>
      <w:r>
        <w:rPr/>
        <w:t>470nm, it is most likely that the organism that produced paleorenieratane(</w:t>
      </w:r>
      <w:r>
        <w:rPr>
          <w:b/>
        </w:rPr>
        <w:t>II</w:t>
      </w:r>
      <w:r>
        <w:rPr/>
        <w:t>) lived at a</w:t>
      </w:r>
      <w:r>
        <w:rPr>
          <w:spacing w:val="1"/>
        </w:rPr>
        <w:t> </w:t>
      </w:r>
      <w:r>
        <w:rPr/>
        <w:t>shallower depth than the bGSB producing isorenieratane(</w:t>
      </w:r>
      <w:r>
        <w:rPr>
          <w:b/>
        </w:rPr>
        <w:t>I</w:t>
      </w:r>
      <w:r>
        <w:rPr/>
        <w:t>) (Connock, 2015). The GSB living in</w:t>
      </w:r>
      <w:r>
        <w:rPr>
          <w:spacing w:val="1"/>
        </w:rPr>
        <w:t> </w:t>
      </w:r>
      <w:r>
        <w:rPr/>
        <w:t>natural environments has both planktonic and microbial mat forming species. So, the</w:t>
      </w:r>
      <w:r>
        <w:rPr>
          <w:spacing w:val="1"/>
        </w:rPr>
        <w:t> </w:t>
      </w:r>
      <w:r>
        <w:rPr/>
        <w:t>occurrence of isorenieratane can be a signal of microbial mats in shallow water, not necessarily</w:t>
      </w:r>
      <w:r>
        <w:rPr>
          <w:spacing w:val="1"/>
        </w:rPr>
        <w:t> </w:t>
      </w:r>
      <w:r>
        <w:rPr/>
        <w:t>PZE. When GSB is inferred to live in algal mats, there is also the presence of wavy laminations in</w:t>
      </w:r>
      <w:r>
        <w:rPr>
          <w:spacing w:val="-52"/>
        </w:rPr>
        <w:t> </w:t>
      </w:r>
      <w:r>
        <w:rPr/>
        <w:t>the rock (French et al., 2014). However, in the Woodford Shale, the only lithofacies with wavy</w:t>
      </w:r>
      <w:r>
        <w:rPr>
          <w:spacing w:val="1"/>
        </w:rPr>
        <w:t> </w:t>
      </w:r>
      <w:r>
        <w:rPr/>
        <w:t>laminations</w:t>
      </w:r>
      <w:r>
        <w:rPr>
          <w:spacing w:val="-2"/>
        </w:rPr>
        <w:t> </w:t>
      </w:r>
      <w:r>
        <w:rPr/>
        <w:t>are</w:t>
      </w:r>
      <w:r>
        <w:rPr>
          <w:spacing w:val="1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Upper</w:t>
      </w:r>
      <w:r>
        <w:rPr>
          <w:spacing w:val="-3"/>
        </w:rPr>
        <w:t> </w:t>
      </w:r>
      <w:r>
        <w:rPr/>
        <w:t>Woodford</w:t>
      </w:r>
      <w:r>
        <w:rPr>
          <w:spacing w:val="2"/>
        </w:rPr>
        <w:t> </w:t>
      </w:r>
      <w:r>
        <w:rPr/>
        <w:t>Shale</w:t>
      </w:r>
      <w:r>
        <w:rPr>
          <w:spacing w:val="-2"/>
        </w:rPr>
        <w:t> </w:t>
      </w:r>
      <w:r>
        <w:rPr/>
        <w:t>(Molinares-Blanco,</w:t>
      </w:r>
      <w:r>
        <w:rPr>
          <w:spacing w:val="-2"/>
        </w:rPr>
        <w:t> </w:t>
      </w:r>
      <w:r>
        <w:rPr/>
        <w:t>2013),</w:t>
      </w:r>
      <w:r>
        <w:rPr>
          <w:spacing w:val="-7"/>
        </w:rPr>
        <w:t> </w:t>
      </w:r>
      <w:r>
        <w:rPr/>
        <w:t>where</w:t>
      </w:r>
      <w:r>
        <w:rPr>
          <w:spacing w:val="2"/>
        </w:rPr>
        <w:t> </w:t>
      </w:r>
      <w:r>
        <w:rPr/>
        <w:t>the</w:t>
      </w:r>
    </w:p>
    <w:p>
      <w:pPr>
        <w:spacing w:after="0" w:line="480" w:lineRule="auto"/>
        <w:sectPr>
          <w:pgSz w:w="12240" w:h="15840"/>
          <w:pgMar w:header="0" w:footer="1014" w:top="1400" w:bottom="1200" w:left="1320" w:right="820"/>
        </w:sectPr>
      </w:pPr>
    </w:p>
    <w:p>
      <w:pPr>
        <w:pStyle w:val="BodyText"/>
        <w:spacing w:line="480" w:lineRule="auto" w:before="39"/>
        <w:ind w:left="120" w:right="660"/>
      </w:pPr>
      <w:r>
        <w:rPr/>
        <w:t>concentrations</w:t>
      </w:r>
      <w:r>
        <w:rPr>
          <w:spacing w:val="-2"/>
        </w:rPr>
        <w:t> </w:t>
      </w:r>
      <w:r>
        <w:rPr/>
        <w:t>of</w:t>
      </w:r>
      <w:r>
        <w:rPr>
          <w:spacing w:val="1"/>
        </w:rPr>
        <w:t> </w:t>
      </w:r>
      <w:r>
        <w:rPr/>
        <w:t>these</w:t>
      </w:r>
      <w:r>
        <w:rPr>
          <w:spacing w:val="-3"/>
        </w:rPr>
        <w:t> </w:t>
      </w:r>
      <w:r>
        <w:rPr/>
        <w:t>carotenoids</w:t>
      </w:r>
      <w:r>
        <w:rPr>
          <w:spacing w:val="-1"/>
        </w:rPr>
        <w:t> </w:t>
      </w:r>
      <w:r>
        <w:rPr/>
        <w:t>are</w:t>
      </w:r>
      <w:r>
        <w:rPr>
          <w:spacing w:val="-2"/>
        </w:rPr>
        <w:t> </w:t>
      </w:r>
      <w:r>
        <w:rPr/>
        <w:t>at</w:t>
      </w:r>
      <w:r>
        <w:rPr>
          <w:spacing w:val="-3"/>
        </w:rPr>
        <w:t> </w:t>
      </w:r>
      <w:r>
        <w:rPr/>
        <w:t>their</w:t>
      </w:r>
      <w:r>
        <w:rPr>
          <w:spacing w:val="-1"/>
        </w:rPr>
        <w:t> </w:t>
      </w:r>
      <w:r>
        <w:rPr/>
        <w:t>lowest.</w:t>
      </w:r>
      <w:r>
        <w:rPr>
          <w:spacing w:val="-3"/>
        </w:rPr>
        <w:t> </w:t>
      </w:r>
      <w:r>
        <w:rPr/>
        <w:t>It</w:t>
      </w:r>
      <w:r>
        <w:rPr>
          <w:spacing w:val="2"/>
        </w:rPr>
        <w:t> </w:t>
      </w:r>
      <w:r>
        <w:rPr/>
        <w:t>is</w:t>
      </w:r>
      <w:r>
        <w:rPr>
          <w:spacing w:val="-4"/>
        </w:rPr>
        <w:t> </w:t>
      </w:r>
      <w:r>
        <w:rPr/>
        <w:t>assumed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GSB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Woodford</w:t>
      </w:r>
      <w:r>
        <w:rPr>
          <w:spacing w:val="-51"/>
        </w:rPr>
        <w:t> </w:t>
      </w:r>
      <w:r>
        <w:rPr/>
        <w:t>Shale</w:t>
      </w:r>
      <w:r>
        <w:rPr>
          <w:spacing w:val="-2"/>
        </w:rPr>
        <w:t> </w:t>
      </w:r>
      <w:r>
        <w:rPr/>
        <w:t>lived</w:t>
      </w:r>
      <w:r>
        <w:rPr>
          <w:spacing w:val="2"/>
        </w:rPr>
        <w:t> </w:t>
      </w:r>
      <w:r>
        <w:rPr/>
        <w:t>as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planktonic</w:t>
      </w:r>
      <w:r>
        <w:rPr>
          <w:spacing w:val="-2"/>
        </w:rPr>
        <w:t> </w:t>
      </w:r>
      <w:r>
        <w:rPr/>
        <w:t>community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not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benthic</w:t>
      </w:r>
      <w:r>
        <w:rPr>
          <w:spacing w:val="-2"/>
        </w:rPr>
        <w:t> </w:t>
      </w:r>
      <w:r>
        <w:rPr/>
        <w:t>algal</w:t>
      </w:r>
      <w:r>
        <w:rPr>
          <w:spacing w:val="-3"/>
        </w:rPr>
        <w:t> </w:t>
      </w:r>
      <w:r>
        <w:rPr/>
        <w:t>mats</w:t>
      </w:r>
      <w:r>
        <w:rPr>
          <w:spacing w:val="1"/>
        </w:rPr>
        <w:t> </w:t>
      </w:r>
      <w:r>
        <w:rPr/>
        <w:t>(Connock</w:t>
      </w:r>
      <w:r>
        <w:rPr>
          <w:spacing w:val="-2"/>
        </w:rPr>
        <w:t> </w:t>
      </w:r>
      <w:r>
        <w:rPr/>
        <w:t>et</w:t>
      </w:r>
      <w:r>
        <w:rPr>
          <w:spacing w:val="2"/>
        </w:rPr>
        <w:t> </w:t>
      </w:r>
      <w:r>
        <w:rPr/>
        <w:t>al.,</w:t>
      </w:r>
      <w:r>
        <w:rPr>
          <w:spacing w:val="-2"/>
        </w:rPr>
        <w:t> </w:t>
      </w:r>
      <w:r>
        <w:rPr/>
        <w:t>2018).</w:t>
      </w:r>
    </w:p>
    <w:p>
      <w:pPr>
        <w:pStyle w:val="BodyText"/>
        <w:spacing w:line="480" w:lineRule="auto" w:before="160"/>
        <w:ind w:left="120" w:right="658" w:firstLine="706"/>
      </w:pPr>
      <w:r>
        <w:rPr/>
        <w:t>Isorenieratane(</w:t>
      </w:r>
      <w:r>
        <w:rPr>
          <w:b/>
        </w:rPr>
        <w:t>I</w:t>
      </w:r>
      <w:r>
        <w:rPr/>
        <w:t>)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paleorenieratane(</w:t>
      </w:r>
      <w:r>
        <w:rPr>
          <w:b/>
        </w:rPr>
        <w:t>II</w:t>
      </w:r>
      <w:r>
        <w:rPr/>
        <w:t>)</w:t>
      </w:r>
      <w:r>
        <w:rPr>
          <w:spacing w:val="-7"/>
        </w:rPr>
        <w:t> </w:t>
      </w:r>
      <w:r>
        <w:rPr/>
        <w:t>in</w:t>
      </w:r>
      <w:r>
        <w:rPr>
          <w:spacing w:val="2"/>
        </w:rPr>
        <w:t> </w:t>
      </w:r>
      <w:r>
        <w:rPr/>
        <w:t>the</w:t>
      </w:r>
      <w:r>
        <w:rPr>
          <w:spacing w:val="-4"/>
        </w:rPr>
        <w:t> </w:t>
      </w:r>
      <w:r>
        <w:rPr/>
        <w:t>Wyche-1</w:t>
      </w:r>
      <w:r>
        <w:rPr>
          <w:spacing w:val="-4"/>
        </w:rPr>
        <w:t> </w:t>
      </w:r>
      <w:r>
        <w:rPr/>
        <w:t>core</w:t>
      </w:r>
      <w:r>
        <w:rPr>
          <w:spacing w:val="-3"/>
        </w:rPr>
        <w:t> </w:t>
      </w:r>
      <w:r>
        <w:rPr/>
        <w:t>show</w:t>
      </w:r>
      <w:r>
        <w:rPr>
          <w:spacing w:val="2"/>
        </w:rPr>
        <w:t> </w:t>
      </w:r>
      <w:r>
        <w:rPr/>
        <w:t>very</w:t>
      </w:r>
      <w:r>
        <w:rPr>
          <w:spacing w:val="-3"/>
        </w:rPr>
        <w:t> </w:t>
      </w:r>
      <w:r>
        <w:rPr/>
        <w:t>similar</w:t>
      </w:r>
      <w:r>
        <w:rPr>
          <w:spacing w:val="1"/>
        </w:rPr>
        <w:t> </w:t>
      </w:r>
      <w:r>
        <w:rPr/>
        <w:t>trends,</w:t>
      </w:r>
      <w:r>
        <w:rPr>
          <w:spacing w:val="-51"/>
        </w:rPr>
        <w:t> </w:t>
      </w:r>
      <w:r>
        <w:rPr/>
        <w:t>with paleorenieratane(</w:t>
      </w:r>
      <w:r>
        <w:rPr>
          <w:b/>
        </w:rPr>
        <w:t>II</w:t>
      </w:r>
      <w:r>
        <w:rPr/>
        <w:t>) being about three times more abundant than isorenieratane(</w:t>
      </w:r>
      <w:r>
        <w:rPr>
          <w:b/>
        </w:rPr>
        <w:t>I</w:t>
      </w:r>
      <w:r>
        <w:rPr/>
        <w:t>). They</w:t>
      </w:r>
      <w:r>
        <w:rPr>
          <w:spacing w:val="1"/>
        </w:rPr>
        <w:t> </w:t>
      </w:r>
      <w:r>
        <w:rPr/>
        <w:t>are both present in the Lower Woodford Shale, showing a few excursions in concentration and</w:t>
      </w:r>
      <w:r>
        <w:rPr>
          <w:spacing w:val="1"/>
        </w:rPr>
        <w:t> </w:t>
      </w:r>
      <w:r>
        <w:rPr/>
        <w:t>begin a significant increase in concentration during the Middle Woodford Shale. Their increase</w:t>
      </w:r>
      <w:r>
        <w:rPr>
          <w:spacing w:val="1"/>
        </w:rPr>
        <w:t> </w:t>
      </w:r>
      <w:r>
        <w:rPr/>
        <w:t>in the Middle Woodford Shale begins in the Wyche-1 core at about 172 ft. Their concentration</w:t>
      </w:r>
      <w:r>
        <w:rPr>
          <w:spacing w:val="1"/>
        </w:rPr>
        <w:t> </w:t>
      </w:r>
      <w:r>
        <w:rPr/>
        <w:t>increases and then begins to fall before becoming almost negligent at around 130 ft which is at</w:t>
      </w:r>
      <w:r>
        <w:rPr>
          <w:spacing w:val="-52"/>
        </w:rPr>
        <w:t> </w:t>
      </w:r>
      <w:r>
        <w:rPr/>
        <w:t>the MFS according to Turner et al. (2015, 2016). Isorenieratane(</w:t>
      </w:r>
      <w:r>
        <w:rPr>
          <w:b/>
        </w:rPr>
        <w:t>I</w:t>
      </w:r>
      <w:r>
        <w:rPr/>
        <w:t>) reaches a maximum of 59.70</w:t>
      </w:r>
      <w:r>
        <w:rPr>
          <w:spacing w:val="1"/>
        </w:rPr>
        <w:t> </w:t>
      </w:r>
      <w:r>
        <w:rPr/>
        <w:t>ng/g</w:t>
      </w:r>
      <w:r>
        <w:rPr>
          <w:spacing w:val="-2"/>
        </w:rPr>
        <w:t> </w:t>
      </w:r>
      <w:r>
        <w:rPr/>
        <w:t>OC</w:t>
      </w:r>
      <w:r>
        <w:rPr>
          <w:spacing w:val="-1"/>
        </w:rPr>
        <w:t> </w:t>
      </w:r>
      <w:r>
        <w:rPr/>
        <w:t>at</w:t>
      </w:r>
      <w:r>
        <w:rPr>
          <w:spacing w:val="3"/>
        </w:rPr>
        <w:t> </w:t>
      </w:r>
      <w:r>
        <w:rPr/>
        <w:t>147.08</w:t>
      </w:r>
      <w:r>
        <w:rPr>
          <w:spacing w:val="-2"/>
        </w:rPr>
        <w:t> </w:t>
      </w:r>
      <w:r>
        <w:rPr/>
        <w:t>ft,</w:t>
      </w:r>
      <w:r>
        <w:rPr>
          <w:spacing w:val="2"/>
        </w:rPr>
        <w:t> </w:t>
      </w:r>
      <w:r>
        <w:rPr/>
        <w:t>and</w:t>
      </w:r>
      <w:r>
        <w:rPr>
          <w:spacing w:val="-3"/>
        </w:rPr>
        <w:t> </w:t>
      </w:r>
      <w:r>
        <w:rPr/>
        <w:t>paleorenieratane(</w:t>
      </w:r>
      <w:r>
        <w:rPr>
          <w:b/>
        </w:rPr>
        <w:t>II</w:t>
      </w:r>
      <w:r>
        <w:rPr/>
        <w:t>)</w:t>
      </w:r>
      <w:r>
        <w:rPr>
          <w:spacing w:val="-4"/>
        </w:rPr>
        <w:t> </w:t>
      </w:r>
      <w:r>
        <w:rPr/>
        <w:t>reaches</w:t>
      </w:r>
      <w:r>
        <w:rPr>
          <w:spacing w:val="-1"/>
        </w:rPr>
        <w:t> </w:t>
      </w:r>
      <w:r>
        <w:rPr/>
        <w:t>its</w:t>
      </w:r>
      <w:r>
        <w:rPr>
          <w:spacing w:val="-3"/>
        </w:rPr>
        <w:t> </w:t>
      </w:r>
      <w:r>
        <w:rPr/>
        <w:t>maximum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299.00</w:t>
      </w:r>
      <w:r>
        <w:rPr>
          <w:spacing w:val="-1"/>
        </w:rPr>
        <w:t> </w:t>
      </w:r>
      <w:r>
        <w:rPr/>
        <w:t>ng/g</w:t>
      </w:r>
      <w:r>
        <w:rPr>
          <w:spacing w:val="-1"/>
        </w:rPr>
        <w:t> </w:t>
      </w:r>
      <w:r>
        <w:rPr/>
        <w:t>OC</w:t>
      </w:r>
      <w:r>
        <w:rPr>
          <w:spacing w:val="-2"/>
        </w:rPr>
        <w:t> </w:t>
      </w:r>
      <w:r>
        <w:rPr/>
        <w:t>at</w:t>
      </w:r>
    </w:p>
    <w:p>
      <w:pPr>
        <w:pStyle w:val="BodyText"/>
        <w:spacing w:line="480" w:lineRule="auto"/>
        <w:ind w:left="120" w:right="697"/>
      </w:pPr>
      <w:r>
        <w:rPr/>
        <w:t>149.25 ft. After the MFS, the carotenoid concentrations drop to relatively low concentrations,</w:t>
      </w:r>
      <w:r>
        <w:rPr>
          <w:spacing w:val="1"/>
        </w:rPr>
        <w:t> </w:t>
      </w:r>
      <w:r>
        <w:rPr/>
        <w:t>with only a small spike in the Upper Woodford Shale. The decrease in the concentration of</w:t>
      </w:r>
      <w:r>
        <w:rPr>
          <w:spacing w:val="1"/>
        </w:rPr>
        <w:t> </w:t>
      </w:r>
      <w:r>
        <w:rPr/>
        <w:t>carotenoids corresponds to a change in lithology. Utilizing the lithology determined by</w:t>
      </w:r>
      <w:r>
        <w:rPr>
          <w:spacing w:val="1"/>
        </w:rPr>
        <w:t> </w:t>
      </w:r>
      <w:r>
        <w:rPr/>
        <w:t>Molinares et al. (2013) (Figure 16), in the Lower Woodford Shale and Middle Woodford Shale,</w:t>
      </w:r>
      <w:r>
        <w:rPr>
          <w:spacing w:val="1"/>
        </w:rPr>
        <w:t> </w:t>
      </w:r>
      <w:r>
        <w:rPr/>
        <w:t>the main lithology is mixed siliceous/argillaceous mudstone with thin clay laminations (G)</w:t>
      </w:r>
      <w:r>
        <w:rPr>
          <w:spacing w:val="1"/>
        </w:rPr>
        <w:t> </w:t>
      </w:r>
      <w:r>
        <w:rPr/>
        <w:t>corresponding to an overall 2nd order TST. There are some places where this is not the case,</w:t>
      </w:r>
      <w:r>
        <w:rPr>
          <w:spacing w:val="1"/>
        </w:rPr>
        <w:t> </w:t>
      </w:r>
      <w:r>
        <w:rPr/>
        <w:t>like the argillaceous siltstone with abundant angular detrital quartz (H) at 180ft, but it mostly</w:t>
      </w:r>
      <w:r>
        <w:rPr>
          <w:spacing w:val="1"/>
        </w:rPr>
        <w:t> </w:t>
      </w:r>
      <w:r>
        <w:rPr/>
        <w:t>remains true. Around the peak of the isorenieratane(</w:t>
      </w:r>
      <w:r>
        <w:rPr>
          <w:b/>
        </w:rPr>
        <w:t>I</w:t>
      </w:r>
      <w:r>
        <w:rPr/>
        <w:t>) and paleorenieratane(</w:t>
      </w:r>
      <w:r>
        <w:rPr>
          <w:b/>
        </w:rPr>
        <w:t>II</w:t>
      </w:r>
      <w:r>
        <w:rPr/>
        <w:t>) concentrations</w:t>
      </w:r>
      <w:r>
        <w:rPr>
          <w:spacing w:val="-52"/>
        </w:rPr>
        <w:t> </w:t>
      </w:r>
      <w:r>
        <w:rPr/>
        <w:t>in the Middle Woodford Shale, there is a lithology change; it changes to black to dark gray</w:t>
      </w:r>
      <w:r>
        <w:rPr>
          <w:spacing w:val="1"/>
        </w:rPr>
        <w:t> </w:t>
      </w:r>
      <w:r>
        <w:rPr/>
        <w:t>laminated argillaceous mudstone (F1-F2). During this lithology change, the concentration of</w:t>
      </w:r>
      <w:r>
        <w:rPr>
          <w:spacing w:val="1"/>
        </w:rPr>
        <w:t> </w:t>
      </w:r>
      <w:r>
        <w:rPr/>
        <w:t>carotenoids begins to decrease until finally, at 130ft, they all but disappear, which corresponds</w:t>
      </w:r>
      <w:r>
        <w:rPr>
          <w:spacing w:val="-52"/>
        </w:rPr>
        <w:t> </w:t>
      </w:r>
      <w:r>
        <w:rPr/>
        <w:t>to</w:t>
      </w:r>
      <w:r>
        <w:rPr>
          <w:spacing w:val="1"/>
        </w:rPr>
        <w:t> </w:t>
      </w:r>
      <w:r>
        <w:rPr/>
        <w:t>a</w:t>
      </w:r>
      <w:r>
        <w:rPr>
          <w:spacing w:val="-3"/>
        </w:rPr>
        <w:t> </w:t>
      </w:r>
      <w:r>
        <w:rPr/>
        <w:t>massive</w:t>
      </w:r>
      <w:r>
        <w:rPr>
          <w:spacing w:val="-3"/>
        </w:rPr>
        <w:t> </w:t>
      </w:r>
      <w:r>
        <w:rPr/>
        <w:t>transgressive</w:t>
      </w:r>
      <w:r>
        <w:rPr>
          <w:spacing w:val="-1"/>
        </w:rPr>
        <w:t> </w:t>
      </w:r>
      <w:r>
        <w:rPr/>
        <w:t>hemicycle.</w:t>
      </w:r>
      <w:r>
        <w:rPr>
          <w:spacing w:val="1"/>
        </w:rPr>
        <w:t> </w:t>
      </w:r>
      <w:r>
        <w:rPr/>
        <w:t>Based</w:t>
      </w:r>
      <w:r>
        <w:rPr>
          <w:spacing w:val="-3"/>
        </w:rPr>
        <w:t> </w:t>
      </w:r>
      <w:r>
        <w:rPr/>
        <w:t>on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peaks</w:t>
      </w:r>
      <w:r>
        <w:rPr>
          <w:spacing w:val="-2"/>
        </w:rPr>
        <w:t> </w:t>
      </w:r>
      <w:r>
        <w:rPr/>
        <w:t>of</w:t>
      </w:r>
      <w:r>
        <w:rPr>
          <w:spacing w:val="3"/>
        </w:rPr>
        <w:t> </w:t>
      </w:r>
      <w:r>
        <w:rPr/>
        <w:t>isorenieratane(</w:t>
      </w:r>
      <w:r>
        <w:rPr>
          <w:b/>
        </w:rPr>
        <w:t>I</w:t>
      </w:r>
      <w:r>
        <w:rPr/>
        <w:t>)</w:t>
      </w:r>
      <w:r>
        <w:rPr>
          <w:spacing w:val="-1"/>
        </w:rPr>
        <w:t> </w:t>
      </w:r>
      <w:r>
        <w:rPr/>
        <w:t>and</w:t>
      </w:r>
    </w:p>
    <w:p>
      <w:pPr>
        <w:spacing w:after="0" w:line="480" w:lineRule="auto"/>
        <w:sectPr>
          <w:pgSz w:w="12240" w:h="15840"/>
          <w:pgMar w:header="0" w:footer="1014" w:top="1400" w:bottom="1200" w:left="1320" w:right="820"/>
        </w:sectPr>
      </w:pPr>
    </w:p>
    <w:p>
      <w:pPr>
        <w:pStyle w:val="BodyText"/>
        <w:spacing w:line="480" w:lineRule="auto" w:before="39"/>
        <w:ind w:left="120" w:right="658"/>
      </w:pPr>
      <w:r>
        <w:rPr/>
        <w:t>paleorenieratane(</w:t>
      </w:r>
      <w:r>
        <w:rPr>
          <w:b/>
        </w:rPr>
        <w:t>II</w:t>
      </w:r>
      <w:r>
        <w:rPr/>
        <w:t>)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Lower</w:t>
      </w:r>
      <w:r>
        <w:rPr>
          <w:spacing w:val="-2"/>
        </w:rPr>
        <w:t> </w:t>
      </w:r>
      <w:r>
        <w:rPr/>
        <w:t>Woodford</w:t>
      </w:r>
      <w:r>
        <w:rPr>
          <w:spacing w:val="-3"/>
        </w:rPr>
        <w:t> </w:t>
      </w:r>
      <w:r>
        <w:rPr/>
        <w:t>Shale,</w:t>
      </w:r>
      <w:r>
        <w:rPr>
          <w:spacing w:val="-2"/>
        </w:rPr>
        <w:t> </w:t>
      </w:r>
      <w:r>
        <w:rPr/>
        <w:t>episodic</w:t>
      </w:r>
      <w:r>
        <w:rPr>
          <w:spacing w:val="-2"/>
        </w:rPr>
        <w:t> </w:t>
      </w:r>
      <w:r>
        <w:rPr/>
        <w:t>PZE</w:t>
      </w:r>
      <w:r>
        <w:rPr>
          <w:spacing w:val="-2"/>
        </w:rPr>
        <w:t> </w:t>
      </w:r>
      <w:r>
        <w:rPr/>
        <w:t>can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inferred.</w:t>
      </w:r>
      <w:r>
        <w:rPr>
          <w:spacing w:val="-2"/>
        </w:rPr>
        <w:t> </w:t>
      </w:r>
      <w:r>
        <w:rPr/>
        <w:t>These</w:t>
      </w:r>
      <w:r>
        <w:rPr>
          <w:spacing w:val="-2"/>
        </w:rPr>
        <w:t> </w:t>
      </w:r>
      <w:r>
        <w:rPr/>
        <w:t>episodic</w:t>
      </w:r>
      <w:r>
        <w:rPr>
          <w:spacing w:val="-52"/>
        </w:rPr>
        <w:t> </w:t>
      </w:r>
      <w:r>
        <w:rPr/>
        <w:t>PZEs</w:t>
      </w:r>
      <w:r>
        <w:rPr>
          <w:spacing w:val="-2"/>
        </w:rPr>
        <w:t> </w:t>
      </w:r>
      <w:r>
        <w:rPr/>
        <w:t>take</w:t>
      </w:r>
      <w:r>
        <w:rPr>
          <w:spacing w:val="-2"/>
        </w:rPr>
        <w:t> </w:t>
      </w:r>
      <w:r>
        <w:rPr/>
        <w:t>place</w:t>
      </w:r>
      <w:r>
        <w:rPr>
          <w:spacing w:val="-2"/>
        </w:rPr>
        <w:t> </w:t>
      </w:r>
      <w:r>
        <w:rPr/>
        <w:t>after</w:t>
      </w:r>
      <w:r>
        <w:rPr>
          <w:spacing w:val="-4"/>
        </w:rPr>
        <w:t> </w:t>
      </w:r>
      <w:r>
        <w:rPr/>
        <w:t>a</w:t>
      </w:r>
      <w:r>
        <w:rPr>
          <w:spacing w:val="1"/>
        </w:rPr>
        <w:t> </w:t>
      </w:r>
      <w:r>
        <w:rPr/>
        <w:t>regressive</w:t>
      </w:r>
      <w:r>
        <w:rPr>
          <w:spacing w:val="-1"/>
        </w:rPr>
        <w:t> </w:t>
      </w:r>
      <w:r>
        <w:rPr/>
        <w:t>hemicycle during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small</w:t>
      </w:r>
      <w:r>
        <w:rPr>
          <w:spacing w:val="-3"/>
        </w:rPr>
        <w:t> </w:t>
      </w:r>
      <w:r>
        <w:rPr/>
        <w:t>transgressive</w:t>
      </w:r>
      <w:r>
        <w:rPr>
          <w:spacing w:val="-1"/>
        </w:rPr>
        <w:t> </w:t>
      </w:r>
      <w:r>
        <w:rPr/>
        <w:t>hemicycle.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</w:pPr>
    </w:p>
    <w:p>
      <w:pPr>
        <w:pStyle w:val="ListParagraph"/>
        <w:numPr>
          <w:ilvl w:val="1"/>
          <w:numId w:val="6"/>
        </w:numPr>
        <w:tabs>
          <w:tab w:pos="478" w:val="left" w:leader="none"/>
        </w:tabs>
        <w:spacing w:line="240" w:lineRule="auto" w:before="0" w:after="0"/>
        <w:ind w:left="477" w:right="0" w:hanging="358"/>
        <w:jc w:val="left"/>
        <w:rPr>
          <w:i/>
          <w:sz w:val="24"/>
        </w:rPr>
      </w:pPr>
      <w:r>
        <w:rPr>
          <w:i/>
          <w:sz w:val="24"/>
        </w:rPr>
        <w:t>Unexpected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Metalloporphyrin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Distribution</w:t>
      </w:r>
    </w:p>
    <w:p>
      <w:pPr>
        <w:pStyle w:val="BodyText"/>
        <w:rPr>
          <w:i/>
        </w:rPr>
      </w:pPr>
    </w:p>
    <w:p>
      <w:pPr>
        <w:pStyle w:val="BodyText"/>
        <w:spacing w:line="480" w:lineRule="auto" w:before="158"/>
        <w:ind w:left="120" w:right="645" w:firstLine="706"/>
      </w:pPr>
      <w:r>
        <w:rPr/>
        <w:t>Porphyrins</w:t>
      </w:r>
      <w:r>
        <w:rPr>
          <w:spacing w:val="2"/>
        </w:rPr>
        <w:t> </w:t>
      </w:r>
      <w:r>
        <w:rPr/>
        <w:t>are</w:t>
      </w:r>
      <w:r>
        <w:rPr>
          <w:spacing w:val="-1"/>
        </w:rPr>
        <w:t> </w:t>
      </w:r>
      <w:r>
        <w:rPr/>
        <w:t>the degradation</w:t>
      </w:r>
      <w:r>
        <w:rPr>
          <w:spacing w:val="-1"/>
        </w:rPr>
        <w:t> </w:t>
      </w:r>
      <w:r>
        <w:rPr/>
        <w:t>products</w:t>
      </w:r>
      <w:r>
        <w:rPr>
          <w:spacing w:val="-1"/>
        </w:rPr>
        <w:t> </w:t>
      </w:r>
      <w:r>
        <w:rPr/>
        <w:t>of</w:t>
      </w:r>
      <w:r>
        <w:rPr>
          <w:spacing w:val="3"/>
        </w:rPr>
        <w:t> </w:t>
      </w:r>
      <w:r>
        <w:rPr/>
        <w:t>chlorophyll and</w:t>
      </w:r>
      <w:r>
        <w:rPr>
          <w:spacing w:val="-2"/>
        </w:rPr>
        <w:t> </w:t>
      </w:r>
      <w:r>
        <w:rPr/>
        <w:t>bacteriochlorophylls</w:t>
      </w:r>
      <w:r>
        <w:rPr>
          <w:spacing w:val="1"/>
        </w:rPr>
        <w:t> </w:t>
      </w:r>
      <w:r>
        <w:rPr/>
        <w:t>(Huseby</w:t>
      </w:r>
      <w:r>
        <w:rPr>
          <w:spacing w:val="1"/>
        </w:rPr>
        <w:t> </w:t>
      </w:r>
      <w:r>
        <w:rPr/>
        <w:t>et</w:t>
      </w:r>
      <w:r>
        <w:rPr>
          <w:spacing w:val="1"/>
        </w:rPr>
        <w:t> </w:t>
      </w:r>
      <w:r>
        <w:rPr/>
        <w:t>al.,</w:t>
      </w:r>
      <w:r>
        <w:rPr>
          <w:spacing w:val="3"/>
        </w:rPr>
        <w:t> </w:t>
      </w:r>
      <w:r>
        <w:rPr/>
        <w:t>1996;</w:t>
      </w:r>
      <w:r>
        <w:rPr>
          <w:spacing w:val="1"/>
        </w:rPr>
        <w:t> </w:t>
      </w:r>
      <w:r>
        <w:rPr/>
        <w:t>David,</w:t>
      </w:r>
      <w:r>
        <w:rPr>
          <w:spacing w:val="1"/>
        </w:rPr>
        <w:t> </w:t>
      </w:r>
      <w:r>
        <w:rPr/>
        <w:t>1998;</w:t>
      </w:r>
      <w:r>
        <w:rPr>
          <w:spacing w:val="1"/>
        </w:rPr>
        <w:t> </w:t>
      </w:r>
      <w:r>
        <w:rPr/>
        <w:t>Stuart</w:t>
      </w:r>
      <w:r>
        <w:rPr>
          <w:spacing w:val="1"/>
        </w:rPr>
        <w:t> </w:t>
      </w:r>
      <w:r>
        <w:rPr/>
        <w:t>Walker and</w:t>
      </w:r>
      <w:r>
        <w:rPr>
          <w:spacing w:val="2"/>
        </w:rPr>
        <w:t> </w:t>
      </w:r>
      <w:r>
        <w:rPr/>
        <w:t>Keely,</w:t>
      </w:r>
      <w:r>
        <w:rPr>
          <w:spacing w:val="1"/>
        </w:rPr>
        <w:t> </w:t>
      </w:r>
      <w:r>
        <w:rPr/>
        <w:t>2004;</w:t>
      </w:r>
      <w:r>
        <w:rPr>
          <w:spacing w:val="2"/>
        </w:rPr>
        <w:t> </w:t>
      </w:r>
      <w:r>
        <w:rPr/>
        <w:t>Junium</w:t>
      </w:r>
      <w:r>
        <w:rPr>
          <w:spacing w:val="1"/>
        </w:rPr>
        <w:t> </w:t>
      </w:r>
      <w:r>
        <w:rPr/>
        <w:t>et</w:t>
      </w:r>
      <w:r>
        <w:rPr>
          <w:spacing w:val="5"/>
        </w:rPr>
        <w:t> </w:t>
      </w:r>
      <w:r>
        <w:rPr/>
        <w:t>al., 2008,</w:t>
      </w:r>
      <w:r>
        <w:rPr>
          <w:spacing w:val="1"/>
        </w:rPr>
        <w:t> </w:t>
      </w:r>
      <w:r>
        <w:rPr/>
        <w:t>2015). It</w:t>
      </w:r>
      <w:r>
        <w:rPr>
          <w:spacing w:val="1"/>
        </w:rPr>
        <w:t> </w:t>
      </w:r>
      <w:r>
        <w:rPr/>
        <w:t>is believed that grazing by herbivorous invertebrates begins the process of producing</w:t>
      </w:r>
      <w:r>
        <w:rPr>
          <w:spacing w:val="1"/>
        </w:rPr>
        <w:t> </w:t>
      </w:r>
      <w:r>
        <w:rPr/>
        <w:t>porphyrins from these tetrapyrroles (Junium et al., 2008). This is supported by the isolation of</w:t>
      </w:r>
      <w:r>
        <w:rPr>
          <w:spacing w:val="1"/>
        </w:rPr>
        <w:t> </w:t>
      </w:r>
      <w:r>
        <w:rPr/>
        <w:t>porphyrins from fecal pellets of benthic macroinvertebrates (Goericke et al., 2000). The BiCAP</w:t>
      </w:r>
      <w:r>
        <w:rPr>
          <w:spacing w:val="1"/>
        </w:rPr>
        <w:t> </w:t>
      </w:r>
      <w:r>
        <w:rPr/>
        <w:t>structure is produced from the cyclization of the C-17 propionic acid substituent (Chicarelli et</w:t>
      </w:r>
      <w:r>
        <w:rPr>
          <w:spacing w:val="1"/>
        </w:rPr>
        <w:t> </w:t>
      </w:r>
      <w:r>
        <w:rPr/>
        <w:t>al., 1984; Junium et al., 2008). The DPEP is produced </w:t>
      </w:r>
      <w:r>
        <w:rPr>
          <w:color w:val="0E0F1A"/>
        </w:rPr>
        <w:t>by chlorophyll losing the Mg, phytol, and</w:t>
      </w:r>
      <w:r>
        <w:rPr>
          <w:color w:val="0E0F1A"/>
          <w:spacing w:val="1"/>
        </w:rPr>
        <w:t> </w:t>
      </w:r>
      <w:r>
        <w:rPr>
          <w:color w:val="0E0F1A"/>
        </w:rPr>
        <w:t>the carbomethoxy moiety; it then undergoes keto reduction/dehydration/reduction; and is</w:t>
      </w:r>
      <w:r>
        <w:rPr>
          <w:color w:val="0E0F1A"/>
          <w:spacing w:val="1"/>
        </w:rPr>
        <w:t> </w:t>
      </w:r>
      <w:r>
        <w:rPr>
          <w:color w:val="0E0F1A"/>
        </w:rPr>
        <w:t>finally decarboxylated resulting in DPEP </w:t>
      </w:r>
      <w:r>
        <w:rPr/>
        <w:t>(Louda et al., 2000, 2011; Fulton et al., 2018)</w:t>
      </w:r>
      <w:r>
        <w:rPr>
          <w:color w:val="0E0F1A"/>
        </w:rPr>
        <w:t>. The </w:t>
      </w:r>
      <w:r>
        <w:rPr/>
        <w:t>ETIO</w:t>
      </w:r>
      <w:r>
        <w:rPr>
          <w:spacing w:val="1"/>
        </w:rPr>
        <w:t> </w:t>
      </w:r>
      <w:r>
        <w:rPr/>
        <w:t>is then produced by the oxidative cleavage of the isocyclic ring in immature sediments (Baker</w:t>
      </w:r>
      <w:r>
        <w:rPr>
          <w:spacing w:val="1"/>
        </w:rPr>
        <w:t> </w:t>
      </w:r>
      <w:r>
        <w:rPr/>
        <w:t>and Louda, 1983; Barwise and Roberts, 1984; Louda et al., 2011). It has been established that</w:t>
      </w:r>
      <w:r>
        <w:rPr>
          <w:spacing w:val="1"/>
        </w:rPr>
        <w:t> </w:t>
      </w:r>
      <w:r>
        <w:rPr/>
        <w:t>DPEP thermally degrades to ETIO allowing DPEP and ETIO to be used as a maturity parameter</w:t>
      </w:r>
      <w:r>
        <w:rPr>
          <w:spacing w:val="1"/>
        </w:rPr>
        <w:t> </w:t>
      </w:r>
      <w:r>
        <w:rPr/>
        <w:t>for the hydrocarbons present in the sediment (Barwise and Roberts, 1984; Huseby et al., 1996;</w:t>
      </w:r>
      <w:r>
        <w:rPr>
          <w:spacing w:val="1"/>
        </w:rPr>
        <w:t> </w:t>
      </w:r>
      <w:r>
        <w:rPr/>
        <w:t>Louda</w:t>
      </w:r>
      <w:r>
        <w:rPr>
          <w:spacing w:val="-4"/>
        </w:rPr>
        <w:t> </w:t>
      </w:r>
      <w:r>
        <w:rPr/>
        <w:t>et</w:t>
      </w:r>
      <w:r>
        <w:rPr>
          <w:spacing w:val="-1"/>
        </w:rPr>
        <w:t> </w:t>
      </w:r>
      <w:r>
        <w:rPr/>
        <w:t>al.,</w:t>
      </w:r>
      <w:r>
        <w:rPr>
          <w:spacing w:val="-4"/>
        </w:rPr>
        <w:t> </w:t>
      </w:r>
      <w:r>
        <w:rPr/>
        <w:t>2000,</w:t>
      </w:r>
      <w:r>
        <w:rPr>
          <w:spacing w:val="-3"/>
        </w:rPr>
        <w:t> </w:t>
      </w:r>
      <w:r>
        <w:rPr/>
        <w:t>2011;</w:t>
      </w:r>
      <w:r>
        <w:rPr>
          <w:spacing w:val="-3"/>
        </w:rPr>
        <w:t> </w:t>
      </w:r>
      <w:r>
        <w:rPr/>
        <w:t>Marín</w:t>
      </w:r>
      <w:r>
        <w:rPr>
          <w:spacing w:val="-2"/>
        </w:rPr>
        <w:t> </w:t>
      </w:r>
      <w:r>
        <w:rPr/>
        <w:t>et</w:t>
      </w:r>
      <w:r>
        <w:rPr>
          <w:spacing w:val="-3"/>
        </w:rPr>
        <w:t> </w:t>
      </w:r>
      <w:r>
        <w:rPr/>
        <w:t>al.,</w:t>
      </w:r>
      <w:r>
        <w:rPr>
          <w:spacing w:val="-1"/>
        </w:rPr>
        <w:t> </w:t>
      </w:r>
      <w:r>
        <w:rPr/>
        <w:t>2014).</w:t>
      </w:r>
      <w:r>
        <w:rPr>
          <w:spacing w:val="-3"/>
        </w:rPr>
        <w:t> </w:t>
      </w:r>
      <w:r>
        <w:rPr/>
        <w:t>These</w:t>
      </w:r>
      <w:r>
        <w:rPr>
          <w:spacing w:val="-1"/>
        </w:rPr>
        <w:t> </w:t>
      </w:r>
      <w:r>
        <w:rPr/>
        <w:t>porphyrins</w:t>
      </w:r>
      <w:r>
        <w:rPr>
          <w:spacing w:val="1"/>
        </w:rPr>
        <w:t> </w:t>
      </w:r>
      <w:r>
        <w:rPr/>
        <w:t>also</w:t>
      </w:r>
      <w:r>
        <w:rPr>
          <w:spacing w:val="-3"/>
        </w:rPr>
        <w:t> </w:t>
      </w:r>
      <w:r>
        <w:rPr/>
        <w:t>produce</w:t>
      </w:r>
      <w:r>
        <w:rPr>
          <w:spacing w:val="-1"/>
        </w:rPr>
        <w:t> </w:t>
      </w:r>
      <w:r>
        <w:rPr/>
        <w:t>metallic</w:t>
      </w:r>
      <w:r>
        <w:rPr>
          <w:spacing w:val="-2"/>
        </w:rPr>
        <w:t> </w:t>
      </w:r>
      <w:r>
        <w:rPr/>
        <w:t>complexes;</w:t>
      </w:r>
      <w:r>
        <w:rPr>
          <w:spacing w:val="-51"/>
        </w:rPr>
        <w:t> </w:t>
      </w:r>
      <w:r>
        <w:rPr/>
        <w:t>in this study, vanadyl (VO</w:t>
      </w:r>
      <w:r>
        <w:rPr>
          <w:vertAlign w:val="superscript"/>
        </w:rPr>
        <w:t>2+</w:t>
      </w:r>
      <w:r>
        <w:rPr>
          <w:vertAlign w:val="baseline"/>
        </w:rPr>
        <w:t>) and nickel (Ni</w:t>
      </w:r>
      <w:r>
        <w:rPr>
          <w:vertAlign w:val="superscript"/>
        </w:rPr>
        <w:t>2+</w:t>
      </w:r>
      <w:r>
        <w:rPr>
          <w:vertAlign w:val="baseline"/>
        </w:rPr>
        <w:t>) were observed. These metalloporphyrins are</w:t>
      </w:r>
      <w:r>
        <w:rPr>
          <w:spacing w:val="1"/>
          <w:vertAlign w:val="baseline"/>
        </w:rPr>
        <w:t> </w:t>
      </w:r>
      <w:r>
        <w:rPr>
          <w:vertAlign w:val="baseline"/>
        </w:rPr>
        <w:t>produced diagenetically after sedimentation but show promise for providing information about</w:t>
      </w:r>
      <w:r>
        <w:rPr>
          <w:spacing w:val="-52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redox</w:t>
      </w:r>
      <w:r>
        <w:rPr>
          <w:spacing w:val="-2"/>
          <w:vertAlign w:val="baseline"/>
        </w:rPr>
        <w:t> </w:t>
      </w:r>
      <w:r>
        <w:rPr>
          <w:vertAlign w:val="baseline"/>
        </w:rPr>
        <w:t>state</w:t>
      </w:r>
      <w:r>
        <w:rPr>
          <w:spacing w:val="-2"/>
          <w:vertAlign w:val="baseline"/>
        </w:rPr>
        <w:t> </w:t>
      </w:r>
      <w:r>
        <w:rPr>
          <w:vertAlign w:val="baseline"/>
        </w:rPr>
        <w:t>of</w:t>
      </w:r>
      <w:r>
        <w:rPr>
          <w:spacing w:val="-3"/>
          <w:vertAlign w:val="baseline"/>
        </w:rPr>
        <w:t> </w:t>
      </w:r>
      <w:r>
        <w:rPr>
          <w:vertAlign w:val="baseline"/>
        </w:rPr>
        <w:t>the</w:t>
      </w:r>
      <w:r>
        <w:rPr>
          <w:spacing w:val="-2"/>
          <w:vertAlign w:val="baseline"/>
        </w:rPr>
        <w:t> </w:t>
      </w:r>
      <w:r>
        <w:rPr>
          <w:vertAlign w:val="baseline"/>
        </w:rPr>
        <w:t>environment</w:t>
      </w:r>
      <w:r>
        <w:rPr>
          <w:spacing w:val="-2"/>
          <w:vertAlign w:val="baseline"/>
        </w:rPr>
        <w:t> </w:t>
      </w:r>
      <w:r>
        <w:rPr>
          <w:vertAlign w:val="baseline"/>
        </w:rPr>
        <w:t>of</w:t>
      </w:r>
      <w:r>
        <w:rPr>
          <w:spacing w:val="-3"/>
          <w:vertAlign w:val="baseline"/>
        </w:rPr>
        <w:t> </w:t>
      </w:r>
      <w:r>
        <w:rPr>
          <w:vertAlign w:val="baseline"/>
        </w:rPr>
        <w:t>deposition</w:t>
      </w:r>
      <w:r>
        <w:rPr>
          <w:spacing w:val="-3"/>
          <w:vertAlign w:val="baseline"/>
        </w:rPr>
        <w:t> </w:t>
      </w:r>
      <w:r>
        <w:rPr>
          <w:vertAlign w:val="baseline"/>
        </w:rPr>
        <w:t>(Lewan</w:t>
      </w:r>
      <w:r>
        <w:rPr>
          <w:spacing w:val="2"/>
          <w:vertAlign w:val="baseline"/>
        </w:rPr>
        <w:t> </w:t>
      </w:r>
      <w:r>
        <w:rPr>
          <w:vertAlign w:val="baseline"/>
        </w:rPr>
        <w:t>and</w:t>
      </w:r>
      <w:r>
        <w:rPr>
          <w:spacing w:val="-2"/>
          <w:vertAlign w:val="baseline"/>
        </w:rPr>
        <w:t> </w:t>
      </w:r>
      <w:r>
        <w:rPr>
          <w:vertAlign w:val="baseline"/>
        </w:rPr>
        <w:t>Maynard,</w:t>
      </w:r>
      <w:r>
        <w:rPr>
          <w:spacing w:val="-4"/>
          <w:vertAlign w:val="baseline"/>
        </w:rPr>
        <w:t> </w:t>
      </w:r>
      <w:r>
        <w:rPr>
          <w:vertAlign w:val="baseline"/>
        </w:rPr>
        <w:t>1982;</w:t>
      </w:r>
      <w:r>
        <w:rPr>
          <w:spacing w:val="2"/>
          <w:vertAlign w:val="baseline"/>
        </w:rPr>
        <w:t> </w:t>
      </w:r>
      <w:r>
        <w:rPr>
          <w:vertAlign w:val="baseline"/>
        </w:rPr>
        <w:t>Lewan,</w:t>
      </w:r>
      <w:r>
        <w:rPr>
          <w:spacing w:val="1"/>
          <w:vertAlign w:val="baseline"/>
        </w:rPr>
        <w:t> </w:t>
      </w:r>
      <w:r>
        <w:rPr>
          <w:vertAlign w:val="baseline"/>
        </w:rPr>
        <w:t>1984).</w:t>
      </w:r>
    </w:p>
    <w:p>
      <w:pPr>
        <w:spacing w:after="0" w:line="480" w:lineRule="auto"/>
        <w:sectPr>
          <w:pgSz w:w="12240" w:h="15840"/>
          <w:pgMar w:header="0" w:footer="1014" w:top="1400" w:bottom="1200" w:left="1320" w:right="820"/>
        </w:sectPr>
      </w:pPr>
    </w:p>
    <w:p>
      <w:pPr>
        <w:pStyle w:val="BodyText"/>
        <w:spacing w:line="480" w:lineRule="auto" w:before="39"/>
        <w:ind w:left="120" w:right="689" w:firstLine="706"/>
      </w:pPr>
      <w:r>
        <w:rPr/>
        <w:t>Thermal maturity parameters are important when determining the amount of</w:t>
      </w:r>
      <w:r>
        <w:rPr>
          <w:spacing w:val="1"/>
        </w:rPr>
        <w:t> </w:t>
      </w:r>
      <w:r>
        <w:rPr/>
        <w:t>diagenesis that has occurred in a system. It is also crucial to know what type and the quality of</w:t>
      </w:r>
      <w:r>
        <w:rPr>
          <w:spacing w:val="1"/>
        </w:rPr>
        <w:t> </w:t>
      </w:r>
      <w:r>
        <w:rPr/>
        <w:t>hydrocarbons that will be produced. Using the porphyrins DPEP and ETIO, the thermal maturity</w:t>
      </w:r>
      <w:r>
        <w:rPr>
          <w:spacing w:val="-52"/>
        </w:rPr>
        <w:t> </w:t>
      </w:r>
      <w:r>
        <w:rPr/>
        <w:t>can be determined by the ratio of porphyrins. The DPEP/ETIO ratio will decrease along with the</w:t>
      </w:r>
      <w:r>
        <w:rPr>
          <w:spacing w:val="-52"/>
        </w:rPr>
        <w:t> </w:t>
      </w:r>
      <w:r>
        <w:rPr/>
        <w:t>decrease in the average molecular weight of porphyrins with increasing thermal maturity</w:t>
      </w:r>
      <w:r>
        <w:rPr>
          <w:spacing w:val="1"/>
        </w:rPr>
        <w:t> </w:t>
      </w:r>
      <w:r>
        <w:rPr/>
        <w:t>(Huseby et al., 1996; Grosjean et al., 2004; Marín et al., 2014). Figure 27 shows that the</w:t>
      </w:r>
      <w:r>
        <w:rPr>
          <w:spacing w:val="1"/>
        </w:rPr>
        <w:t> </w:t>
      </w:r>
      <w:r>
        <w:rPr/>
        <w:t>DPEP/ETIO ratio is highly variable in the Lower and Middle Woodford Shale. The ratio severely</w:t>
      </w:r>
      <w:r>
        <w:rPr>
          <w:spacing w:val="1"/>
        </w:rPr>
        <w:t> </w:t>
      </w:r>
      <w:r>
        <w:rPr/>
        <w:t>decreases between 149.25ft and 133.5ft, corresponding to the decrease in carotenoid</w:t>
      </w:r>
      <w:r>
        <w:rPr>
          <w:spacing w:val="1"/>
        </w:rPr>
        <w:t> </w:t>
      </w:r>
      <w:r>
        <w:rPr/>
        <w:t>concentration from its peak and a transgression beginning. The ratio then increases again and</w:t>
      </w:r>
      <w:r>
        <w:rPr>
          <w:spacing w:val="1"/>
        </w:rPr>
        <w:t> </w:t>
      </w:r>
      <w:r>
        <w:rPr/>
        <w:t>becomes variable before decreasing again in the Upper Woodford Shale. In general, the ratio</w:t>
      </w:r>
      <w:r>
        <w:rPr>
          <w:spacing w:val="1"/>
        </w:rPr>
        <w:t> </w:t>
      </w:r>
      <w:r>
        <w:rPr/>
        <w:t>decreases from the Lower to the Upper Woodford Shale, which would indicate that the Upper</w:t>
      </w:r>
      <w:r>
        <w:rPr>
          <w:spacing w:val="1"/>
        </w:rPr>
        <w:t> </w:t>
      </w:r>
      <w:r>
        <w:rPr/>
        <w:t>Woodford Shale is more thermally mature than the Lower Woodford Shale. If this ratio</w:t>
      </w:r>
      <w:r>
        <w:rPr>
          <w:spacing w:val="1"/>
        </w:rPr>
        <w:t> </w:t>
      </w:r>
      <w:r>
        <w:rPr/>
        <w:t>indicates thermal maturity for these samples, then there was also an increase in thermal</w:t>
      </w:r>
      <w:r>
        <w:rPr>
          <w:spacing w:val="1"/>
        </w:rPr>
        <w:t> </w:t>
      </w:r>
      <w:r>
        <w:rPr/>
        <w:t>maturity during the sustained PZE. Connock et al. (2018) found the thermal maturity of the</w:t>
      </w:r>
      <w:r>
        <w:rPr>
          <w:spacing w:val="1"/>
        </w:rPr>
        <w:t> </w:t>
      </w:r>
      <w:r>
        <w:rPr>
          <w:position w:val="2"/>
        </w:rPr>
        <w:t>Woodford Shale in the Wyche-1 core to be thermally immature with T</w:t>
      </w:r>
      <w:r>
        <w:rPr>
          <w:sz w:val="16"/>
        </w:rPr>
        <w:t>max</w:t>
      </w:r>
      <w:r>
        <w:rPr>
          <w:spacing w:val="1"/>
          <w:sz w:val="16"/>
        </w:rPr>
        <w:t> </w:t>
      </w:r>
      <w:r>
        <w:rPr>
          <w:position w:val="2"/>
        </w:rPr>
        <w:t>values ranging from</w:t>
      </w:r>
      <w:r>
        <w:rPr>
          <w:spacing w:val="1"/>
          <w:position w:val="2"/>
        </w:rPr>
        <w:t> </w:t>
      </w:r>
      <w:r>
        <w:rPr/>
        <w:t>410°C-428°C. It also shows a trend of becoming more thermally mature from the Lower</w:t>
      </w:r>
      <w:r>
        <w:rPr>
          <w:spacing w:val="1"/>
        </w:rPr>
        <w:t> </w:t>
      </w:r>
      <w:r>
        <w:rPr/>
        <w:t>Woodford Shale to the Upper Woodford Shale. Combining these previous findings with the</w:t>
      </w:r>
      <w:r>
        <w:rPr>
          <w:spacing w:val="1"/>
        </w:rPr>
        <w:t> </w:t>
      </w:r>
      <w:r>
        <w:rPr/>
        <w:t>DPEP/ETIO</w:t>
      </w:r>
      <w:r>
        <w:rPr>
          <w:spacing w:val="-3"/>
        </w:rPr>
        <w:t> </w:t>
      </w:r>
      <w:r>
        <w:rPr/>
        <w:t>ratio</w:t>
      </w:r>
      <w:r>
        <w:rPr>
          <w:spacing w:val="-3"/>
        </w:rPr>
        <w:t> </w:t>
      </w:r>
      <w:r>
        <w:rPr/>
        <w:t>observed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this</w:t>
      </w:r>
      <w:r>
        <w:rPr>
          <w:spacing w:val="-2"/>
        </w:rPr>
        <w:t> </w:t>
      </w:r>
      <w:r>
        <w:rPr/>
        <w:t>study</w:t>
      </w:r>
      <w:r>
        <w:rPr>
          <w:spacing w:val="-4"/>
        </w:rPr>
        <w:t> </w:t>
      </w:r>
      <w:r>
        <w:rPr/>
        <w:t>shows</w:t>
      </w:r>
      <w:r>
        <w:rPr>
          <w:spacing w:val="-2"/>
        </w:rPr>
        <w:t> </w:t>
      </w:r>
      <w:r>
        <w:rPr/>
        <w:t>a general</w:t>
      </w:r>
      <w:r>
        <w:rPr>
          <w:spacing w:val="-4"/>
        </w:rPr>
        <w:t> </w:t>
      </w:r>
      <w:r>
        <w:rPr/>
        <w:t>trend</w:t>
      </w:r>
      <w:r>
        <w:rPr>
          <w:spacing w:val="-3"/>
        </w:rPr>
        <w:t> </w:t>
      </w:r>
      <w:r>
        <w:rPr/>
        <w:t>towards</w:t>
      </w:r>
      <w:r>
        <w:rPr>
          <w:spacing w:val="-3"/>
        </w:rPr>
        <w:t> </w:t>
      </w:r>
      <w:r>
        <w:rPr/>
        <w:t>being</w:t>
      </w:r>
      <w:r>
        <w:rPr>
          <w:spacing w:val="1"/>
        </w:rPr>
        <w:t> </w:t>
      </w:r>
      <w:r>
        <w:rPr/>
        <w:t>more</w:t>
      </w:r>
      <w:r>
        <w:rPr>
          <w:spacing w:val="-3"/>
        </w:rPr>
        <w:t> </w:t>
      </w:r>
      <w:r>
        <w:rPr/>
        <w:t>mature</w:t>
      </w:r>
      <w:r>
        <w:rPr>
          <w:spacing w:val="-3"/>
        </w:rPr>
        <w:t> </w:t>
      </w:r>
      <w:r>
        <w:rPr/>
        <w:t>from</w:t>
      </w:r>
      <w:r>
        <w:rPr>
          <w:spacing w:val="-51"/>
        </w:rPr>
        <w:t> </w:t>
      </w:r>
      <w:r>
        <w:rPr/>
        <w:t>the Lower to the Upper Woodford Shale. Connock et al. (2018) did observe an increase in</w:t>
      </w:r>
      <w:r>
        <w:rPr>
          <w:spacing w:val="1"/>
        </w:rPr>
        <w:t> </w:t>
      </w:r>
      <w:r>
        <w:rPr/>
        <w:t>maturity between 149.25ft and 133.5ft, although not as significant as is seen in the DPEP/ETIO</w:t>
      </w:r>
      <w:r>
        <w:rPr>
          <w:spacing w:val="1"/>
        </w:rPr>
        <w:t> </w:t>
      </w:r>
      <w:r>
        <w:rPr/>
        <w:t>ratio. This could be due to the limited samples that were taken between these depths making</w:t>
      </w:r>
      <w:r>
        <w:rPr>
          <w:spacing w:val="1"/>
        </w:rPr>
        <w:t> </w:t>
      </w:r>
      <w:r>
        <w:rPr/>
        <w:t>the</w:t>
      </w:r>
      <w:r>
        <w:rPr>
          <w:spacing w:val="-3"/>
        </w:rPr>
        <w:t> </w:t>
      </w:r>
      <w:r>
        <w:rPr/>
        <w:t>changes</w:t>
      </w:r>
      <w:r>
        <w:rPr>
          <w:spacing w:val="-3"/>
        </w:rPr>
        <w:t> </w:t>
      </w:r>
      <w:r>
        <w:rPr/>
        <w:t>less</w:t>
      </w:r>
      <w:r>
        <w:rPr>
          <w:spacing w:val="-1"/>
        </w:rPr>
        <w:t> </w:t>
      </w:r>
      <w:r>
        <w:rPr/>
        <w:t>obvious.</w:t>
      </w:r>
      <w:r>
        <w:rPr>
          <w:spacing w:val="-2"/>
        </w:rPr>
        <w:t> </w:t>
      </w:r>
      <w:r>
        <w:rPr/>
        <w:t>Between</w:t>
      </w:r>
      <w:r>
        <w:rPr>
          <w:spacing w:val="-1"/>
        </w:rPr>
        <w:t> </w:t>
      </w:r>
      <w:r>
        <w:rPr/>
        <w:t>these</w:t>
      </w:r>
      <w:r>
        <w:rPr>
          <w:spacing w:val="-1"/>
        </w:rPr>
        <w:t> </w:t>
      </w:r>
      <w:r>
        <w:rPr/>
        <w:t>depths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onset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2"/>
        </w:rPr>
        <w:t> </w:t>
      </w:r>
      <w:r>
        <w:rPr/>
        <w:t>continuous PZE,</w:t>
      </w:r>
      <w:r>
        <w:rPr>
          <w:spacing w:val="-4"/>
        </w:rPr>
        <w:t> </w:t>
      </w:r>
      <w:r>
        <w:rPr/>
        <w:t>which</w:t>
      </w:r>
    </w:p>
    <w:p>
      <w:pPr>
        <w:spacing w:after="0" w:line="480" w:lineRule="auto"/>
        <w:sectPr>
          <w:footerReference w:type="default" r:id="rId51"/>
          <w:pgSz w:w="12240" w:h="15840"/>
          <w:pgMar w:footer="1014" w:header="0" w:top="1400" w:bottom="1200" w:left="1320" w:right="820"/>
        </w:sectPr>
      </w:pPr>
    </w:p>
    <w:p>
      <w:pPr>
        <w:pStyle w:val="BodyText"/>
        <w:spacing w:line="480" w:lineRule="auto" w:before="39"/>
        <w:ind w:left="120" w:right="644"/>
      </w:pPr>
      <w:r>
        <w:rPr/>
        <w:t>would have resulted in increased preservation potential of organic matter. With enhanced OM</w:t>
      </w:r>
      <w:r>
        <w:rPr>
          <w:spacing w:val="1"/>
        </w:rPr>
        <w:t> </w:t>
      </w:r>
      <w:r>
        <w:rPr/>
        <w:t>preservation,</w:t>
      </w:r>
      <w:r>
        <w:rPr>
          <w:spacing w:val="-5"/>
        </w:rPr>
        <w:t> </w:t>
      </w:r>
      <w:r>
        <w:rPr/>
        <w:t>we</w:t>
      </w:r>
      <w:r>
        <w:rPr>
          <w:spacing w:val="-3"/>
        </w:rPr>
        <w:t> </w:t>
      </w:r>
      <w:r>
        <w:rPr/>
        <w:t>would</w:t>
      </w:r>
      <w:r>
        <w:rPr>
          <w:spacing w:val="-2"/>
        </w:rPr>
        <w:t> </w:t>
      </w:r>
      <w:r>
        <w:rPr/>
        <w:t>expect</w:t>
      </w:r>
      <w:r>
        <w:rPr>
          <w:spacing w:val="-3"/>
        </w:rPr>
        <w:t> </w:t>
      </w:r>
      <w:r>
        <w:rPr/>
        <w:t>to</w:t>
      </w:r>
      <w:r>
        <w:rPr>
          <w:spacing w:val="1"/>
        </w:rPr>
        <w:t> </w:t>
      </w:r>
      <w:r>
        <w:rPr/>
        <w:t>see</w:t>
      </w:r>
      <w:r>
        <w:rPr>
          <w:spacing w:val="1"/>
        </w:rPr>
        <w:t> </w:t>
      </w:r>
      <w:r>
        <w:rPr/>
        <w:t>less</w:t>
      </w:r>
      <w:r>
        <w:rPr>
          <w:spacing w:val="-5"/>
        </w:rPr>
        <w:t> </w:t>
      </w:r>
      <w:r>
        <w:rPr/>
        <w:t>DPEP</w:t>
      </w:r>
      <w:r>
        <w:rPr>
          <w:spacing w:val="-3"/>
        </w:rPr>
        <w:t> </w:t>
      </w:r>
      <w:r>
        <w:rPr/>
        <w:t>being</w:t>
      </w:r>
      <w:r>
        <w:rPr>
          <w:spacing w:val="-3"/>
        </w:rPr>
        <w:t> </w:t>
      </w:r>
      <w:r>
        <w:rPr/>
        <w:t>degraded</w:t>
      </w:r>
      <w:r>
        <w:rPr>
          <w:spacing w:val="2"/>
        </w:rPr>
        <w:t> </w:t>
      </w:r>
      <w:r>
        <w:rPr/>
        <w:t>to</w:t>
      </w:r>
      <w:r>
        <w:rPr>
          <w:spacing w:val="-2"/>
        </w:rPr>
        <w:t> </w:t>
      </w:r>
      <w:r>
        <w:rPr/>
        <w:t>ETIO,</w:t>
      </w:r>
      <w:r>
        <w:rPr>
          <w:spacing w:val="-3"/>
        </w:rPr>
        <w:t> </w:t>
      </w:r>
      <w:r>
        <w:rPr/>
        <w:t>but</w:t>
      </w:r>
      <w:r>
        <w:rPr>
          <w:spacing w:val="-2"/>
        </w:rPr>
        <w:t> </w:t>
      </w:r>
      <w:r>
        <w:rPr/>
        <w:t>instead,</w:t>
      </w:r>
      <w:r>
        <w:rPr>
          <w:spacing w:val="-3"/>
        </w:rPr>
        <w:t> </w:t>
      </w:r>
      <w:r>
        <w:rPr/>
        <w:t>there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an</w:t>
      </w:r>
      <w:r>
        <w:rPr>
          <w:spacing w:val="-51"/>
        </w:rPr>
        <w:t> </w:t>
      </w:r>
      <w:r>
        <w:rPr/>
        <w:t>increase in the concentration of ETIO relative to DPEP. This could be caused by a preferential</w:t>
      </w:r>
      <w:r>
        <w:rPr>
          <w:spacing w:val="1"/>
        </w:rPr>
        <w:t> </w:t>
      </w:r>
      <w:r>
        <w:rPr/>
        <w:t>degradation of DPEPs between these depths. Since the Woodford Shale is relatively shallowly</w:t>
      </w:r>
      <w:r>
        <w:rPr>
          <w:spacing w:val="1"/>
        </w:rPr>
        <w:t> </w:t>
      </w:r>
      <w:r>
        <w:rPr/>
        <w:t>buried,</w:t>
      </w:r>
      <w:r>
        <w:rPr>
          <w:spacing w:val="-1"/>
        </w:rPr>
        <w:t> </w:t>
      </w:r>
      <w:r>
        <w:rPr/>
        <w:t>the thermal</w:t>
      </w:r>
      <w:r>
        <w:rPr>
          <w:spacing w:val="-1"/>
        </w:rPr>
        <w:t> </w:t>
      </w:r>
      <w:r>
        <w:rPr/>
        <w:t>maturity</w:t>
      </w:r>
      <w:r>
        <w:rPr>
          <w:spacing w:val="3"/>
        </w:rPr>
        <w:t> </w:t>
      </w:r>
      <w:r>
        <w:rPr/>
        <w:t>is</w:t>
      </w:r>
      <w:r>
        <w:rPr>
          <w:spacing w:val="-1"/>
        </w:rPr>
        <w:t> </w:t>
      </w:r>
      <w:r>
        <w:rPr/>
        <w:t>inconsequential. Since</w:t>
      </w:r>
      <w:r>
        <w:rPr>
          <w:spacing w:val="1"/>
        </w:rPr>
        <w:t> </w:t>
      </w:r>
      <w:r>
        <w:rPr/>
        <w:t>the entire</w:t>
      </w:r>
      <w:r>
        <w:rPr>
          <w:spacing w:val="1"/>
        </w:rPr>
        <w:t> </w:t>
      </w:r>
      <w:r>
        <w:rPr/>
        <w:t>core</w:t>
      </w:r>
      <w:r>
        <w:rPr>
          <w:spacing w:val="1"/>
        </w:rPr>
        <w:t> </w:t>
      </w:r>
      <w:r>
        <w:rPr/>
        <w:t>is</w:t>
      </w:r>
      <w:r>
        <w:rPr>
          <w:spacing w:val="-2"/>
        </w:rPr>
        <w:t> </w:t>
      </w:r>
      <w:r>
        <w:rPr/>
        <w:t>thermally</w:t>
      </w:r>
      <w:r>
        <w:rPr>
          <w:spacing w:val="1"/>
        </w:rPr>
        <w:t> </w:t>
      </w:r>
      <w:r>
        <w:rPr/>
        <w:t>immature,</w:t>
      </w:r>
      <w:r>
        <w:rPr>
          <w:spacing w:val="1"/>
        </w:rPr>
        <w:t> </w:t>
      </w:r>
      <w:r>
        <w:rPr/>
        <w:t>the</w:t>
      </w:r>
      <w:r>
        <w:rPr>
          <w:spacing w:val="-3"/>
        </w:rPr>
        <w:t> </w:t>
      </w:r>
      <w:r>
        <w:rPr/>
        <w:t>minor</w:t>
      </w:r>
      <w:r>
        <w:rPr>
          <w:spacing w:val="-2"/>
        </w:rPr>
        <w:t> </w:t>
      </w:r>
      <w:r>
        <w:rPr/>
        <w:t>deviations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perceived</w:t>
      </w:r>
      <w:r>
        <w:rPr>
          <w:spacing w:val="-3"/>
        </w:rPr>
        <w:t> </w:t>
      </w:r>
      <w:r>
        <w:rPr/>
        <w:t>maturity</w:t>
      </w:r>
      <w:r>
        <w:rPr>
          <w:spacing w:val="-2"/>
        </w:rPr>
        <w:t> </w:t>
      </w:r>
      <w:r>
        <w:rPr/>
        <w:t>matter</w:t>
      </w:r>
      <w:r>
        <w:rPr>
          <w:spacing w:val="-1"/>
        </w:rPr>
        <w:t> </w:t>
      </w:r>
      <w:r>
        <w:rPr/>
        <w:t>less.</w:t>
      </w:r>
      <w:r>
        <w:rPr>
          <w:spacing w:val="-2"/>
        </w:rPr>
        <w:t> </w:t>
      </w:r>
      <w:r>
        <w:rPr/>
        <w:t>It</w:t>
      </w:r>
      <w:r>
        <w:rPr>
          <w:spacing w:val="-3"/>
        </w:rPr>
        <w:t> </w:t>
      </w:r>
      <w:r>
        <w:rPr/>
        <w:t>is</w:t>
      </w:r>
      <w:r>
        <w:rPr>
          <w:spacing w:val="-2"/>
        </w:rPr>
        <w:t> </w:t>
      </w:r>
      <w:r>
        <w:rPr/>
        <w:t>promising</w:t>
      </w:r>
      <w:r>
        <w:rPr>
          <w:spacing w:val="-4"/>
        </w:rPr>
        <w:t> </w:t>
      </w:r>
      <w:r>
        <w:rPr/>
        <w:t>that</w:t>
      </w:r>
      <w:r>
        <w:rPr>
          <w:spacing w:val="2"/>
        </w:rPr>
        <w:t> </w:t>
      </w:r>
      <w:r>
        <w:rPr/>
        <w:t>the</w:t>
      </w:r>
      <w:r>
        <w:rPr>
          <w:spacing w:val="-2"/>
        </w:rPr>
        <w:t> </w:t>
      </w:r>
      <w:r>
        <w:rPr/>
        <w:t>previously</w:t>
      </w:r>
      <w:r>
        <w:rPr>
          <w:spacing w:val="-3"/>
        </w:rPr>
        <w:t> </w:t>
      </w:r>
      <w:r>
        <w:rPr/>
        <w:t>found</w:t>
      </w:r>
      <w:r>
        <w:rPr>
          <w:spacing w:val="-52"/>
        </w:rPr>
        <w:t> </w:t>
      </w:r>
      <w:r>
        <w:rPr>
          <w:position w:val="2"/>
        </w:rPr>
        <w:t>T</w:t>
      </w:r>
      <w:r>
        <w:rPr>
          <w:sz w:val="16"/>
        </w:rPr>
        <w:t>max </w:t>
      </w:r>
      <w:r>
        <w:rPr>
          <w:position w:val="2"/>
        </w:rPr>
        <w:t>trend supports the DPEP/ETIO ratio trend. This shows that this ratio can also be used to</w:t>
      </w:r>
      <w:r>
        <w:rPr>
          <w:spacing w:val="1"/>
          <w:position w:val="2"/>
        </w:rPr>
        <w:t> </w:t>
      </w:r>
      <w:r>
        <w:rPr/>
        <w:t>determine</w:t>
      </w:r>
      <w:r>
        <w:rPr>
          <w:spacing w:val="-3"/>
        </w:rPr>
        <w:t> </w:t>
      </w:r>
      <w:r>
        <w:rPr/>
        <w:t>thermal</w:t>
      </w:r>
      <w:r>
        <w:rPr>
          <w:spacing w:val="-3"/>
        </w:rPr>
        <w:t> </w:t>
      </w:r>
      <w:r>
        <w:rPr/>
        <w:t>maturity</w:t>
      </w:r>
      <w:r>
        <w:rPr>
          <w:spacing w:val="-2"/>
        </w:rPr>
        <w:t> </w:t>
      </w:r>
      <w:r>
        <w:rPr/>
        <w:t>information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more</w:t>
      </w:r>
      <w:r>
        <w:rPr>
          <w:spacing w:val="-3"/>
        </w:rPr>
        <w:t> </w:t>
      </w:r>
      <w:r>
        <w:rPr/>
        <w:t>thermally</w:t>
      </w:r>
      <w:r>
        <w:rPr>
          <w:spacing w:val="-1"/>
        </w:rPr>
        <w:t> </w:t>
      </w:r>
      <w:r>
        <w:rPr/>
        <w:t>mature</w:t>
      </w:r>
      <w:r>
        <w:rPr>
          <w:spacing w:val="-1"/>
        </w:rPr>
        <w:t> </w:t>
      </w:r>
      <w:r>
        <w:rPr/>
        <w:t>cores.</w:t>
      </w:r>
    </w:p>
    <w:p>
      <w:pPr>
        <w:pStyle w:val="BodyText"/>
        <w:rPr>
          <w:sz w:val="14"/>
        </w:rPr>
      </w:pPr>
      <w:r>
        <w:rPr/>
        <w:drawing>
          <wp:anchor distT="0" distB="0" distL="0" distR="0" allowOverlap="1" layoutInCell="1" locked="0" behindDoc="0" simplePos="0" relativeHeight="212">
            <wp:simplePos x="0" y="0"/>
            <wp:positionH relativeFrom="page">
              <wp:posOffset>2377439</wp:posOffset>
            </wp:positionH>
            <wp:positionV relativeFrom="paragraph">
              <wp:posOffset>123888</wp:posOffset>
            </wp:positionV>
            <wp:extent cx="2999232" cy="4273296"/>
            <wp:effectExtent l="0" t="0" r="0" b="0"/>
            <wp:wrapTopAndBottom/>
            <wp:docPr id="53" name="image2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27.jpe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9232" cy="4273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179"/>
        <w:ind w:left="120" w:right="660" w:firstLine="0"/>
        <w:jc w:val="left"/>
        <w:rPr>
          <w:sz w:val="22"/>
        </w:rPr>
      </w:pPr>
      <w:r>
        <w:rPr>
          <w:sz w:val="22"/>
        </w:rPr>
        <w:t>Figure 27. Depth profile of the VO/Ni ratio where the total VO porphyrins are divided by the total Ni</w:t>
      </w:r>
      <w:r>
        <w:rPr>
          <w:spacing w:val="1"/>
          <w:sz w:val="22"/>
        </w:rPr>
        <w:t> </w:t>
      </w:r>
      <w:r>
        <w:rPr>
          <w:sz w:val="22"/>
        </w:rPr>
        <w:t>porphyrins.</w:t>
      </w:r>
      <w:r>
        <w:rPr>
          <w:spacing w:val="-1"/>
          <w:sz w:val="22"/>
        </w:rPr>
        <w:t> </w:t>
      </w:r>
      <w:r>
        <w:rPr>
          <w:sz w:val="22"/>
        </w:rPr>
        <w:t>Depth</w:t>
      </w:r>
      <w:r>
        <w:rPr>
          <w:spacing w:val="-1"/>
          <w:sz w:val="22"/>
        </w:rPr>
        <w:t> </w:t>
      </w:r>
      <w:r>
        <w:rPr>
          <w:sz w:val="22"/>
        </w:rPr>
        <w:t>profile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DPEP/ETIO</w:t>
      </w:r>
      <w:r>
        <w:rPr>
          <w:spacing w:val="-1"/>
          <w:sz w:val="22"/>
        </w:rPr>
        <w:t> </w:t>
      </w:r>
      <w:r>
        <w:rPr>
          <w:sz w:val="22"/>
        </w:rPr>
        <w:t>ratio</w:t>
      </w:r>
      <w:r>
        <w:rPr>
          <w:spacing w:val="-3"/>
          <w:sz w:val="22"/>
        </w:rPr>
        <w:t> </w:t>
      </w:r>
      <w:r>
        <w:rPr>
          <w:sz w:val="22"/>
        </w:rPr>
        <w:t>where</w:t>
      </w:r>
      <w:r>
        <w:rPr>
          <w:spacing w:val="-1"/>
          <w:sz w:val="22"/>
        </w:rPr>
        <w:t> </w:t>
      </w:r>
      <w:r>
        <w:rPr>
          <w:sz w:val="22"/>
        </w:rPr>
        <w:t>total</w:t>
      </w:r>
      <w:r>
        <w:rPr>
          <w:spacing w:val="-3"/>
          <w:sz w:val="22"/>
        </w:rPr>
        <w:t> </w:t>
      </w:r>
      <w:r>
        <w:rPr>
          <w:sz w:val="22"/>
        </w:rPr>
        <w:t>DPEP</w:t>
      </w:r>
      <w:r>
        <w:rPr>
          <w:spacing w:val="-3"/>
          <w:sz w:val="22"/>
        </w:rPr>
        <w:t> </w:t>
      </w:r>
      <w:r>
        <w:rPr>
          <w:sz w:val="22"/>
        </w:rPr>
        <w:t>is</w:t>
      </w:r>
      <w:r>
        <w:rPr>
          <w:spacing w:val="-1"/>
          <w:sz w:val="22"/>
        </w:rPr>
        <w:t> </w:t>
      </w:r>
      <w:r>
        <w:rPr>
          <w:sz w:val="22"/>
        </w:rPr>
        <w:t>divided</w:t>
      </w:r>
      <w:r>
        <w:rPr>
          <w:spacing w:val="-3"/>
          <w:sz w:val="22"/>
        </w:rPr>
        <w:t> </w:t>
      </w:r>
      <w:r>
        <w:rPr>
          <w:sz w:val="22"/>
        </w:rPr>
        <w:t>by</w:t>
      </w:r>
      <w:r>
        <w:rPr>
          <w:spacing w:val="-1"/>
          <w:sz w:val="22"/>
        </w:rPr>
        <w:t> </w:t>
      </w:r>
      <w:r>
        <w:rPr>
          <w:sz w:val="22"/>
        </w:rPr>
        <w:t>total</w:t>
      </w:r>
      <w:r>
        <w:rPr>
          <w:spacing w:val="-3"/>
          <w:sz w:val="22"/>
        </w:rPr>
        <w:t> </w:t>
      </w:r>
      <w:r>
        <w:rPr>
          <w:sz w:val="22"/>
        </w:rPr>
        <w:t>ETIO.</w:t>
      </w:r>
      <w:r>
        <w:rPr>
          <w:spacing w:val="-5"/>
          <w:sz w:val="22"/>
        </w:rPr>
        <w:t> </w:t>
      </w:r>
      <w:r>
        <w:rPr>
          <w:sz w:val="22"/>
        </w:rPr>
        <w:t>Depth</w:t>
      </w:r>
      <w:r>
        <w:rPr>
          <w:spacing w:val="-3"/>
          <w:sz w:val="22"/>
        </w:rPr>
        <w:t> </w:t>
      </w:r>
      <w:r>
        <w:rPr>
          <w:sz w:val="22"/>
        </w:rPr>
        <w:t>profile</w:t>
      </w:r>
      <w:r>
        <w:rPr>
          <w:spacing w:val="-47"/>
          <w:sz w:val="22"/>
        </w:rPr>
        <w:t> </w:t>
      </w:r>
      <w:r>
        <w:rPr>
          <w:position w:val="2"/>
          <w:sz w:val="22"/>
        </w:rPr>
        <w:t>of T</w:t>
      </w:r>
      <w:r>
        <w:rPr>
          <w:sz w:val="14"/>
        </w:rPr>
        <w:t>MAX </w:t>
      </w:r>
      <w:r>
        <w:rPr>
          <w:position w:val="2"/>
          <w:sz w:val="22"/>
        </w:rPr>
        <w:t>found by Connock et al. (2018). The trend line on the DPEP/ETIO ratio shows a general decrease</w:t>
      </w:r>
      <w:r>
        <w:rPr>
          <w:spacing w:val="1"/>
          <w:position w:val="2"/>
          <w:sz w:val="22"/>
        </w:rPr>
        <w:t> </w:t>
      </w:r>
      <w:r>
        <w:rPr>
          <w:sz w:val="22"/>
        </w:rPr>
        <w:t>indicating an</w:t>
      </w:r>
      <w:r>
        <w:rPr>
          <w:spacing w:val="-3"/>
          <w:sz w:val="22"/>
        </w:rPr>
        <w:t> </w:t>
      </w:r>
      <w:r>
        <w:rPr>
          <w:sz w:val="22"/>
        </w:rPr>
        <w:t>increase</w:t>
      </w:r>
      <w:r>
        <w:rPr>
          <w:spacing w:val="-2"/>
          <w:sz w:val="22"/>
        </w:rPr>
        <w:t> </w:t>
      </w:r>
      <w:r>
        <w:rPr>
          <w:sz w:val="22"/>
        </w:rPr>
        <w:t>in</w:t>
      </w:r>
      <w:r>
        <w:rPr>
          <w:spacing w:val="-2"/>
          <w:sz w:val="22"/>
        </w:rPr>
        <w:t> </w:t>
      </w:r>
      <w:r>
        <w:rPr>
          <w:sz w:val="22"/>
        </w:rPr>
        <w:t>thermal</w:t>
      </w:r>
      <w:r>
        <w:rPr>
          <w:spacing w:val="-5"/>
          <w:sz w:val="22"/>
        </w:rPr>
        <w:t> </w:t>
      </w:r>
      <w:r>
        <w:rPr>
          <w:sz w:val="22"/>
        </w:rPr>
        <w:t>maturity.</w:t>
      </w:r>
    </w:p>
    <w:p>
      <w:pPr>
        <w:spacing w:after="0" w:line="240" w:lineRule="auto"/>
        <w:jc w:val="left"/>
        <w:rPr>
          <w:sz w:val="22"/>
        </w:rPr>
        <w:sectPr>
          <w:footerReference w:type="default" r:id="rId52"/>
          <w:pgSz w:w="12240" w:h="15840"/>
          <w:pgMar w:footer="1014" w:header="0" w:top="1400" w:bottom="1200" w:left="1320" w:right="820"/>
          <w:pgNumType w:start="1"/>
        </w:sectPr>
      </w:pPr>
    </w:p>
    <w:p>
      <w:pPr>
        <w:pStyle w:val="BodyText"/>
        <w:spacing w:line="480" w:lineRule="auto" w:before="39"/>
        <w:ind w:left="120" w:right="642" w:firstLine="704"/>
      </w:pPr>
      <w:r>
        <w:rPr/>
        <w:t>Metalloporphyrins can be used as an indicator of redox potential in the water column</w:t>
      </w:r>
      <w:r>
        <w:rPr>
          <w:spacing w:val="1"/>
        </w:rPr>
        <w:t> </w:t>
      </w:r>
      <w:r>
        <w:rPr/>
        <w:t>during deposition. The metalloporphyrins are produced during early diagenesis and rely on the</w:t>
      </w:r>
      <w:r>
        <w:rPr>
          <w:spacing w:val="1"/>
        </w:rPr>
        <w:t> </w:t>
      </w:r>
      <w:r>
        <w:rPr/>
        <w:t>availability of metals in the surrounding sediments to produce the metal complexes (Huseby et</w:t>
      </w:r>
      <w:r>
        <w:rPr>
          <w:spacing w:val="1"/>
        </w:rPr>
        <w:t> </w:t>
      </w:r>
      <w:r>
        <w:rPr/>
        <w:t>al., 1996; Junium et al., 2008, 2015). In this study, two metallic complexes were examined,</w:t>
      </w:r>
      <w:r>
        <w:rPr>
          <w:spacing w:val="1"/>
        </w:rPr>
        <w:t> </w:t>
      </w:r>
      <w:r>
        <w:rPr/>
        <w:t>vanadyl (VO</w:t>
      </w:r>
      <w:r>
        <w:rPr>
          <w:vertAlign w:val="superscript"/>
        </w:rPr>
        <w:t>2+</w:t>
      </w:r>
      <w:r>
        <w:rPr>
          <w:vertAlign w:val="baseline"/>
        </w:rPr>
        <w:t>) and nickel (Ni</w:t>
      </w:r>
      <w:r>
        <w:rPr>
          <w:vertAlign w:val="superscript"/>
        </w:rPr>
        <w:t>2+</w:t>
      </w:r>
      <w:r>
        <w:rPr>
          <w:vertAlign w:val="baseline"/>
        </w:rPr>
        <w:t>) porphyrins. The ratio observed of the sum of these two</w:t>
      </w:r>
      <w:r>
        <w:rPr>
          <w:spacing w:val="1"/>
          <w:vertAlign w:val="baseline"/>
        </w:rPr>
        <w:t> </w:t>
      </w:r>
      <w:r>
        <w:rPr>
          <w:vertAlign w:val="baseline"/>
        </w:rPr>
        <w:t>metalloporphyrins to each other should indicate relative Eh/pH conditions present at</w:t>
      </w:r>
      <w:r>
        <w:rPr>
          <w:spacing w:val="1"/>
          <w:vertAlign w:val="baseline"/>
        </w:rPr>
        <w:t> </w:t>
      </w:r>
      <w:r>
        <w:rPr>
          <w:vertAlign w:val="baseline"/>
        </w:rPr>
        <w:t>deposition. In highly reducing conditions, vanadyl porphyrins should be the dominant member,</w:t>
      </w:r>
      <w:r>
        <w:rPr>
          <w:spacing w:val="1"/>
          <w:vertAlign w:val="baseline"/>
        </w:rPr>
        <w:t> </w:t>
      </w:r>
      <w:r>
        <w:rPr>
          <w:vertAlign w:val="baseline"/>
        </w:rPr>
        <w:t>while nickel porphyrins should be low. This results because in marine environments where</w:t>
      </w:r>
      <w:r>
        <w:rPr>
          <w:spacing w:val="1"/>
          <w:vertAlign w:val="baseline"/>
        </w:rPr>
        <w:t> </w:t>
      </w:r>
      <w:r>
        <w:rPr>
          <w:vertAlign w:val="baseline"/>
        </w:rPr>
        <w:t>reducing conditions and sulfide is present, nickel will be removed from the system by the</w:t>
      </w:r>
      <w:r>
        <w:rPr>
          <w:spacing w:val="1"/>
          <w:vertAlign w:val="baseline"/>
        </w:rPr>
        <w:t> </w:t>
      </w:r>
      <w:r>
        <w:rPr>
          <w:vertAlign w:val="baseline"/>
        </w:rPr>
        <w:t>precipitation</w:t>
      </w:r>
      <w:r>
        <w:rPr>
          <w:spacing w:val="2"/>
          <w:vertAlign w:val="baseline"/>
        </w:rPr>
        <w:t> </w:t>
      </w:r>
      <w:r>
        <w:rPr>
          <w:vertAlign w:val="baseline"/>
        </w:rPr>
        <w:t>of nickel</w:t>
      </w:r>
      <w:r>
        <w:rPr>
          <w:spacing w:val="1"/>
          <w:vertAlign w:val="baseline"/>
        </w:rPr>
        <w:t> </w:t>
      </w:r>
      <w:r>
        <w:rPr>
          <w:vertAlign w:val="baseline"/>
        </w:rPr>
        <w:t>sulfides.</w:t>
      </w:r>
      <w:r>
        <w:rPr>
          <w:spacing w:val="1"/>
          <w:vertAlign w:val="baseline"/>
        </w:rPr>
        <w:t> </w:t>
      </w:r>
      <w:r>
        <w:rPr>
          <w:vertAlign w:val="baseline"/>
        </w:rPr>
        <w:t>Since</w:t>
      </w:r>
      <w:r>
        <w:rPr>
          <w:spacing w:val="-1"/>
          <w:vertAlign w:val="baseline"/>
        </w:rPr>
        <w:t> </w:t>
      </w:r>
      <w:r>
        <w:rPr>
          <w:vertAlign w:val="baseline"/>
        </w:rPr>
        <w:t>these nickel sulfides</w:t>
      </w:r>
      <w:r>
        <w:rPr>
          <w:spacing w:val="1"/>
          <w:vertAlign w:val="baseline"/>
        </w:rPr>
        <w:t> </w:t>
      </w:r>
      <w:r>
        <w:rPr>
          <w:vertAlign w:val="baseline"/>
        </w:rPr>
        <w:t>are</w:t>
      </w:r>
      <w:r>
        <w:rPr>
          <w:spacing w:val="-1"/>
          <w:vertAlign w:val="baseline"/>
        </w:rPr>
        <w:t> </w:t>
      </w:r>
      <w:r>
        <w:rPr>
          <w:vertAlign w:val="baseline"/>
        </w:rPr>
        <w:t>removed</w:t>
      </w:r>
      <w:r>
        <w:rPr>
          <w:spacing w:val="1"/>
          <w:vertAlign w:val="baseline"/>
        </w:rPr>
        <w:t> </w:t>
      </w:r>
      <w:r>
        <w:rPr>
          <w:vertAlign w:val="baseline"/>
        </w:rPr>
        <w:t>from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5"/>
          <w:vertAlign w:val="baseline"/>
        </w:rPr>
        <w:t> </w:t>
      </w:r>
      <w:r>
        <w:rPr>
          <w:vertAlign w:val="baseline"/>
        </w:rPr>
        <w:t>system,</w:t>
      </w:r>
      <w:r>
        <w:rPr>
          <w:spacing w:val="1"/>
          <w:vertAlign w:val="baseline"/>
        </w:rPr>
        <w:t> </w:t>
      </w:r>
      <w:r>
        <w:rPr>
          <w:vertAlign w:val="baseline"/>
        </w:rPr>
        <w:t>vanadyl complexes with porphyrin are favored. In more oxidative environments, an increase in</w:t>
      </w:r>
      <w:r>
        <w:rPr>
          <w:spacing w:val="1"/>
          <w:vertAlign w:val="baseline"/>
        </w:rPr>
        <w:t> </w:t>
      </w:r>
      <w:r>
        <w:rPr>
          <w:vertAlign w:val="baseline"/>
        </w:rPr>
        <w:t>the nickel porphyrins would be expected to be seen relative to the vanadyl complexes since the</w:t>
      </w:r>
      <w:r>
        <w:rPr>
          <w:spacing w:val="-52"/>
          <w:vertAlign w:val="baseline"/>
        </w:rPr>
        <w:t> </w:t>
      </w:r>
      <w:r>
        <w:rPr>
          <w:vertAlign w:val="baseline"/>
        </w:rPr>
        <w:t>nickel</w:t>
      </w:r>
      <w:r>
        <w:rPr>
          <w:spacing w:val="3"/>
          <w:vertAlign w:val="baseline"/>
        </w:rPr>
        <w:t> </w:t>
      </w:r>
      <w:r>
        <w:rPr>
          <w:vertAlign w:val="baseline"/>
        </w:rPr>
        <w:t>is not removed</w:t>
      </w:r>
      <w:r>
        <w:rPr>
          <w:spacing w:val="4"/>
          <w:vertAlign w:val="baseline"/>
        </w:rPr>
        <w:t> </w:t>
      </w:r>
      <w:r>
        <w:rPr>
          <w:vertAlign w:val="baseline"/>
        </w:rPr>
        <w:t>by</w:t>
      </w:r>
      <w:r>
        <w:rPr>
          <w:spacing w:val="-2"/>
          <w:vertAlign w:val="baseline"/>
        </w:rPr>
        <w:t> </w:t>
      </w:r>
      <w:r>
        <w:rPr>
          <w:vertAlign w:val="baseline"/>
        </w:rPr>
        <w:t>sulfide.</w:t>
      </w:r>
      <w:r>
        <w:rPr>
          <w:spacing w:val="2"/>
          <w:vertAlign w:val="baseline"/>
        </w:rPr>
        <w:t> </w:t>
      </w:r>
      <w:r>
        <w:rPr>
          <w:vertAlign w:val="baseline"/>
        </w:rPr>
        <w:t>When</w:t>
      </w:r>
      <w:r>
        <w:rPr>
          <w:spacing w:val="-1"/>
          <w:vertAlign w:val="baseline"/>
        </w:rPr>
        <w:t> </w:t>
      </w:r>
      <w:r>
        <w:rPr>
          <w:vertAlign w:val="baseline"/>
        </w:rPr>
        <w:t>nickel is not</w:t>
      </w:r>
      <w:r>
        <w:rPr>
          <w:spacing w:val="4"/>
          <w:vertAlign w:val="baseline"/>
        </w:rPr>
        <w:t> </w:t>
      </w:r>
      <w:r>
        <w:rPr>
          <w:vertAlign w:val="baseline"/>
        </w:rPr>
        <w:t>removed</w:t>
      </w:r>
      <w:r>
        <w:rPr>
          <w:spacing w:val="-1"/>
          <w:vertAlign w:val="baseline"/>
        </w:rPr>
        <w:t> </w:t>
      </w:r>
      <w:r>
        <w:rPr>
          <w:vertAlign w:val="baseline"/>
        </w:rPr>
        <w:t>by</w:t>
      </w:r>
      <w:r>
        <w:rPr>
          <w:spacing w:val="-1"/>
          <w:vertAlign w:val="baseline"/>
        </w:rPr>
        <w:t> </w:t>
      </w:r>
      <w:r>
        <w:rPr>
          <w:vertAlign w:val="baseline"/>
        </w:rPr>
        <w:t>sulfide, it leaves</w:t>
      </w:r>
      <w:r>
        <w:rPr>
          <w:spacing w:val="3"/>
          <w:vertAlign w:val="baseline"/>
        </w:rPr>
        <w:t> </w:t>
      </w:r>
      <w:r>
        <w:rPr>
          <w:vertAlign w:val="baseline"/>
        </w:rPr>
        <w:t>both</w:t>
      </w:r>
      <w:r>
        <w:rPr>
          <w:spacing w:val="-1"/>
          <w:vertAlign w:val="baseline"/>
        </w:rPr>
        <w:t> </w:t>
      </w:r>
      <w:r>
        <w:rPr>
          <w:vertAlign w:val="baseline"/>
        </w:rPr>
        <w:t>nickel</w:t>
      </w:r>
      <w:r>
        <w:rPr>
          <w:spacing w:val="1"/>
          <w:vertAlign w:val="baseline"/>
        </w:rPr>
        <w:t> </w:t>
      </w:r>
      <w:r>
        <w:rPr>
          <w:vertAlign w:val="baseline"/>
        </w:rPr>
        <w:t>and vanadyl ions in solution, which compete for chelation with free base porphyrins. The nickel</w:t>
      </w:r>
      <w:r>
        <w:rPr>
          <w:spacing w:val="1"/>
          <w:vertAlign w:val="baseline"/>
        </w:rPr>
        <w:t> </w:t>
      </w:r>
      <w:r>
        <w:rPr>
          <w:vertAlign w:val="baseline"/>
        </w:rPr>
        <w:t>ions dominate this competition due to the higher equilibrium constant of formation of nickel</w:t>
      </w:r>
      <w:r>
        <w:rPr>
          <w:spacing w:val="1"/>
          <w:vertAlign w:val="baseline"/>
        </w:rPr>
        <w:t> </w:t>
      </w:r>
      <w:r>
        <w:rPr>
          <w:vertAlign w:val="baseline"/>
        </w:rPr>
        <w:t>porphyrins compared to that of vanadyl porphyrins and the higher Eh associated with a more</w:t>
      </w:r>
      <w:r>
        <w:rPr>
          <w:spacing w:val="1"/>
          <w:vertAlign w:val="baseline"/>
        </w:rPr>
        <w:t> </w:t>
      </w:r>
      <w:r>
        <w:rPr>
          <w:vertAlign w:val="baseline"/>
        </w:rPr>
        <w:t>oxidative environment (Moldowan et al., 1985; Chen and Philp, 1991). The VO porphyrin/Ni</w:t>
      </w:r>
      <w:r>
        <w:rPr>
          <w:spacing w:val="1"/>
          <w:vertAlign w:val="baseline"/>
        </w:rPr>
        <w:t> </w:t>
      </w:r>
      <w:r>
        <w:rPr>
          <w:vertAlign w:val="baseline"/>
        </w:rPr>
        <w:t>porphyrin</w:t>
      </w:r>
      <w:r>
        <w:rPr>
          <w:spacing w:val="-4"/>
          <w:vertAlign w:val="baseline"/>
        </w:rPr>
        <w:t> </w:t>
      </w:r>
      <w:r>
        <w:rPr>
          <w:vertAlign w:val="baseline"/>
        </w:rPr>
        <w:t>ratio</w:t>
      </w:r>
      <w:r>
        <w:rPr>
          <w:spacing w:val="2"/>
          <w:vertAlign w:val="baseline"/>
        </w:rPr>
        <w:t> </w:t>
      </w:r>
      <w:r>
        <w:rPr>
          <w:vertAlign w:val="baseline"/>
        </w:rPr>
        <w:t>can</w:t>
      </w:r>
      <w:r>
        <w:rPr>
          <w:spacing w:val="-3"/>
          <w:vertAlign w:val="baseline"/>
        </w:rPr>
        <w:t> </w:t>
      </w:r>
      <w:r>
        <w:rPr>
          <w:vertAlign w:val="baseline"/>
        </w:rPr>
        <w:t>be</w:t>
      </w:r>
      <w:r>
        <w:rPr>
          <w:spacing w:val="-2"/>
          <w:vertAlign w:val="baseline"/>
        </w:rPr>
        <w:t> </w:t>
      </w:r>
      <w:r>
        <w:rPr>
          <w:vertAlign w:val="baseline"/>
        </w:rPr>
        <w:t>seen</w:t>
      </w:r>
      <w:r>
        <w:rPr>
          <w:spacing w:val="2"/>
          <w:vertAlign w:val="baseline"/>
        </w:rPr>
        <w:t> </w:t>
      </w:r>
      <w:r>
        <w:rPr>
          <w:vertAlign w:val="baseline"/>
        </w:rPr>
        <w:t>in</w:t>
      </w:r>
      <w:r>
        <w:rPr>
          <w:spacing w:val="-3"/>
          <w:vertAlign w:val="baseline"/>
        </w:rPr>
        <w:t> </w:t>
      </w:r>
      <w:r>
        <w:rPr>
          <w:vertAlign w:val="baseline"/>
        </w:rPr>
        <w:t>figure</w:t>
      </w:r>
      <w:r>
        <w:rPr>
          <w:spacing w:val="-3"/>
          <w:vertAlign w:val="baseline"/>
        </w:rPr>
        <w:t> </w:t>
      </w:r>
      <w:r>
        <w:rPr>
          <w:vertAlign w:val="baseline"/>
        </w:rPr>
        <w:t>27,</w:t>
      </w:r>
      <w:r>
        <w:rPr>
          <w:spacing w:val="-4"/>
          <w:vertAlign w:val="baseline"/>
        </w:rPr>
        <w:t> </w:t>
      </w:r>
      <w:r>
        <w:rPr>
          <w:vertAlign w:val="baseline"/>
        </w:rPr>
        <w:t>where</w:t>
      </w:r>
      <w:r>
        <w:rPr>
          <w:spacing w:val="-3"/>
          <w:vertAlign w:val="baseline"/>
        </w:rPr>
        <w:t> </w:t>
      </w:r>
      <w:r>
        <w:rPr>
          <w:vertAlign w:val="baseline"/>
        </w:rPr>
        <w:t>a</w:t>
      </w:r>
      <w:r>
        <w:rPr>
          <w:spacing w:val="-2"/>
          <w:vertAlign w:val="baseline"/>
        </w:rPr>
        <w:t> </w:t>
      </w:r>
      <w:r>
        <w:rPr>
          <w:vertAlign w:val="baseline"/>
        </w:rPr>
        <w:t>higher</w:t>
      </w:r>
      <w:r>
        <w:rPr>
          <w:spacing w:val="-4"/>
          <w:vertAlign w:val="baseline"/>
        </w:rPr>
        <w:t> </w:t>
      </w:r>
      <w:r>
        <w:rPr>
          <w:vertAlign w:val="baseline"/>
        </w:rPr>
        <w:t>ratio</w:t>
      </w:r>
      <w:r>
        <w:rPr>
          <w:spacing w:val="-3"/>
          <w:vertAlign w:val="baseline"/>
        </w:rPr>
        <w:t> </w:t>
      </w:r>
      <w:r>
        <w:rPr>
          <w:vertAlign w:val="baseline"/>
        </w:rPr>
        <w:t>number</w:t>
      </w:r>
      <w:r>
        <w:rPr>
          <w:spacing w:val="-2"/>
          <w:vertAlign w:val="baseline"/>
        </w:rPr>
        <w:t> </w:t>
      </w:r>
      <w:r>
        <w:rPr>
          <w:vertAlign w:val="baseline"/>
        </w:rPr>
        <w:t>indicates</w:t>
      </w:r>
      <w:r>
        <w:rPr>
          <w:spacing w:val="-3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more</w:t>
      </w:r>
      <w:r>
        <w:rPr>
          <w:spacing w:val="-3"/>
          <w:vertAlign w:val="baseline"/>
        </w:rPr>
        <w:t> </w:t>
      </w:r>
      <w:r>
        <w:rPr>
          <w:vertAlign w:val="baseline"/>
        </w:rPr>
        <w:t>reducing</w:t>
      </w:r>
      <w:r>
        <w:rPr>
          <w:spacing w:val="-51"/>
          <w:vertAlign w:val="baseline"/>
        </w:rPr>
        <w:t> </w:t>
      </w:r>
      <w:r>
        <w:rPr>
          <w:vertAlign w:val="baseline"/>
        </w:rPr>
        <w:t>environment. The ratio shows variation in the Lower Woodford Shale, which is expected as</w:t>
      </w:r>
      <w:r>
        <w:rPr>
          <w:spacing w:val="1"/>
          <w:vertAlign w:val="baseline"/>
        </w:rPr>
        <w:t> </w:t>
      </w:r>
      <w:r>
        <w:rPr>
          <w:vertAlign w:val="baseline"/>
        </w:rPr>
        <w:t>there were episodic reducing conditions during this deposition. There is also some variation in</w:t>
      </w:r>
      <w:r>
        <w:rPr>
          <w:spacing w:val="1"/>
          <w:vertAlign w:val="baseline"/>
        </w:rPr>
        <w:t> </w:t>
      </w:r>
      <w:r>
        <w:rPr>
          <w:vertAlign w:val="baseline"/>
        </w:rPr>
        <w:t>the lower parts of the Middle Woodford Shale until it reaches 149.25ft when it drops and</w:t>
      </w:r>
      <w:r>
        <w:rPr>
          <w:spacing w:val="1"/>
          <w:vertAlign w:val="baseline"/>
        </w:rPr>
        <w:t> </w:t>
      </w:r>
      <w:r>
        <w:rPr>
          <w:vertAlign w:val="baseline"/>
        </w:rPr>
        <w:t>remains</w:t>
      </w:r>
      <w:r>
        <w:rPr>
          <w:spacing w:val="-2"/>
          <w:vertAlign w:val="baseline"/>
        </w:rPr>
        <w:t> </w:t>
      </w:r>
      <w:r>
        <w:rPr>
          <w:vertAlign w:val="baseline"/>
        </w:rPr>
        <w:t>low</w:t>
      </w:r>
      <w:r>
        <w:rPr>
          <w:spacing w:val="-2"/>
          <w:vertAlign w:val="baseline"/>
        </w:rPr>
        <w:t> </w:t>
      </w:r>
      <w:r>
        <w:rPr>
          <w:vertAlign w:val="baseline"/>
        </w:rPr>
        <w:t>until</w:t>
      </w:r>
      <w:r>
        <w:rPr>
          <w:spacing w:val="-2"/>
          <w:vertAlign w:val="baseline"/>
        </w:rPr>
        <w:t> </w:t>
      </w:r>
      <w:r>
        <w:rPr>
          <w:vertAlign w:val="baseline"/>
        </w:rPr>
        <w:t>133.5ft.</w:t>
      </w:r>
      <w:r>
        <w:rPr>
          <w:spacing w:val="-2"/>
          <w:vertAlign w:val="baseline"/>
        </w:rPr>
        <w:t> </w:t>
      </w:r>
      <w:r>
        <w:rPr>
          <w:vertAlign w:val="baseline"/>
        </w:rPr>
        <w:t>This</w:t>
      </w:r>
      <w:r>
        <w:rPr>
          <w:spacing w:val="-1"/>
          <w:vertAlign w:val="baseline"/>
        </w:rPr>
        <w:t> </w:t>
      </w:r>
      <w:r>
        <w:rPr>
          <w:vertAlign w:val="baseline"/>
        </w:rPr>
        <w:t>mirrors</w:t>
      </w:r>
      <w:r>
        <w:rPr>
          <w:spacing w:val="-2"/>
          <w:vertAlign w:val="baseline"/>
        </w:rPr>
        <w:t> </w:t>
      </w:r>
      <w:r>
        <w:rPr>
          <w:vertAlign w:val="baseline"/>
        </w:rPr>
        <w:t>the</w:t>
      </w:r>
      <w:r>
        <w:rPr>
          <w:spacing w:val="-2"/>
          <w:vertAlign w:val="baseline"/>
        </w:rPr>
        <w:t> </w:t>
      </w:r>
      <w:r>
        <w:rPr>
          <w:vertAlign w:val="baseline"/>
        </w:rPr>
        <w:t>pattern</w:t>
      </w:r>
      <w:r>
        <w:rPr>
          <w:spacing w:val="-3"/>
          <w:vertAlign w:val="baseline"/>
        </w:rPr>
        <w:t> </w:t>
      </w:r>
      <w:r>
        <w:rPr>
          <w:vertAlign w:val="baseline"/>
        </w:rPr>
        <w:t>that</w:t>
      </w:r>
      <w:r>
        <w:rPr>
          <w:spacing w:val="-2"/>
          <w:vertAlign w:val="baseline"/>
        </w:rPr>
        <w:t> </w:t>
      </w:r>
      <w:r>
        <w:rPr>
          <w:vertAlign w:val="baseline"/>
        </w:rPr>
        <w:t>was</w:t>
      </w:r>
      <w:r>
        <w:rPr>
          <w:spacing w:val="-1"/>
          <w:vertAlign w:val="baseline"/>
        </w:rPr>
        <w:t> </w:t>
      </w:r>
      <w:r>
        <w:rPr>
          <w:vertAlign w:val="baseline"/>
        </w:rPr>
        <w:t>seen</w:t>
      </w:r>
      <w:r>
        <w:rPr>
          <w:spacing w:val="3"/>
          <w:vertAlign w:val="baseline"/>
        </w:rPr>
        <w:t> </w:t>
      </w:r>
      <w:r>
        <w:rPr>
          <w:vertAlign w:val="baseline"/>
        </w:rPr>
        <w:t>in</w:t>
      </w:r>
      <w:r>
        <w:rPr>
          <w:spacing w:val="-3"/>
          <w:vertAlign w:val="baseline"/>
        </w:rPr>
        <w:t> </w:t>
      </w:r>
      <w:r>
        <w:rPr>
          <w:vertAlign w:val="baseline"/>
        </w:rPr>
        <w:t>figure</w:t>
      </w:r>
      <w:r>
        <w:rPr>
          <w:spacing w:val="-1"/>
          <w:vertAlign w:val="baseline"/>
        </w:rPr>
        <w:t> </w:t>
      </w:r>
      <w:r>
        <w:rPr>
          <w:vertAlign w:val="baseline"/>
        </w:rPr>
        <w:t>27</w:t>
      </w:r>
      <w:r>
        <w:rPr>
          <w:spacing w:val="-1"/>
          <w:vertAlign w:val="baseline"/>
        </w:rPr>
        <w:t> </w:t>
      </w:r>
      <w:r>
        <w:rPr>
          <w:vertAlign w:val="baseline"/>
        </w:rPr>
        <w:t>with</w:t>
      </w:r>
      <w:r>
        <w:rPr>
          <w:spacing w:val="-1"/>
          <w:vertAlign w:val="baseline"/>
        </w:rPr>
        <w:t> </w:t>
      </w:r>
      <w:r>
        <w:rPr>
          <w:vertAlign w:val="baseline"/>
        </w:rPr>
        <w:t>the</w:t>
      </w:r>
    </w:p>
    <w:p>
      <w:pPr>
        <w:spacing w:after="0" w:line="480" w:lineRule="auto"/>
        <w:sectPr>
          <w:pgSz w:w="12240" w:h="15840"/>
          <w:pgMar w:header="0" w:footer="1014" w:top="1400" w:bottom="1200" w:left="1320" w:right="820"/>
        </w:sectPr>
      </w:pPr>
    </w:p>
    <w:p>
      <w:pPr>
        <w:pStyle w:val="BodyText"/>
        <w:spacing w:line="480" w:lineRule="auto" w:before="39"/>
        <w:ind w:left="120" w:right="694"/>
      </w:pPr>
      <w:r>
        <w:rPr/>
        <w:t>DPEP/ETIO ratio and is a result of the anomalous excursion of Ni porphyrins. Above 133.5ft, it</w:t>
      </w:r>
      <w:r>
        <w:rPr>
          <w:spacing w:val="1"/>
        </w:rPr>
        <w:t> </w:t>
      </w:r>
      <w:r>
        <w:rPr/>
        <w:t>has</w:t>
      </w:r>
      <w:r>
        <w:rPr>
          <w:spacing w:val="-3"/>
        </w:rPr>
        <w:t> </w:t>
      </w:r>
      <w:r>
        <w:rPr/>
        <w:t>some</w:t>
      </w:r>
      <w:r>
        <w:rPr>
          <w:spacing w:val="-2"/>
        </w:rPr>
        <w:t> </w:t>
      </w:r>
      <w:r>
        <w:rPr/>
        <w:t>more</w:t>
      </w:r>
      <w:r>
        <w:rPr>
          <w:spacing w:val="-2"/>
        </w:rPr>
        <w:t> </w:t>
      </w:r>
      <w:r>
        <w:rPr/>
        <w:t>variation</w:t>
      </w:r>
      <w:r>
        <w:rPr>
          <w:spacing w:val="-2"/>
        </w:rPr>
        <w:t> </w:t>
      </w:r>
      <w:r>
        <w:rPr/>
        <w:t>before</w:t>
      </w:r>
      <w:r>
        <w:rPr>
          <w:spacing w:val="-2"/>
        </w:rPr>
        <w:t> </w:t>
      </w:r>
      <w:r>
        <w:rPr/>
        <w:t>reaching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Upper</w:t>
      </w:r>
      <w:r>
        <w:rPr>
          <w:spacing w:val="3"/>
        </w:rPr>
        <w:t> </w:t>
      </w:r>
      <w:r>
        <w:rPr/>
        <w:t>Woodford</w:t>
      </w:r>
      <w:r>
        <w:rPr>
          <w:spacing w:val="-1"/>
        </w:rPr>
        <w:t> </w:t>
      </w:r>
      <w:r>
        <w:rPr/>
        <w:t>Shale,</w:t>
      </w:r>
      <w:r>
        <w:rPr>
          <w:spacing w:val="-3"/>
        </w:rPr>
        <w:t> </w:t>
      </w:r>
      <w:r>
        <w:rPr/>
        <w:t>where</w:t>
      </w:r>
      <w:r>
        <w:rPr>
          <w:spacing w:val="-1"/>
        </w:rPr>
        <w:t> </w:t>
      </w:r>
      <w:r>
        <w:rPr/>
        <w:t>it</w:t>
      </w:r>
      <w:r>
        <w:rPr>
          <w:spacing w:val="-2"/>
        </w:rPr>
        <w:t> </w:t>
      </w:r>
      <w:r>
        <w:rPr/>
        <w:t>decreases</w:t>
      </w:r>
      <w:r>
        <w:rPr>
          <w:spacing w:val="-3"/>
        </w:rPr>
        <w:t> </w:t>
      </w:r>
      <w:r>
        <w:rPr/>
        <w:t>again,</w:t>
      </w:r>
      <w:r>
        <w:rPr>
          <w:spacing w:val="-51"/>
        </w:rPr>
        <w:t> </w:t>
      </w:r>
      <w:r>
        <w:rPr/>
        <w:t>indicating a more oxygenated environment. If the VO/Ni porphyrin ratio shows the redox</w:t>
      </w:r>
      <w:r>
        <w:rPr>
          <w:spacing w:val="1"/>
        </w:rPr>
        <w:t> </w:t>
      </w:r>
      <w:r>
        <w:rPr/>
        <w:t>conditions, the low numbers between 149.25 and 133.5ft are perplexing. The presence of</w:t>
      </w:r>
      <w:r>
        <w:rPr>
          <w:spacing w:val="1"/>
        </w:rPr>
        <w:t> </w:t>
      </w:r>
      <w:r>
        <w:rPr/>
        <w:t>isorenieratane(</w:t>
      </w:r>
      <w:r>
        <w:rPr>
          <w:b/>
        </w:rPr>
        <w:t>I</w:t>
      </w:r>
      <w:r>
        <w:rPr/>
        <w:t>) and paleorenieratane(</w:t>
      </w:r>
      <w:r>
        <w:rPr>
          <w:b/>
        </w:rPr>
        <w:t>II</w:t>
      </w:r>
      <w:r>
        <w:rPr/>
        <w:t>) at these depths indicates sustained euxinic</w:t>
      </w:r>
      <w:r>
        <w:rPr>
          <w:spacing w:val="1"/>
        </w:rPr>
        <w:t> </w:t>
      </w:r>
      <w:r>
        <w:rPr/>
        <w:t>conditions in the paleoenvironment during the time of deposition. Since that is the case, it</w:t>
      </w:r>
      <w:r>
        <w:rPr>
          <w:spacing w:val="1"/>
        </w:rPr>
        <w:t> </w:t>
      </w:r>
      <w:r>
        <w:rPr/>
        <w:t>would be expected that the VO/Ni porphyrin ratio should be high here, with the VO complexes</w:t>
      </w:r>
      <w:r>
        <w:rPr>
          <w:spacing w:val="-52"/>
        </w:rPr>
        <w:t> </w:t>
      </w:r>
      <w:r>
        <w:rPr/>
        <w:t>significantly</w:t>
      </w:r>
      <w:r>
        <w:rPr>
          <w:spacing w:val="-2"/>
        </w:rPr>
        <w:t> </w:t>
      </w:r>
      <w:r>
        <w:rPr/>
        <w:t>outnumbering</w:t>
      </w:r>
      <w:r>
        <w:rPr>
          <w:spacing w:val="-1"/>
        </w:rPr>
        <w:t> </w:t>
      </w:r>
      <w:r>
        <w:rPr/>
        <w:t>the</w:t>
      </w:r>
      <w:r>
        <w:rPr>
          <w:spacing w:val="1"/>
        </w:rPr>
        <w:t> </w:t>
      </w:r>
      <w:r>
        <w:rPr/>
        <w:t>Ni</w:t>
      </w:r>
      <w:r>
        <w:rPr>
          <w:spacing w:val="-1"/>
        </w:rPr>
        <w:t> </w:t>
      </w:r>
      <w:r>
        <w:rPr/>
        <w:t>complexes.</w:t>
      </w:r>
    </w:p>
    <w:p>
      <w:pPr>
        <w:pStyle w:val="BodyText"/>
        <w:spacing w:line="480" w:lineRule="auto" w:before="161"/>
        <w:ind w:left="120" w:right="660" w:firstLine="706"/>
      </w:pPr>
      <w:r>
        <w:rPr/>
        <w:t>Both the DPEP/ETIO and the VO/Ni ratios have low numbers between 149.25ft and</w:t>
      </w:r>
      <w:r>
        <w:rPr>
          <w:spacing w:val="1"/>
        </w:rPr>
        <w:t> </w:t>
      </w:r>
      <w:r>
        <w:rPr/>
        <w:t>133.5ft. It does not correspond with the onset of the PZE indicated by the carotenoids but</w:t>
      </w:r>
      <w:r>
        <w:rPr>
          <w:spacing w:val="1"/>
        </w:rPr>
        <w:t> </w:t>
      </w:r>
      <w:r>
        <w:rPr/>
        <w:t>instead corresponds more closely to the peak and then decline of the carotenoids. The low</w:t>
      </w:r>
      <w:r>
        <w:rPr>
          <w:spacing w:val="1"/>
        </w:rPr>
        <w:t> </w:t>
      </w:r>
      <w:r>
        <w:rPr/>
        <w:t>numbers in both ratios are a result of high concentrations of Ni-ETIOs at these depths. Ni-DPEP</w:t>
      </w:r>
      <w:r>
        <w:rPr>
          <w:spacing w:val="1"/>
        </w:rPr>
        <w:t> </w:t>
      </w:r>
      <w:r>
        <w:rPr/>
        <w:t>has very similar concentrations to Ni-ETIO, both of which are much higher than their respective</w:t>
      </w:r>
      <w:r>
        <w:rPr>
          <w:spacing w:val="-52"/>
        </w:rPr>
        <w:t> </w:t>
      </w:r>
      <w:r>
        <w:rPr/>
        <w:t>VO concentrations. This results in the low ratios seen between these depths. Looking back to</w:t>
      </w:r>
      <w:r>
        <w:rPr>
          <w:spacing w:val="1"/>
        </w:rPr>
        <w:t> </w:t>
      </w:r>
      <w:r>
        <w:rPr/>
        <w:t>figure 16, there seem to be two correlations to the onset of the nickel porphyrin excursion, a</w:t>
      </w:r>
      <w:r>
        <w:rPr>
          <w:spacing w:val="1"/>
        </w:rPr>
        <w:t> </w:t>
      </w:r>
      <w:r>
        <w:rPr/>
        <w:t>lithology change, and a general transgression. The change in lithology shows less of a</w:t>
      </w:r>
      <w:r>
        <w:rPr>
          <w:spacing w:val="1"/>
        </w:rPr>
        <w:t> </w:t>
      </w:r>
      <w:r>
        <w:rPr/>
        <w:t>correlation to the excursion of nickel porphyrins since it comes after the excursion begins. The</w:t>
      </w:r>
      <w:r>
        <w:rPr>
          <w:spacing w:val="1"/>
        </w:rPr>
        <w:t> </w:t>
      </w:r>
      <w:r>
        <w:rPr/>
        <w:t>change in lithology also does not correlate to the small spike in the Lower Woodford Shale of</w:t>
      </w:r>
      <w:r>
        <w:rPr>
          <w:spacing w:val="1"/>
        </w:rPr>
        <w:t> </w:t>
      </w:r>
      <w:r>
        <w:rPr/>
        <w:t>nickel porphyrins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occurs</w:t>
      </w:r>
      <w:r>
        <w:rPr>
          <w:spacing w:val="-3"/>
        </w:rPr>
        <w:t> </w:t>
      </w:r>
      <w:r>
        <w:rPr/>
        <w:t>right</w:t>
      </w:r>
      <w:r>
        <w:rPr>
          <w:spacing w:val="2"/>
        </w:rPr>
        <w:t> </w:t>
      </w:r>
      <w:r>
        <w:rPr/>
        <w:t>before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Lower/Middle</w:t>
      </w:r>
      <w:r>
        <w:rPr>
          <w:spacing w:val="-3"/>
        </w:rPr>
        <w:t> </w:t>
      </w:r>
      <w:r>
        <w:rPr/>
        <w:t>Woodford</w:t>
      </w:r>
      <w:r>
        <w:rPr>
          <w:spacing w:val="-4"/>
        </w:rPr>
        <w:t> </w:t>
      </w:r>
      <w:r>
        <w:rPr/>
        <w:t>Shale</w:t>
      </w:r>
      <w:r>
        <w:rPr>
          <w:spacing w:val="-2"/>
        </w:rPr>
        <w:t> </w:t>
      </w:r>
      <w:r>
        <w:rPr/>
        <w:t>boundary.</w:t>
      </w:r>
      <w:r>
        <w:rPr>
          <w:spacing w:val="-6"/>
        </w:rPr>
        <w:t> </w:t>
      </w:r>
      <w:r>
        <w:rPr/>
        <w:t>Prior</w:t>
      </w:r>
      <w:r>
        <w:rPr>
          <w:spacing w:val="-2"/>
        </w:rPr>
        <w:t> </w:t>
      </w:r>
      <w:r>
        <w:rPr/>
        <w:t>to</w:t>
      </w:r>
      <w:r>
        <w:rPr>
          <w:spacing w:val="-51"/>
        </w:rPr>
        <w:t> </w:t>
      </w:r>
      <w:r>
        <w:rPr/>
        <w:t>the excursion of nickel porphyrins, the Middle Woodford Shale generally exhibits a regression</w:t>
      </w:r>
      <w:r>
        <w:rPr>
          <w:spacing w:val="1"/>
        </w:rPr>
        <w:t> </w:t>
      </w:r>
      <w:r>
        <w:rPr/>
        <w:t>during which the nickel porphyrins remain relatively low. Then, around the beginning at the</w:t>
      </w:r>
      <w:r>
        <w:rPr>
          <w:spacing w:val="1"/>
        </w:rPr>
        <w:t> </w:t>
      </w:r>
      <w:r>
        <w:rPr/>
        <w:t>transgression</w:t>
      </w:r>
      <w:r>
        <w:rPr>
          <w:spacing w:val="1"/>
        </w:rPr>
        <w:t> </w:t>
      </w:r>
      <w:r>
        <w:rPr/>
        <w:t>later</w:t>
      </w:r>
      <w:r>
        <w:rPr>
          <w:spacing w:val="-5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Middle</w:t>
      </w:r>
      <w:r>
        <w:rPr>
          <w:spacing w:val="-4"/>
        </w:rPr>
        <w:t> </w:t>
      </w:r>
      <w:r>
        <w:rPr/>
        <w:t>Woodford</w:t>
      </w:r>
      <w:r>
        <w:rPr>
          <w:spacing w:val="1"/>
        </w:rPr>
        <w:t> </w:t>
      </w:r>
      <w:r>
        <w:rPr/>
        <w:t>Shale,</w:t>
      </w:r>
      <w:r>
        <w:rPr>
          <w:spacing w:val="-2"/>
        </w:rPr>
        <w:t> </w:t>
      </w:r>
      <w:r>
        <w:rPr/>
        <w:t>their</w:t>
      </w:r>
      <w:r>
        <w:rPr>
          <w:spacing w:val="-3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increases</w:t>
      </w:r>
      <w:r>
        <w:rPr>
          <w:spacing w:val="-2"/>
        </w:rPr>
        <w:t> </w:t>
      </w:r>
      <w:r>
        <w:rPr/>
        <w:t>significantly.</w:t>
      </w:r>
    </w:p>
    <w:p>
      <w:pPr>
        <w:spacing w:after="0" w:line="480" w:lineRule="auto"/>
        <w:sectPr>
          <w:pgSz w:w="12240" w:h="15840"/>
          <w:pgMar w:header="0" w:footer="1014" w:top="1400" w:bottom="1200" w:left="1320" w:right="820"/>
        </w:sectPr>
      </w:pPr>
    </w:p>
    <w:p>
      <w:pPr>
        <w:pStyle w:val="BodyText"/>
        <w:spacing w:line="480" w:lineRule="auto" w:before="39"/>
        <w:ind w:left="120" w:right="638"/>
      </w:pPr>
      <w:r>
        <w:rPr/>
        <w:t>The small regression between 140ft and 135ft corresponds to a dip in nickel porphyrins before</w:t>
      </w:r>
      <w:r>
        <w:rPr>
          <w:spacing w:val="1"/>
        </w:rPr>
        <w:t> </w:t>
      </w:r>
      <w:r>
        <w:rPr/>
        <w:t>increasing</w:t>
      </w:r>
      <w:r>
        <w:rPr>
          <w:spacing w:val="-2"/>
        </w:rPr>
        <w:t> </w:t>
      </w:r>
      <w:r>
        <w:rPr/>
        <w:t>during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following</w:t>
      </w:r>
      <w:r>
        <w:rPr>
          <w:spacing w:val="-5"/>
        </w:rPr>
        <w:t> </w:t>
      </w:r>
      <w:r>
        <w:rPr/>
        <w:t>transgression.</w:t>
      </w:r>
      <w:r>
        <w:rPr>
          <w:spacing w:val="-1"/>
        </w:rPr>
        <w:t> </w:t>
      </w:r>
      <w:r>
        <w:rPr/>
        <w:t>In</w:t>
      </w:r>
      <w:r>
        <w:rPr>
          <w:spacing w:val="-4"/>
        </w:rPr>
        <w:t> </w:t>
      </w:r>
      <w:r>
        <w:rPr/>
        <w:t>the Lower</w:t>
      </w:r>
      <w:r>
        <w:rPr>
          <w:spacing w:val="-4"/>
        </w:rPr>
        <w:t> </w:t>
      </w:r>
      <w:r>
        <w:rPr/>
        <w:t>Woodford</w:t>
      </w:r>
      <w:r>
        <w:rPr>
          <w:spacing w:val="1"/>
        </w:rPr>
        <w:t> </w:t>
      </w:r>
      <w:r>
        <w:rPr/>
        <w:t>Shale,</w:t>
      </w:r>
      <w:r>
        <w:rPr>
          <w:spacing w:val="-3"/>
        </w:rPr>
        <w:t> </w:t>
      </w:r>
      <w:r>
        <w:rPr/>
        <w:t>the small</w:t>
      </w:r>
      <w:r>
        <w:rPr>
          <w:spacing w:val="-5"/>
        </w:rPr>
        <w:t> </w:t>
      </w:r>
      <w:r>
        <w:rPr/>
        <w:t>excursion</w:t>
      </w:r>
      <w:r>
        <w:rPr>
          <w:spacing w:val="-51"/>
        </w:rPr>
        <w:t> </w:t>
      </w:r>
      <w:r>
        <w:rPr/>
        <w:t>before the Lower/Middle Woodford Shale boundary also corresponds to a transgression, but</w:t>
      </w:r>
      <w:r>
        <w:rPr>
          <w:spacing w:val="1"/>
        </w:rPr>
        <w:t> </w:t>
      </w:r>
      <w:r>
        <w:rPr/>
        <w:t>here</w:t>
      </w:r>
      <w:r>
        <w:rPr>
          <w:spacing w:val="1"/>
        </w:rPr>
        <w:t> </w:t>
      </w:r>
      <w:r>
        <w:rPr/>
        <w:t>the</w:t>
      </w:r>
      <w:r>
        <w:rPr>
          <w:spacing w:val="2"/>
        </w:rPr>
        <w:t> </w:t>
      </w:r>
      <w:r>
        <w:rPr/>
        <w:t>VO</w:t>
      </w:r>
      <w:r>
        <w:rPr>
          <w:spacing w:val="2"/>
        </w:rPr>
        <w:t> </w:t>
      </w:r>
      <w:r>
        <w:rPr/>
        <w:t>species</w:t>
      </w:r>
      <w:r>
        <w:rPr>
          <w:spacing w:val="5"/>
        </w:rPr>
        <w:t> </w:t>
      </w:r>
      <w:r>
        <w:rPr/>
        <w:t>also</w:t>
      </w:r>
      <w:r>
        <w:rPr>
          <w:spacing w:val="2"/>
        </w:rPr>
        <w:t> </w:t>
      </w:r>
      <w:r>
        <w:rPr/>
        <w:t>increases</w:t>
      </w:r>
      <w:r>
        <w:rPr>
          <w:spacing w:val="2"/>
        </w:rPr>
        <w:t> </w:t>
      </w:r>
      <w:r>
        <w:rPr/>
        <w:t>in</w:t>
      </w:r>
      <w:r>
        <w:rPr>
          <w:spacing w:val="6"/>
        </w:rPr>
        <w:t> </w:t>
      </w:r>
      <w:r>
        <w:rPr/>
        <w:t>concentration,</w:t>
      </w:r>
      <w:r>
        <w:rPr>
          <w:spacing w:val="2"/>
        </w:rPr>
        <w:t> </w:t>
      </w:r>
      <w:r>
        <w:rPr/>
        <w:t>which</w:t>
      </w:r>
      <w:r>
        <w:rPr>
          <w:spacing w:val="2"/>
        </w:rPr>
        <w:t> </w:t>
      </w:r>
      <w:r>
        <w:rPr/>
        <w:t>could</w:t>
      </w:r>
      <w:r>
        <w:rPr>
          <w:spacing w:val="1"/>
        </w:rPr>
        <w:t> </w:t>
      </w:r>
      <w:r>
        <w:rPr/>
        <w:t>indicate</w:t>
      </w:r>
      <w:r>
        <w:rPr>
          <w:spacing w:val="1"/>
        </w:rPr>
        <w:t> </w:t>
      </w:r>
      <w:r>
        <w:rPr/>
        <w:t>enhanced</w:t>
      </w:r>
      <w:r>
        <w:rPr>
          <w:spacing w:val="1"/>
        </w:rPr>
        <w:t> </w:t>
      </w:r>
      <w:r>
        <w:rPr/>
        <w:t>productivity</w:t>
      </w:r>
      <w:r>
        <w:rPr>
          <w:spacing w:val="-5"/>
        </w:rPr>
        <w:t> </w:t>
      </w:r>
      <w:r>
        <w:rPr/>
        <w:t>or</w:t>
      </w:r>
      <w:r>
        <w:rPr>
          <w:spacing w:val="-2"/>
        </w:rPr>
        <w:t> </w:t>
      </w:r>
      <w:r>
        <w:rPr/>
        <w:t>preservation.</w:t>
      </w:r>
      <w:r>
        <w:rPr>
          <w:spacing w:val="-2"/>
        </w:rPr>
        <w:t> </w:t>
      </w:r>
      <w:r>
        <w:rPr/>
        <w:t>A</w:t>
      </w:r>
      <w:r>
        <w:rPr>
          <w:spacing w:val="1"/>
        </w:rPr>
        <w:t> </w:t>
      </w:r>
      <w:r>
        <w:rPr/>
        <w:t>possible</w:t>
      </w:r>
      <w:r>
        <w:rPr>
          <w:spacing w:val="-1"/>
        </w:rPr>
        <w:t> </w:t>
      </w:r>
      <w:r>
        <w:rPr/>
        <w:t>explanation</w:t>
      </w:r>
      <w:r>
        <w:rPr>
          <w:spacing w:val="-1"/>
        </w:rPr>
        <w:t> </w:t>
      </w:r>
      <w:r>
        <w:rPr/>
        <w:t>for</w:t>
      </w:r>
      <w:r>
        <w:rPr>
          <w:spacing w:val="-2"/>
        </w:rPr>
        <w:t> </w:t>
      </w:r>
      <w:r>
        <w:rPr/>
        <w:t>this</w:t>
      </w:r>
      <w:r>
        <w:rPr>
          <w:spacing w:val="-3"/>
        </w:rPr>
        <w:t> </w:t>
      </w:r>
      <w:r>
        <w:rPr/>
        <w:t>could</w:t>
      </w:r>
      <w:r>
        <w:rPr>
          <w:spacing w:val="-1"/>
        </w:rPr>
        <w:t> </w:t>
      </w:r>
      <w:r>
        <w:rPr/>
        <w:t>be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presence</w:t>
      </w:r>
      <w:r>
        <w:rPr>
          <w:spacing w:val="-4"/>
        </w:rPr>
        <w:t> </w:t>
      </w:r>
      <w:r>
        <w:rPr/>
        <w:t>of</w:t>
      </w:r>
      <w:r>
        <w:rPr>
          <w:spacing w:val="-1"/>
        </w:rPr>
        <w:t> </w:t>
      </w:r>
      <w:r>
        <w:rPr/>
        <w:t>GSB</w:t>
      </w:r>
      <w:r>
        <w:rPr>
          <w:spacing w:val="-3"/>
        </w:rPr>
        <w:t> </w:t>
      </w:r>
      <w:r>
        <w:rPr/>
        <w:t>in</w:t>
      </w:r>
      <w:r>
        <w:rPr>
          <w:spacing w:val="-1"/>
        </w:rPr>
        <w:t> </w:t>
      </w:r>
      <w:r>
        <w:rPr/>
        <w:t>this</w:t>
      </w:r>
      <w:r>
        <w:rPr>
          <w:spacing w:val="-51"/>
        </w:rPr>
        <w:t> </w:t>
      </w:r>
      <w:r>
        <w:rPr/>
        <w:t>reducing environment. With enough sulfur-reducing bacteria present, the sulfide concentration</w:t>
      </w:r>
      <w:r>
        <w:rPr>
          <w:spacing w:val="-52"/>
        </w:rPr>
        <w:t> </w:t>
      </w:r>
      <w:r>
        <w:rPr/>
        <w:t>in the water might be reduced enough to prevent nickel sulfide from being formed in large</w:t>
      </w:r>
      <w:r>
        <w:rPr>
          <w:spacing w:val="1"/>
        </w:rPr>
        <w:t> </w:t>
      </w:r>
      <w:r>
        <w:rPr/>
        <w:t>enough quantities to cause a drop in nickel porphyrin production, an explanation also proposed</w:t>
      </w:r>
      <w:r>
        <w:rPr>
          <w:spacing w:val="-52"/>
        </w:rPr>
        <w:t> </w:t>
      </w:r>
      <w:r>
        <w:rPr/>
        <w:t>by (Eckardt et al., 1991). However, a problem with this idea is that the isorenieratane and</w:t>
      </w:r>
      <w:r>
        <w:rPr>
          <w:spacing w:val="1"/>
        </w:rPr>
        <w:t> </w:t>
      </w:r>
      <w:r>
        <w:rPr/>
        <w:t>paleorenieratane concentrations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decreasing</w:t>
      </w:r>
      <w:r>
        <w:rPr>
          <w:spacing w:val="-4"/>
        </w:rPr>
        <w:t> </w:t>
      </w:r>
      <w:r>
        <w:rPr/>
        <w:t>through</w:t>
      </w:r>
      <w:r>
        <w:rPr>
          <w:spacing w:val="-3"/>
        </w:rPr>
        <w:t> </w:t>
      </w:r>
      <w:r>
        <w:rPr/>
        <w:t>this</w:t>
      </w:r>
      <w:r>
        <w:rPr>
          <w:spacing w:val="-3"/>
        </w:rPr>
        <w:t> </w:t>
      </w:r>
      <w:r>
        <w:rPr/>
        <w:t>area,</w:t>
      </w:r>
      <w:r>
        <w:rPr>
          <w:spacing w:val="-3"/>
        </w:rPr>
        <w:t> </w:t>
      </w:r>
      <w:r>
        <w:rPr/>
        <w:t>meaning</w:t>
      </w:r>
      <w:r>
        <w:rPr>
          <w:spacing w:val="-3"/>
        </w:rPr>
        <w:t> </w:t>
      </w:r>
      <w:r>
        <w:rPr/>
        <w:t>GSB</w:t>
      </w:r>
      <w:r>
        <w:rPr>
          <w:spacing w:val="-4"/>
        </w:rPr>
        <w:t> </w:t>
      </w:r>
      <w:r>
        <w:rPr/>
        <w:t>are</w:t>
      </w:r>
      <w:r>
        <w:rPr>
          <w:spacing w:val="-4"/>
        </w:rPr>
        <w:t> </w:t>
      </w:r>
      <w:r>
        <w:rPr/>
        <w:t>in</w:t>
      </w:r>
      <w:r>
        <w:rPr>
          <w:spacing w:val="1"/>
        </w:rPr>
        <w:t> </w:t>
      </w:r>
      <w:r>
        <w:rPr/>
        <w:t>decline.</w:t>
      </w:r>
    </w:p>
    <w:p>
      <w:pPr>
        <w:pStyle w:val="BodyText"/>
        <w:spacing w:line="480" w:lineRule="auto" w:before="160"/>
        <w:ind w:left="120" w:right="662" w:firstLine="706"/>
      </w:pPr>
      <w:r>
        <w:rPr/>
        <w:t>There seems to be a bias in the formation of VO and Ni porphyrins, which could skew</w:t>
      </w:r>
      <w:r>
        <w:rPr>
          <w:spacing w:val="1"/>
        </w:rPr>
        <w:t> </w:t>
      </w:r>
      <w:r>
        <w:rPr/>
        <w:t>the ratio data. Overall, there is a strong preference for Ni to be chelated to ETIO compared to</w:t>
      </w:r>
      <w:r>
        <w:rPr>
          <w:spacing w:val="1"/>
        </w:rPr>
        <w:t> </w:t>
      </w:r>
      <w:r>
        <w:rPr/>
        <w:t>BiCAP but a strong preference for VO BiCAP to be formed compared to VO-ETIO. This bias can</w:t>
      </w:r>
      <w:r>
        <w:rPr>
          <w:spacing w:val="1"/>
        </w:rPr>
        <w:t> </w:t>
      </w:r>
      <w:r>
        <w:rPr/>
        <w:t>be seen in figure 28, which shows the relative percentages of each porphyrin compared to the</w:t>
      </w:r>
      <w:r>
        <w:rPr>
          <w:spacing w:val="1"/>
        </w:rPr>
        <w:t> </w:t>
      </w:r>
      <w:r>
        <w:rPr/>
        <w:t>total. The Middle Woodford Shale shows even a more substantial bias between the BiCAP and</w:t>
      </w:r>
      <w:r>
        <w:rPr>
          <w:spacing w:val="1"/>
        </w:rPr>
        <w:t> </w:t>
      </w:r>
      <w:r>
        <w:rPr/>
        <w:t>ETIO</w:t>
      </w:r>
      <w:r>
        <w:rPr>
          <w:spacing w:val="-3"/>
        </w:rPr>
        <w:t> </w:t>
      </w:r>
      <w:r>
        <w:rPr/>
        <w:t>nickel percentages,</w:t>
      </w:r>
      <w:r>
        <w:rPr>
          <w:spacing w:val="-4"/>
        </w:rPr>
        <w:t> </w:t>
      </w:r>
      <w:r>
        <w:rPr/>
        <w:t>with</w:t>
      </w:r>
      <w:r>
        <w:rPr>
          <w:spacing w:val="1"/>
        </w:rPr>
        <w:t> </w:t>
      </w:r>
      <w:r>
        <w:rPr/>
        <w:t>Ni-BiCAP</w:t>
      </w:r>
      <w:r>
        <w:rPr>
          <w:spacing w:val="-3"/>
        </w:rPr>
        <w:t> </w:t>
      </w:r>
      <w:r>
        <w:rPr/>
        <w:t>being</w:t>
      </w:r>
      <w:r>
        <w:rPr>
          <w:spacing w:val="-2"/>
        </w:rPr>
        <w:t> </w:t>
      </w:r>
      <w:r>
        <w:rPr/>
        <w:t>undetectable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some</w:t>
      </w:r>
      <w:r>
        <w:rPr>
          <w:spacing w:val="-3"/>
        </w:rPr>
        <w:t> </w:t>
      </w:r>
      <w:r>
        <w:rPr/>
        <w:t>samples.</w:t>
      </w:r>
      <w:r>
        <w:rPr>
          <w:spacing w:val="-5"/>
        </w:rPr>
        <w:t> </w:t>
      </w:r>
      <w:r>
        <w:rPr/>
        <w:t>The</w:t>
      </w:r>
      <w:r>
        <w:rPr>
          <w:spacing w:val="-1"/>
        </w:rPr>
        <w:t> </w:t>
      </w:r>
      <w:r>
        <w:rPr/>
        <w:t>distribution</w:t>
      </w:r>
      <w:r>
        <w:rPr>
          <w:spacing w:val="-4"/>
        </w:rPr>
        <w:t> </w:t>
      </w:r>
      <w:r>
        <w:rPr/>
        <w:t>of</w:t>
      </w:r>
      <w:r>
        <w:rPr>
          <w:spacing w:val="-51"/>
        </w:rPr>
        <w:t> </w:t>
      </w:r>
      <w:r>
        <w:rPr/>
        <w:t>porphyrins based on VO and Ni being different suggests that the diagenesis that occurred to</w:t>
      </w:r>
      <w:r>
        <w:rPr>
          <w:spacing w:val="1"/>
        </w:rPr>
        <w:t> </w:t>
      </w:r>
      <w:r>
        <w:rPr/>
        <w:t>exchange the metal center took place in different conditions or at a different time for each</w:t>
      </w:r>
      <w:r>
        <w:rPr>
          <w:spacing w:val="1"/>
        </w:rPr>
        <w:t> </w:t>
      </w:r>
      <w:r>
        <w:rPr/>
        <w:t>metal. Since ETIO is a degradation product of DPEP, it could be that the VO product is produced</w:t>
      </w:r>
      <w:r>
        <w:rPr>
          <w:spacing w:val="-52"/>
        </w:rPr>
        <w:t> </w:t>
      </w:r>
      <w:r>
        <w:rPr/>
        <w:t>earlier in diagenesis than the Ni product. This, however, does not provide an answer as to why</w:t>
      </w:r>
      <w:r>
        <w:rPr>
          <w:spacing w:val="1"/>
        </w:rPr>
        <w:t> </w:t>
      </w:r>
      <w:r>
        <w:rPr/>
        <w:t>the Middle Woodford Shale has such a strong bias with respect to the nickel constituents</w:t>
      </w:r>
      <w:r>
        <w:rPr>
          <w:spacing w:val="1"/>
        </w:rPr>
        <w:t> </w:t>
      </w:r>
      <w:r>
        <w:rPr/>
        <w:t>(Figure</w:t>
      </w:r>
      <w:r>
        <w:rPr>
          <w:spacing w:val="1"/>
        </w:rPr>
        <w:t> </w:t>
      </w:r>
      <w:r>
        <w:rPr/>
        <w:t>19</w:t>
      </w:r>
      <w:r>
        <w:rPr>
          <w:spacing w:val="-2"/>
        </w:rPr>
        <w:t> </w:t>
      </w:r>
      <w:r>
        <w:rPr/>
        <w:t>&amp; 27).</w:t>
      </w:r>
      <w:r>
        <w:rPr>
          <w:spacing w:val="-3"/>
        </w:rPr>
        <w:t> </w:t>
      </w:r>
      <w:r>
        <w:rPr/>
        <w:t>Returning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previously</w:t>
      </w:r>
      <w:r>
        <w:rPr>
          <w:spacing w:val="-4"/>
        </w:rPr>
        <w:t> </w:t>
      </w:r>
      <w:r>
        <w:rPr/>
        <w:t>mentioned</w:t>
      </w:r>
      <w:r>
        <w:rPr>
          <w:spacing w:val="2"/>
        </w:rPr>
        <w:t> </w:t>
      </w:r>
      <w:r>
        <w:rPr/>
        <w:t>correlation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transgressions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the</w:t>
      </w:r>
    </w:p>
    <w:p>
      <w:pPr>
        <w:spacing w:after="0" w:line="480" w:lineRule="auto"/>
        <w:sectPr>
          <w:pgSz w:w="12240" w:h="15840"/>
          <w:pgMar w:header="0" w:footer="1014" w:top="1400" w:bottom="1200" w:left="1320" w:right="820"/>
        </w:sectPr>
      </w:pPr>
    </w:p>
    <w:p>
      <w:pPr>
        <w:pStyle w:val="BodyText"/>
        <w:spacing w:line="480" w:lineRule="auto" w:before="39"/>
        <w:ind w:left="120" w:right="694"/>
      </w:pPr>
      <w:r>
        <w:rPr/>
        <w:t>excursion of nickel porphyrins (Figure 16 &amp; 19), it could be that the transgression brought</w:t>
      </w:r>
      <w:r>
        <w:rPr>
          <w:spacing w:val="1"/>
        </w:rPr>
        <w:t> </w:t>
      </w:r>
      <w:r>
        <w:rPr/>
        <w:t>terrigenous</w:t>
      </w:r>
      <w:r>
        <w:rPr>
          <w:spacing w:val="-4"/>
        </w:rPr>
        <w:t> </w:t>
      </w:r>
      <w:r>
        <w:rPr/>
        <w:t>sourced</w:t>
      </w:r>
      <w:r>
        <w:rPr>
          <w:spacing w:val="-2"/>
        </w:rPr>
        <w:t> </w:t>
      </w:r>
      <w:r>
        <w:rPr/>
        <w:t>nickel</w:t>
      </w:r>
      <w:r>
        <w:rPr>
          <w:spacing w:val="1"/>
        </w:rPr>
        <w:t> </w:t>
      </w:r>
      <w:r>
        <w:rPr/>
        <w:t>into the</w:t>
      </w:r>
      <w:r>
        <w:rPr>
          <w:spacing w:val="1"/>
        </w:rPr>
        <w:t> </w:t>
      </w:r>
      <w:r>
        <w:rPr/>
        <w:t>system.</w:t>
      </w:r>
      <w:r>
        <w:rPr>
          <w:spacing w:val="-5"/>
        </w:rPr>
        <w:t> </w:t>
      </w:r>
      <w:r>
        <w:rPr/>
        <w:t>This</w:t>
      </w:r>
      <w:r>
        <w:rPr>
          <w:spacing w:val="-3"/>
        </w:rPr>
        <w:t> </w:t>
      </w:r>
      <w:r>
        <w:rPr/>
        <w:t>explains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high</w:t>
      </w:r>
      <w:r>
        <w:rPr>
          <w:spacing w:val="-2"/>
        </w:rPr>
        <w:t> </w:t>
      </w:r>
      <w:r>
        <w:rPr/>
        <w:t>nickel</w:t>
      </w:r>
      <w:r>
        <w:rPr>
          <w:spacing w:val="-2"/>
        </w:rPr>
        <w:t> </w:t>
      </w:r>
      <w:r>
        <w:rPr/>
        <w:t>abundance</w:t>
      </w:r>
      <w:r>
        <w:rPr>
          <w:spacing w:val="-3"/>
        </w:rPr>
        <w:t> </w:t>
      </w:r>
      <w:r>
        <w:rPr/>
        <w:t>but</w:t>
      </w:r>
      <w:r>
        <w:rPr>
          <w:spacing w:val="-3"/>
        </w:rPr>
        <w:t> </w:t>
      </w:r>
      <w:r>
        <w:rPr/>
        <w:t>not</w:t>
      </w:r>
      <w:r>
        <w:rPr>
          <w:spacing w:val="-3"/>
        </w:rPr>
        <w:t> </w:t>
      </w:r>
      <w:r>
        <w:rPr/>
        <w:t>its</w:t>
      </w:r>
      <w:r>
        <w:rPr>
          <w:spacing w:val="-51"/>
        </w:rPr>
        <w:t> </w:t>
      </w:r>
      <w:r>
        <w:rPr/>
        <w:t>preferred chelation to ETIO vs DPEP and BiCAP. Alternatively, nickel-containing fluids could</w:t>
      </w:r>
      <w:r>
        <w:rPr>
          <w:spacing w:val="1"/>
        </w:rPr>
        <w:t> </w:t>
      </w:r>
      <w:r>
        <w:rPr/>
        <w:t>have permeated</w:t>
      </w:r>
      <w:r>
        <w:rPr>
          <w:spacing w:val="-3"/>
        </w:rPr>
        <w:t> </w:t>
      </w:r>
      <w:r>
        <w:rPr/>
        <w:t>the</w:t>
      </w:r>
      <w:r>
        <w:rPr>
          <w:spacing w:val="1"/>
        </w:rPr>
        <w:t> </w:t>
      </w:r>
      <w:r>
        <w:rPr/>
        <w:t>sediment</w:t>
      </w:r>
      <w:r>
        <w:rPr>
          <w:spacing w:val="-2"/>
        </w:rPr>
        <w:t> </w:t>
      </w:r>
      <w:r>
        <w:rPr/>
        <w:t>providing</w:t>
      </w:r>
      <w:r>
        <w:rPr>
          <w:spacing w:val="-2"/>
        </w:rPr>
        <w:t> </w:t>
      </w:r>
      <w:r>
        <w:rPr/>
        <w:t>nickel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later</w:t>
      </w:r>
      <w:r>
        <w:rPr>
          <w:spacing w:val="-2"/>
        </w:rPr>
        <w:t> </w:t>
      </w:r>
      <w:r>
        <w:rPr/>
        <w:t>diagenetic</w:t>
      </w:r>
      <w:r>
        <w:rPr>
          <w:spacing w:val="-3"/>
        </w:rPr>
        <w:t> </w:t>
      </w:r>
      <w:r>
        <w:rPr/>
        <w:t>porphyrin</w:t>
      </w:r>
      <w:r>
        <w:rPr>
          <w:spacing w:val="-2"/>
        </w:rPr>
        <w:t> </w:t>
      </w:r>
      <w:r>
        <w:rPr/>
        <w:t>product.</w:t>
      </w:r>
    </w:p>
    <w:p>
      <w:pPr>
        <w:pStyle w:val="BodyText"/>
        <w:spacing w:line="480" w:lineRule="auto" w:before="1"/>
        <w:ind w:left="120" w:right="660"/>
      </w:pPr>
      <w:r>
        <w:rPr/>
        <w:t>Turner et al. (2015) did not test for nickel as a trace metal so this remains speculative. Fluids</w:t>
      </w:r>
      <w:r>
        <w:rPr>
          <w:spacing w:val="1"/>
        </w:rPr>
        <w:t> </w:t>
      </w:r>
      <w:r>
        <w:rPr/>
        <w:t>produced in the Upper Woodford Shale would contain more available nickel as the Upper</w:t>
      </w:r>
      <w:r>
        <w:rPr>
          <w:spacing w:val="1"/>
        </w:rPr>
        <w:t> </w:t>
      </w:r>
      <w:r>
        <w:rPr/>
        <w:t>Woodford Shale is more oxygenated and does not contain PZE, which would limit the nickel.</w:t>
      </w:r>
      <w:r>
        <w:rPr>
          <w:spacing w:val="1"/>
        </w:rPr>
        <w:t> </w:t>
      </w:r>
      <w:r>
        <w:rPr/>
        <w:t>These</w:t>
      </w:r>
      <w:r>
        <w:rPr>
          <w:spacing w:val="-3"/>
        </w:rPr>
        <w:t> </w:t>
      </w:r>
      <w:r>
        <w:rPr/>
        <w:t>fluids</w:t>
      </w:r>
      <w:r>
        <w:rPr>
          <w:spacing w:val="-3"/>
        </w:rPr>
        <w:t> </w:t>
      </w:r>
      <w:r>
        <w:rPr/>
        <w:t>permeating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sediment</w:t>
      </w:r>
      <w:r>
        <w:rPr>
          <w:spacing w:val="2"/>
        </w:rPr>
        <w:t> </w:t>
      </w:r>
      <w:r>
        <w:rPr/>
        <w:t>would</w:t>
      </w:r>
      <w:r>
        <w:rPr>
          <w:spacing w:val="-1"/>
        </w:rPr>
        <w:t> </w:t>
      </w:r>
      <w:r>
        <w:rPr/>
        <w:t>encounter</w:t>
      </w:r>
      <w:r>
        <w:rPr>
          <w:spacing w:val="-3"/>
        </w:rPr>
        <w:t> </w:t>
      </w:r>
      <w:r>
        <w:rPr/>
        <w:t>more</w:t>
      </w:r>
      <w:r>
        <w:rPr>
          <w:spacing w:val="-2"/>
        </w:rPr>
        <w:t> </w:t>
      </w:r>
      <w:r>
        <w:rPr/>
        <w:t>ETIO</w:t>
      </w:r>
      <w:r>
        <w:rPr>
          <w:spacing w:val="-3"/>
        </w:rPr>
        <w:t> </w:t>
      </w:r>
      <w:r>
        <w:rPr/>
        <w:t>as</w:t>
      </w:r>
      <w:r>
        <w:rPr>
          <w:spacing w:val="-5"/>
        </w:rPr>
        <w:t> </w:t>
      </w:r>
      <w:r>
        <w:rPr/>
        <w:t>there</w:t>
      </w:r>
      <w:r>
        <w:rPr>
          <w:spacing w:val="-1"/>
        </w:rPr>
        <w:t> </w:t>
      </w:r>
      <w:r>
        <w:rPr/>
        <w:t>would</w:t>
      </w:r>
      <w:r>
        <w:rPr>
          <w:spacing w:val="-3"/>
        </w:rPr>
        <w:t> </w:t>
      </w:r>
      <w:r>
        <w:rPr/>
        <w:t>have</w:t>
      </w:r>
      <w:r>
        <w:rPr>
          <w:spacing w:val="-2"/>
        </w:rPr>
        <w:t> </w:t>
      </w:r>
      <w:r>
        <w:rPr/>
        <w:t>been</w:t>
      </w:r>
      <w:r>
        <w:rPr>
          <w:spacing w:val="-51"/>
        </w:rPr>
        <w:t> </w:t>
      </w:r>
      <w:r>
        <w:rPr/>
        <w:t>time for the degradation of BiCAP and DPEP to ETIO to occur. This idea, however, does not</w:t>
      </w:r>
      <w:r>
        <w:rPr>
          <w:spacing w:val="1"/>
        </w:rPr>
        <w:t> </w:t>
      </w:r>
      <w:r>
        <w:rPr/>
        <w:t>explain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bias</w:t>
      </w:r>
      <w:r>
        <w:rPr>
          <w:spacing w:val="-1"/>
        </w:rPr>
        <w:t> </w:t>
      </w:r>
      <w:r>
        <w:rPr/>
        <w:t>seen</w:t>
      </w:r>
      <w:r>
        <w:rPr>
          <w:spacing w:val="2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2"/>
        </w:rPr>
        <w:t> </w:t>
      </w:r>
      <w:r>
        <w:rPr/>
        <w:t>Upper</w:t>
      </w:r>
      <w:r>
        <w:rPr>
          <w:spacing w:val="-3"/>
        </w:rPr>
        <w:t> </w:t>
      </w:r>
      <w:r>
        <w:rPr/>
        <w:t>Woodford</w:t>
      </w:r>
      <w:r>
        <w:rPr>
          <w:spacing w:val="2"/>
        </w:rPr>
        <w:t> </w:t>
      </w:r>
      <w:r>
        <w:rPr/>
        <w:t>Shale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Ni-ETIO.</w:t>
      </w:r>
    </w:p>
    <w:p>
      <w:pPr>
        <w:spacing w:after="0" w:line="480" w:lineRule="auto"/>
        <w:sectPr>
          <w:pgSz w:w="12240" w:h="15840"/>
          <w:pgMar w:header="0" w:footer="1014" w:top="1400" w:bottom="1200" w:left="1320" w:right="820"/>
        </w:sectPr>
      </w:pPr>
    </w:p>
    <w:p>
      <w:pPr>
        <w:pStyle w:val="BodyText"/>
        <w:ind w:left="115"/>
        <w:rPr>
          <w:sz w:val="20"/>
        </w:rPr>
      </w:pPr>
      <w:r>
        <w:rPr>
          <w:sz w:val="20"/>
        </w:rPr>
        <w:drawing>
          <wp:inline distT="0" distB="0" distL="0" distR="0">
            <wp:extent cx="5944637" cy="4434840"/>
            <wp:effectExtent l="0" t="0" r="0" b="0"/>
            <wp:docPr id="55" name="image2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28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4637" cy="443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8"/>
        <w:rPr>
          <w:sz w:val="10"/>
        </w:rPr>
      </w:pPr>
    </w:p>
    <w:p>
      <w:pPr>
        <w:spacing w:before="56"/>
        <w:ind w:left="120" w:right="660" w:firstLine="0"/>
        <w:jc w:val="left"/>
        <w:rPr>
          <w:sz w:val="22"/>
        </w:rPr>
      </w:pPr>
      <w:r>
        <w:rPr>
          <w:sz w:val="22"/>
        </w:rPr>
        <w:t>Figure</w:t>
      </w:r>
      <w:r>
        <w:rPr>
          <w:spacing w:val="-1"/>
          <w:sz w:val="22"/>
        </w:rPr>
        <w:t> </w:t>
      </w:r>
      <w:r>
        <w:rPr>
          <w:sz w:val="22"/>
        </w:rPr>
        <w:t>28.</w:t>
      </w:r>
      <w:r>
        <w:rPr>
          <w:spacing w:val="-2"/>
          <w:sz w:val="22"/>
        </w:rPr>
        <w:t> </w:t>
      </w:r>
      <w:r>
        <w:rPr>
          <w:sz w:val="22"/>
        </w:rPr>
        <w:t>Relative</w:t>
      </w:r>
      <w:r>
        <w:rPr>
          <w:spacing w:val="-3"/>
          <w:sz w:val="22"/>
        </w:rPr>
        <w:t> </w:t>
      </w:r>
      <w:r>
        <w:rPr>
          <w:sz w:val="22"/>
        </w:rPr>
        <w:t>abundance of</w:t>
      </w:r>
      <w:r>
        <w:rPr>
          <w:spacing w:val="-3"/>
          <w:sz w:val="22"/>
        </w:rPr>
        <w:t> </w:t>
      </w:r>
      <w:r>
        <w:rPr>
          <w:sz w:val="22"/>
        </w:rPr>
        <w:t>BiCAP,</w:t>
      </w:r>
      <w:r>
        <w:rPr>
          <w:spacing w:val="-2"/>
          <w:sz w:val="22"/>
        </w:rPr>
        <w:t> </w:t>
      </w:r>
      <w:r>
        <w:rPr>
          <w:sz w:val="22"/>
        </w:rPr>
        <w:t>DPEP,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2"/>
          <w:sz w:val="22"/>
        </w:rPr>
        <w:t> </w:t>
      </w:r>
      <w:r>
        <w:rPr>
          <w:sz w:val="22"/>
        </w:rPr>
        <w:t>ETIO</w:t>
      </w:r>
      <w:r>
        <w:rPr>
          <w:spacing w:val="-2"/>
          <w:sz w:val="22"/>
        </w:rPr>
        <w:t> </w:t>
      </w:r>
      <w:r>
        <w:rPr>
          <w:sz w:val="22"/>
        </w:rPr>
        <w:t>for</w:t>
      </w:r>
      <w:r>
        <w:rPr>
          <w:spacing w:val="-5"/>
          <w:sz w:val="22"/>
        </w:rPr>
        <w:t> </w:t>
      </w:r>
      <w:r>
        <w:rPr>
          <w:sz w:val="22"/>
        </w:rPr>
        <w:t>all the</w:t>
      </w:r>
      <w:r>
        <w:rPr>
          <w:spacing w:val="-3"/>
          <w:sz w:val="22"/>
        </w:rPr>
        <w:t> </w:t>
      </w:r>
      <w:r>
        <w:rPr>
          <w:sz w:val="22"/>
        </w:rPr>
        <w:t>VO porphyrins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2"/>
          <w:sz w:val="22"/>
        </w:rPr>
        <w:t> </w:t>
      </w:r>
      <w:r>
        <w:rPr>
          <w:sz w:val="22"/>
        </w:rPr>
        <w:t>all</w:t>
      </w:r>
      <w:r>
        <w:rPr>
          <w:spacing w:val="-1"/>
          <w:sz w:val="22"/>
        </w:rPr>
        <w:t> </w:t>
      </w:r>
      <w:r>
        <w:rPr>
          <w:sz w:val="22"/>
        </w:rPr>
        <w:t>the Ni</w:t>
      </w:r>
      <w:r>
        <w:rPr>
          <w:spacing w:val="-47"/>
          <w:sz w:val="22"/>
        </w:rPr>
        <w:t> </w:t>
      </w:r>
      <w:r>
        <w:rPr>
          <w:sz w:val="22"/>
        </w:rPr>
        <w:t>Porphyrins.</w:t>
      </w:r>
      <w:r>
        <w:rPr>
          <w:spacing w:val="-1"/>
          <w:sz w:val="22"/>
        </w:rPr>
        <w:t> </w:t>
      </w:r>
      <w:r>
        <w:rPr>
          <w:sz w:val="22"/>
        </w:rPr>
        <w:t>The dashed box surrounds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Middle Woodford</w:t>
      </w:r>
      <w:r>
        <w:rPr>
          <w:spacing w:val="-2"/>
          <w:sz w:val="22"/>
        </w:rPr>
        <w:t> </w:t>
      </w:r>
      <w:r>
        <w:rPr>
          <w:sz w:val="22"/>
        </w:rPr>
        <w:t>Shale.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line="480" w:lineRule="auto" w:before="141"/>
        <w:ind w:left="120" w:right="678" w:firstLine="720"/>
      </w:pPr>
      <w:r>
        <w:rPr/>
        <w:t>With a limited free porphyrin pool, implied by the absence of free porphyrin in all</w:t>
      </w:r>
      <w:r>
        <w:rPr>
          <w:spacing w:val="1"/>
        </w:rPr>
        <w:t> </w:t>
      </w:r>
      <w:r>
        <w:rPr/>
        <w:t>analyzed shales, there could be a bias in the formation of VO and Ni BiCAP and ETIO</w:t>
      </w:r>
      <w:r>
        <w:rPr>
          <w:spacing w:val="1"/>
        </w:rPr>
        <w:t> </w:t>
      </w:r>
      <w:r>
        <w:rPr/>
        <w:t>determined</w:t>
      </w:r>
      <w:r>
        <w:rPr>
          <w:spacing w:val="-3"/>
        </w:rPr>
        <w:t> </w:t>
      </w:r>
      <w:r>
        <w:rPr/>
        <w:t>merely</w:t>
      </w:r>
      <w:r>
        <w:rPr>
          <w:spacing w:val="-3"/>
        </w:rPr>
        <w:t> </w:t>
      </w:r>
      <w:r>
        <w:rPr/>
        <w:t>by the</w:t>
      </w:r>
      <w:r>
        <w:rPr>
          <w:spacing w:val="-2"/>
        </w:rPr>
        <w:t> </w:t>
      </w:r>
      <w:r>
        <w:rPr/>
        <w:t>chemical</w:t>
      </w:r>
      <w:r>
        <w:rPr>
          <w:spacing w:val="-3"/>
        </w:rPr>
        <w:t> </w:t>
      </w:r>
      <w:r>
        <w:rPr/>
        <w:t>features</w:t>
      </w:r>
      <w:r>
        <w:rPr>
          <w:spacing w:val="-2"/>
        </w:rPr>
        <w:t> </w:t>
      </w:r>
      <w:r>
        <w:rPr/>
        <w:t>of</w:t>
      </w:r>
      <w:r>
        <w:rPr>
          <w:spacing w:val="2"/>
        </w:rPr>
        <w:t> </w:t>
      </w:r>
      <w:r>
        <w:rPr/>
        <w:t>BiCAP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ETIO.</w:t>
      </w:r>
      <w:r>
        <w:rPr>
          <w:spacing w:val="-1"/>
        </w:rPr>
        <w:t> </w:t>
      </w:r>
      <w:r>
        <w:rPr/>
        <w:t>The</w:t>
      </w:r>
      <w:r>
        <w:rPr>
          <w:spacing w:val="-4"/>
        </w:rPr>
        <w:t> </w:t>
      </w:r>
      <w:r>
        <w:rPr/>
        <w:t>VO has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smaller</w:t>
      </w:r>
      <w:r>
        <w:rPr>
          <w:spacing w:val="-4"/>
        </w:rPr>
        <w:t> </w:t>
      </w:r>
      <w:r>
        <w:rPr/>
        <w:t>ionic</w:t>
      </w:r>
      <w:r>
        <w:rPr>
          <w:spacing w:val="-2"/>
        </w:rPr>
        <w:t> </w:t>
      </w:r>
      <w:r>
        <w:rPr/>
        <w:t>radii</w:t>
      </w:r>
      <w:r>
        <w:rPr>
          <w:spacing w:val="-51"/>
        </w:rPr>
        <w:t> </w:t>
      </w:r>
      <w:r>
        <w:rPr/>
        <w:t>at 0.63 angstroms than Ni at 0.69 angstroms (Lewan and Maynard, 1982); the smaller size</w:t>
      </w:r>
      <w:r>
        <w:rPr>
          <w:spacing w:val="1"/>
        </w:rPr>
        <w:t> </w:t>
      </w:r>
      <w:r>
        <w:rPr/>
        <w:t>might be favored in the BiCAP structure as opposed to the ETIO structures. The VO being a</w:t>
      </w:r>
      <w:r>
        <w:rPr>
          <w:spacing w:val="1"/>
        </w:rPr>
        <w:t> </w:t>
      </w:r>
      <w:r>
        <w:rPr/>
        <w:t>molecule, has a highly negative oxygen, which means that the overall positive charge could be</w:t>
      </w:r>
      <w:r>
        <w:rPr>
          <w:spacing w:val="1"/>
        </w:rPr>
        <w:t> </w:t>
      </w:r>
      <w:r>
        <w:rPr/>
        <w:t>more</w:t>
      </w:r>
      <w:r>
        <w:rPr>
          <w:spacing w:val="1"/>
        </w:rPr>
        <w:t> </w:t>
      </w:r>
      <w:r>
        <w:rPr/>
        <w:t>shielded</w:t>
      </w:r>
      <w:r>
        <w:rPr>
          <w:spacing w:val="-3"/>
        </w:rPr>
        <w:t> </w:t>
      </w:r>
      <w:r>
        <w:rPr/>
        <w:t>than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single</w:t>
      </w:r>
      <w:r>
        <w:rPr>
          <w:spacing w:val="-2"/>
        </w:rPr>
        <w:t> </w:t>
      </w:r>
      <w:r>
        <w:rPr/>
        <w:t>Ni</w:t>
      </w:r>
      <w:r>
        <w:rPr>
          <w:spacing w:val="-3"/>
        </w:rPr>
        <w:t> </w:t>
      </w:r>
      <w:r>
        <w:rPr/>
        <w:t>atom.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extra</w:t>
      </w:r>
      <w:r>
        <w:rPr>
          <w:spacing w:val="1"/>
        </w:rPr>
        <w:t> </w:t>
      </w:r>
      <w:r>
        <w:rPr/>
        <w:t>E</w:t>
      </w:r>
      <w:r>
        <w:rPr>
          <w:spacing w:val="-5"/>
        </w:rPr>
        <w:t> </w:t>
      </w:r>
      <w:r>
        <w:rPr/>
        <w:t>and</w:t>
      </w:r>
      <w:r>
        <w:rPr>
          <w:spacing w:val="3"/>
        </w:rPr>
        <w:t> </w:t>
      </w:r>
      <w:r>
        <w:rPr/>
        <w:t>F</w:t>
      </w:r>
      <w:r>
        <w:rPr>
          <w:spacing w:val="-4"/>
        </w:rPr>
        <w:t> </w:t>
      </w:r>
      <w:r>
        <w:rPr/>
        <w:t>ring</w:t>
      </w:r>
      <w:r>
        <w:rPr>
          <w:spacing w:val="-4"/>
        </w:rPr>
        <w:t> </w:t>
      </w:r>
      <w:r>
        <w:rPr/>
        <w:t>structures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BiCAP</w:t>
      </w:r>
      <w:r>
        <w:rPr>
          <w:spacing w:val="2"/>
        </w:rPr>
        <w:t> </w:t>
      </w:r>
      <w:r>
        <w:rPr/>
        <w:t>(Figure</w:t>
      </w:r>
      <w:r>
        <w:rPr>
          <w:spacing w:val="-2"/>
        </w:rPr>
        <w:t> </w:t>
      </w:r>
      <w:r>
        <w:rPr/>
        <w:t>29)</w:t>
      </w:r>
    </w:p>
    <w:p>
      <w:pPr>
        <w:spacing w:after="0" w:line="480" w:lineRule="auto"/>
        <w:sectPr>
          <w:pgSz w:w="12240" w:h="15840"/>
          <w:pgMar w:header="0" w:footer="1014" w:top="1440" w:bottom="1200" w:left="1320" w:right="820"/>
        </w:sectPr>
      </w:pPr>
    </w:p>
    <w:p>
      <w:pPr>
        <w:pStyle w:val="BodyText"/>
        <w:spacing w:line="480" w:lineRule="auto" w:before="39"/>
        <w:ind w:left="120" w:right="660"/>
      </w:pPr>
      <w:r>
        <w:rPr/>
        <w:t>could mean the electrons are not drawn away from the binding nitrogen as strongly, and</w:t>
      </w:r>
      <w:r>
        <w:rPr>
          <w:spacing w:val="1"/>
        </w:rPr>
        <w:t> </w:t>
      </w:r>
      <w:r>
        <w:rPr/>
        <w:t>therefore</w:t>
      </w:r>
      <w:r>
        <w:rPr>
          <w:spacing w:val="-2"/>
        </w:rPr>
        <w:t> </w:t>
      </w:r>
      <w:r>
        <w:rPr/>
        <w:t>BiCAP</w:t>
      </w:r>
      <w:r>
        <w:rPr>
          <w:spacing w:val="2"/>
        </w:rPr>
        <w:t> </w:t>
      </w:r>
      <w:r>
        <w:rPr/>
        <w:t>can</w:t>
      </w:r>
      <w:r>
        <w:rPr>
          <w:spacing w:val="-2"/>
        </w:rPr>
        <w:t> </w:t>
      </w:r>
      <w:r>
        <w:rPr/>
        <w:t>hold</w:t>
      </w:r>
      <w:r>
        <w:rPr>
          <w:spacing w:val="-3"/>
        </w:rPr>
        <w:t> </w:t>
      </w:r>
      <w:r>
        <w:rPr/>
        <w:t>onto VO</w:t>
      </w:r>
      <w:r>
        <w:rPr>
          <w:spacing w:val="-2"/>
        </w:rPr>
        <w:t> </w:t>
      </w:r>
      <w:r>
        <w:rPr/>
        <w:t>better.</w:t>
      </w:r>
      <w:r>
        <w:rPr>
          <w:spacing w:val="-3"/>
        </w:rPr>
        <w:t> </w:t>
      </w:r>
      <w:r>
        <w:rPr/>
        <w:t>Conversely,</w:t>
      </w:r>
      <w:r>
        <w:rPr>
          <w:spacing w:val="-2"/>
        </w:rPr>
        <w:t> </w:t>
      </w:r>
      <w:r>
        <w:rPr/>
        <w:t>ETIO</w:t>
      </w:r>
      <w:r>
        <w:rPr>
          <w:spacing w:val="-3"/>
        </w:rPr>
        <w:t> </w:t>
      </w:r>
      <w:r>
        <w:rPr/>
        <w:t>has</w:t>
      </w:r>
      <w:r>
        <w:rPr>
          <w:spacing w:val="-4"/>
        </w:rPr>
        <w:t> </w:t>
      </w:r>
      <w:r>
        <w:rPr/>
        <w:t>hydrogens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place</w:t>
      </w:r>
      <w:r>
        <w:rPr>
          <w:spacing w:val="-3"/>
        </w:rPr>
        <w:t> </w:t>
      </w:r>
      <w:r>
        <w:rPr/>
        <w:t>of</w:t>
      </w:r>
      <w:r>
        <w:rPr>
          <w:spacing w:val="2"/>
        </w:rPr>
        <w:t> </w:t>
      </w:r>
      <w:r>
        <w:rPr/>
        <w:t>these</w:t>
      </w:r>
      <w:r>
        <w:rPr>
          <w:spacing w:val="-3"/>
        </w:rPr>
        <w:t> </w:t>
      </w:r>
      <w:r>
        <w:rPr/>
        <w:t>ring</w:t>
      </w:r>
      <w:r>
        <w:rPr>
          <w:spacing w:val="-51"/>
        </w:rPr>
        <w:t> </w:t>
      </w:r>
      <w:r>
        <w:rPr/>
        <w:t>structures providing a slight positive charge which would draw the negative charge from the</w:t>
      </w:r>
      <w:r>
        <w:rPr>
          <w:spacing w:val="1"/>
        </w:rPr>
        <w:t> </w:t>
      </w:r>
      <w:r>
        <w:rPr/>
        <w:t>nitrogen’s; this would require a metal with less electron shielding to form a strong bond with</w:t>
      </w:r>
      <w:r>
        <w:rPr>
          <w:spacing w:val="1"/>
        </w:rPr>
        <w:t> </w:t>
      </w:r>
      <w:r>
        <w:rPr/>
        <w:t>ETIO.</w:t>
      </w:r>
    </w:p>
    <w:p>
      <w:pPr>
        <w:pStyle w:val="BodyText"/>
        <w:spacing w:before="3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213">
            <wp:simplePos x="0" y="0"/>
            <wp:positionH relativeFrom="page">
              <wp:posOffset>1508760</wp:posOffset>
            </wp:positionH>
            <wp:positionV relativeFrom="paragraph">
              <wp:posOffset>148915</wp:posOffset>
            </wp:positionV>
            <wp:extent cx="5218176" cy="1950720"/>
            <wp:effectExtent l="0" t="0" r="0" b="0"/>
            <wp:wrapTopAndBottom/>
            <wp:docPr id="57" name="image2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" name="image29.jpe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8176" cy="1950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93"/>
        <w:ind w:left="120" w:right="660" w:firstLine="0"/>
        <w:jc w:val="left"/>
        <w:rPr>
          <w:sz w:val="22"/>
        </w:rPr>
      </w:pPr>
      <w:r>
        <w:rPr>
          <w:sz w:val="22"/>
        </w:rPr>
        <w:t>Figure 29. The ring configurations in BiCAP, DPEP, and ETIO. The red letters delineate each ring. In</w:t>
      </w:r>
      <w:r>
        <w:rPr>
          <w:spacing w:val="1"/>
          <w:sz w:val="22"/>
        </w:rPr>
        <w:t> </w:t>
      </w:r>
      <w:r>
        <w:rPr>
          <w:sz w:val="22"/>
        </w:rPr>
        <w:t>addition</w:t>
      </w:r>
      <w:r>
        <w:rPr>
          <w:spacing w:val="-3"/>
          <w:sz w:val="22"/>
        </w:rPr>
        <w:t> </w:t>
      </w:r>
      <w:r>
        <w:rPr>
          <w:sz w:val="22"/>
        </w:rPr>
        <w:t>to the A,B,C,</w:t>
      </w:r>
      <w:r>
        <w:rPr>
          <w:spacing w:val="-5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D rings</w:t>
      </w:r>
      <w:r>
        <w:rPr>
          <w:spacing w:val="-1"/>
          <w:sz w:val="22"/>
        </w:rPr>
        <w:t> </w:t>
      </w:r>
      <w:r>
        <w:rPr>
          <w:sz w:val="22"/>
        </w:rPr>
        <w:t>BiCAP</w:t>
      </w:r>
      <w:r>
        <w:rPr>
          <w:spacing w:val="3"/>
          <w:sz w:val="22"/>
        </w:rPr>
        <w:t> </w:t>
      </w:r>
      <w:r>
        <w:rPr>
          <w:sz w:val="22"/>
        </w:rPr>
        <w:t>has both an</w:t>
      </w:r>
      <w:r>
        <w:rPr>
          <w:spacing w:val="-5"/>
          <w:sz w:val="22"/>
        </w:rPr>
        <w:t> </w:t>
      </w:r>
      <w:r>
        <w:rPr>
          <w:sz w:val="22"/>
        </w:rPr>
        <w:t>E</w:t>
      </w:r>
      <w:r>
        <w:rPr>
          <w:spacing w:val="-2"/>
          <w:sz w:val="22"/>
        </w:rPr>
        <w:t> </w:t>
      </w:r>
      <w:r>
        <w:rPr>
          <w:sz w:val="22"/>
        </w:rPr>
        <w:t>and</w:t>
      </w:r>
      <w:r>
        <w:rPr>
          <w:spacing w:val="-2"/>
          <w:sz w:val="22"/>
        </w:rPr>
        <w:t> </w:t>
      </w:r>
      <w:r>
        <w:rPr>
          <w:sz w:val="22"/>
        </w:rPr>
        <w:t>F</w:t>
      </w:r>
      <w:r>
        <w:rPr>
          <w:spacing w:val="-1"/>
          <w:sz w:val="22"/>
        </w:rPr>
        <w:t> </w:t>
      </w:r>
      <w:r>
        <w:rPr>
          <w:sz w:val="22"/>
        </w:rPr>
        <w:t>ring, DPEP</w:t>
      </w:r>
      <w:r>
        <w:rPr>
          <w:spacing w:val="-1"/>
          <w:sz w:val="22"/>
        </w:rPr>
        <w:t> </w:t>
      </w:r>
      <w:r>
        <w:rPr>
          <w:sz w:val="22"/>
        </w:rPr>
        <w:t>only the</w:t>
      </w:r>
      <w:r>
        <w:rPr>
          <w:spacing w:val="-1"/>
          <w:sz w:val="22"/>
        </w:rPr>
        <w:t> </w:t>
      </w:r>
      <w:r>
        <w:rPr>
          <w:sz w:val="22"/>
        </w:rPr>
        <w:t>E</w:t>
      </w:r>
      <w:r>
        <w:rPr>
          <w:spacing w:val="-2"/>
          <w:sz w:val="22"/>
        </w:rPr>
        <w:t> </w:t>
      </w:r>
      <w:r>
        <w:rPr>
          <w:sz w:val="22"/>
        </w:rPr>
        <w:t>ring,</w:t>
      </w:r>
      <w:r>
        <w:rPr>
          <w:spacing w:val="-2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ETIO</w:t>
      </w:r>
      <w:r>
        <w:rPr>
          <w:spacing w:val="-2"/>
          <w:sz w:val="22"/>
        </w:rPr>
        <w:t> </w:t>
      </w:r>
      <w:r>
        <w:rPr>
          <w:sz w:val="22"/>
        </w:rPr>
        <w:t>has</w:t>
      </w:r>
      <w:r>
        <w:rPr>
          <w:spacing w:val="-47"/>
          <w:sz w:val="22"/>
        </w:rPr>
        <w:t> </w:t>
      </w:r>
      <w:r>
        <w:rPr>
          <w:sz w:val="22"/>
        </w:rPr>
        <w:t>neither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extra ring</w:t>
      </w:r>
      <w:r>
        <w:rPr>
          <w:spacing w:val="-2"/>
          <w:sz w:val="22"/>
        </w:rPr>
        <w:t> </w:t>
      </w:r>
      <w:r>
        <w:rPr>
          <w:sz w:val="22"/>
        </w:rPr>
        <w:t>structures.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line="480" w:lineRule="auto" w:before="141"/>
        <w:ind w:left="120" w:right="722" w:firstLine="720"/>
      </w:pPr>
      <w:r>
        <w:rPr/>
        <w:t>There is also the possibility that this bias results from structural differences and</w:t>
      </w:r>
      <w:r>
        <w:rPr>
          <w:spacing w:val="1"/>
        </w:rPr>
        <w:t> </w:t>
      </w:r>
      <w:r>
        <w:rPr/>
        <w:t>preferences.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Ni(II)</w:t>
      </w:r>
      <w:r>
        <w:rPr>
          <w:spacing w:val="-2"/>
        </w:rPr>
        <w:t> </w:t>
      </w:r>
      <w:r>
        <w:rPr/>
        <w:t>ions</w:t>
      </w:r>
      <w:r>
        <w:rPr>
          <w:spacing w:val="1"/>
        </w:rPr>
        <w:t> </w:t>
      </w:r>
      <w:r>
        <w:rPr/>
        <w:t>have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very</w:t>
      </w:r>
      <w:r>
        <w:rPr>
          <w:spacing w:val="-5"/>
        </w:rPr>
        <w:t> </w:t>
      </w:r>
      <w:r>
        <w:rPr/>
        <w:t>strong</w:t>
      </w:r>
      <w:r>
        <w:rPr>
          <w:spacing w:val="-1"/>
        </w:rPr>
        <w:t> </w:t>
      </w:r>
      <w:r>
        <w:rPr/>
        <w:t>preference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square-planar</w:t>
      </w:r>
      <w:r>
        <w:rPr>
          <w:spacing w:val="1"/>
        </w:rPr>
        <w:t> </w:t>
      </w:r>
      <w:r>
        <w:rPr/>
        <w:t>binding</w:t>
      </w:r>
      <w:r>
        <w:rPr>
          <w:spacing w:val="-4"/>
        </w:rPr>
        <w:t> </w:t>
      </w:r>
      <w:r>
        <w:rPr/>
        <w:t>with</w:t>
      </w:r>
      <w:r>
        <w:rPr>
          <w:spacing w:val="-3"/>
        </w:rPr>
        <w:t> </w:t>
      </w:r>
      <w:r>
        <w:rPr/>
        <w:t>the Ni</w:t>
      </w:r>
      <w:r>
        <w:rPr>
          <w:spacing w:val="-51"/>
        </w:rPr>
        <w:t> </w:t>
      </w:r>
      <w:r>
        <w:rPr/>
        <w:t>atom in the plane of the four porphyrin N atoms (Kim et al., 1996). However, vanadyl</w:t>
      </w:r>
      <w:r>
        <w:rPr>
          <w:spacing w:val="1"/>
        </w:rPr>
        <w:t> </w:t>
      </w:r>
      <w:r>
        <w:rPr/>
        <w:t>complexes have a five-coordinate square-pyramidal geometry, with the V atom sitting above</w:t>
      </w:r>
      <w:r>
        <w:rPr>
          <w:spacing w:val="1"/>
        </w:rPr>
        <w:t> </w:t>
      </w:r>
      <w:r>
        <w:rPr/>
        <w:t>the plane of the four porphyrin N atoms and the O atom bound in the axial position (Drew et</w:t>
      </w:r>
      <w:r>
        <w:rPr>
          <w:spacing w:val="1"/>
        </w:rPr>
        <w:t> </w:t>
      </w:r>
      <w:r>
        <w:rPr/>
        <w:t>al., 1984; Zhang et al., 2019). Since ETIO is the least constrained in its ring movement, it can</w:t>
      </w:r>
      <w:r>
        <w:rPr>
          <w:spacing w:val="1"/>
        </w:rPr>
        <w:t> </w:t>
      </w:r>
      <w:r>
        <w:rPr/>
        <w:t>adopt a conformation in which the N atoms form a perfect square-planar coordination</w:t>
      </w:r>
      <w:r>
        <w:rPr>
          <w:spacing w:val="1"/>
        </w:rPr>
        <w:t> </w:t>
      </w:r>
      <w:r>
        <w:rPr/>
        <w:t>environment</w:t>
      </w:r>
      <w:r>
        <w:rPr>
          <w:spacing w:val="-4"/>
        </w:rPr>
        <w:t> </w:t>
      </w:r>
      <w:r>
        <w:rPr/>
        <w:t>for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Ni.</w:t>
      </w:r>
      <w:r>
        <w:rPr>
          <w:spacing w:val="-6"/>
        </w:rPr>
        <w:t> </w:t>
      </w:r>
      <w:r>
        <w:rPr/>
        <w:t>Due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the increased</w:t>
      </w:r>
      <w:r>
        <w:rPr>
          <w:spacing w:val="2"/>
        </w:rPr>
        <w:t> </w:t>
      </w:r>
      <w:r>
        <w:rPr/>
        <w:t>rigidity</w:t>
      </w:r>
      <w:r>
        <w:rPr>
          <w:spacing w:val="-1"/>
        </w:rPr>
        <w:t> </w:t>
      </w:r>
      <w:r>
        <w:rPr/>
        <w:t>from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extra ring</w:t>
      </w:r>
      <w:r>
        <w:rPr>
          <w:spacing w:val="1"/>
        </w:rPr>
        <w:t> </w:t>
      </w:r>
      <w:r>
        <w:rPr/>
        <w:t>structures</w:t>
      </w:r>
      <w:r>
        <w:rPr>
          <w:spacing w:val="-2"/>
        </w:rPr>
        <w:t> </w:t>
      </w:r>
      <w:r>
        <w:rPr/>
        <w:t>BiCAP</w:t>
      </w:r>
      <w:r>
        <w:rPr>
          <w:spacing w:val="-3"/>
        </w:rPr>
        <w:t> </w:t>
      </w:r>
      <w:r>
        <w:rPr/>
        <w:t>and</w:t>
      </w:r>
    </w:p>
    <w:p>
      <w:pPr>
        <w:spacing w:after="0" w:line="480" w:lineRule="auto"/>
        <w:sectPr>
          <w:pgSz w:w="12240" w:h="15840"/>
          <w:pgMar w:header="0" w:footer="1014" w:top="1400" w:bottom="1200" w:left="1320" w:right="820"/>
        </w:sectPr>
      </w:pPr>
    </w:p>
    <w:p>
      <w:pPr>
        <w:pStyle w:val="BodyText"/>
        <w:spacing w:line="480" w:lineRule="auto" w:before="39"/>
        <w:ind w:left="120" w:right="663"/>
      </w:pPr>
      <w:r>
        <w:rPr/>
        <w:t>DPEP,</w:t>
      </w:r>
      <w:r>
        <w:rPr>
          <w:spacing w:val="-5"/>
        </w:rPr>
        <w:t> </w:t>
      </w:r>
      <w:r>
        <w:rPr/>
        <w:t>these</w:t>
      </w:r>
      <w:r>
        <w:rPr>
          <w:spacing w:val="-2"/>
        </w:rPr>
        <w:t> </w:t>
      </w:r>
      <w:r>
        <w:rPr/>
        <w:t>structures</w:t>
      </w:r>
      <w:r>
        <w:rPr>
          <w:spacing w:val="-4"/>
        </w:rPr>
        <w:t> </w:t>
      </w:r>
      <w:r>
        <w:rPr/>
        <w:t>might</w:t>
      </w:r>
      <w:r>
        <w:rPr>
          <w:spacing w:val="-2"/>
        </w:rPr>
        <w:t> </w:t>
      </w:r>
      <w:r>
        <w:rPr/>
        <w:t>now</w:t>
      </w:r>
      <w:r>
        <w:rPr>
          <w:spacing w:val="-3"/>
        </w:rPr>
        <w:t> </w:t>
      </w:r>
      <w:r>
        <w:rPr/>
        <w:t>be</w:t>
      </w:r>
      <w:r>
        <w:rPr>
          <w:spacing w:val="2"/>
        </w:rPr>
        <w:t> </w:t>
      </w:r>
      <w:r>
        <w:rPr/>
        <w:t>able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adopt</w:t>
      </w:r>
      <w:r>
        <w:rPr>
          <w:spacing w:val="-2"/>
        </w:rPr>
        <w:t> </w:t>
      </w:r>
      <w:r>
        <w:rPr/>
        <w:t>such</w:t>
      </w:r>
      <w:r>
        <w:rPr>
          <w:spacing w:val="-4"/>
        </w:rPr>
        <w:t> </w:t>
      </w:r>
      <w:r>
        <w:rPr/>
        <w:t>a</w:t>
      </w:r>
      <w:r>
        <w:rPr>
          <w:spacing w:val="1"/>
        </w:rPr>
        <w:t> </w:t>
      </w:r>
      <w:r>
        <w:rPr/>
        <w:t>geometry,</w:t>
      </w:r>
      <w:r>
        <w:rPr>
          <w:spacing w:val="-2"/>
        </w:rPr>
        <w:t> </w:t>
      </w:r>
      <w:r>
        <w:rPr/>
        <w:t>leading</w:t>
      </w:r>
      <w:r>
        <w:rPr>
          <w:spacing w:val="1"/>
        </w:rPr>
        <w:t> </w:t>
      </w:r>
      <w:r>
        <w:rPr/>
        <w:t>to</w:t>
      </w:r>
      <w:r>
        <w:rPr>
          <w:spacing w:val="-3"/>
        </w:rPr>
        <w:t> </w:t>
      </w:r>
      <w:r>
        <w:rPr/>
        <w:t>some</w:t>
      </w:r>
      <w:r>
        <w:rPr>
          <w:spacing w:val="-3"/>
        </w:rPr>
        <w:t> </w:t>
      </w:r>
      <w:r>
        <w:rPr/>
        <w:t>puckering</w:t>
      </w:r>
      <w:r>
        <w:rPr>
          <w:spacing w:val="-51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porphyrin</w:t>
      </w:r>
      <w:r>
        <w:rPr>
          <w:spacing w:val="-2"/>
        </w:rPr>
        <w:t> </w:t>
      </w:r>
      <w:r>
        <w:rPr/>
        <w:t>ring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non-ideal</w:t>
      </w:r>
      <w:r>
        <w:rPr>
          <w:spacing w:val="-4"/>
        </w:rPr>
        <w:t> </w:t>
      </w:r>
      <w:r>
        <w:rPr/>
        <w:t>arrangement</w:t>
      </w:r>
      <w:r>
        <w:rPr>
          <w:spacing w:val="2"/>
        </w:rPr>
        <w:t> </w:t>
      </w:r>
      <w:r>
        <w:rPr/>
        <w:t>for</w:t>
      </w:r>
      <w:r>
        <w:rPr>
          <w:spacing w:val="-3"/>
        </w:rPr>
        <w:t> </w:t>
      </w:r>
      <w:r>
        <w:rPr/>
        <w:t>Ni.</w:t>
      </w:r>
      <w:r>
        <w:rPr>
          <w:spacing w:val="-3"/>
        </w:rPr>
        <w:t> </w:t>
      </w:r>
      <w:r>
        <w:rPr/>
        <w:t>Since</w:t>
      </w:r>
      <w:r>
        <w:rPr>
          <w:spacing w:val="-4"/>
        </w:rPr>
        <w:t> </w:t>
      </w:r>
      <w:r>
        <w:rPr/>
        <w:t>VO</w:t>
      </w:r>
      <w:r>
        <w:rPr>
          <w:spacing w:val="-1"/>
        </w:rPr>
        <w:t> </w:t>
      </w:r>
      <w:r>
        <w:rPr/>
        <w:t>does</w:t>
      </w:r>
      <w:r>
        <w:rPr>
          <w:spacing w:val="-1"/>
        </w:rPr>
        <w:t> </w:t>
      </w:r>
      <w:r>
        <w:rPr/>
        <w:t>not</w:t>
      </w:r>
      <w:r>
        <w:rPr>
          <w:spacing w:val="2"/>
        </w:rPr>
        <w:t> </w:t>
      </w:r>
      <w:r>
        <w:rPr/>
        <w:t>sit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the porphyrin</w:t>
      </w:r>
      <w:r>
        <w:rPr>
          <w:spacing w:val="-51"/>
        </w:rPr>
        <w:t> </w:t>
      </w:r>
      <w:r>
        <w:rPr/>
        <w:t>plane, it might be less constrained to coordinating to a porphyrin that can easily adopt the</w:t>
      </w:r>
      <w:r>
        <w:rPr>
          <w:spacing w:val="1"/>
        </w:rPr>
        <w:t> </w:t>
      </w:r>
      <w:r>
        <w:rPr/>
        <w:t>square-planar arrangement and more able to coordinate to porphyrin with a less than perfect</w:t>
      </w:r>
      <w:r>
        <w:rPr>
          <w:spacing w:val="1"/>
        </w:rPr>
        <w:t> </w:t>
      </w:r>
      <w:r>
        <w:rPr/>
        <w:t>arrangement.</w:t>
      </w:r>
      <w:r>
        <w:rPr>
          <w:spacing w:val="-2"/>
        </w:rPr>
        <w:t> </w:t>
      </w:r>
      <w:r>
        <w:rPr/>
        <w:t>Bias</w:t>
      </w:r>
      <w:r>
        <w:rPr>
          <w:spacing w:val="-2"/>
        </w:rPr>
        <w:t> </w:t>
      </w:r>
      <w:r>
        <w:rPr/>
        <w:t>between</w:t>
      </w:r>
      <w:r>
        <w:rPr>
          <w:spacing w:val="-1"/>
        </w:rPr>
        <w:t> </w:t>
      </w:r>
      <w:r>
        <w:rPr/>
        <w:t>VO</w:t>
      </w:r>
      <w:r>
        <w:rPr>
          <w:spacing w:val="-4"/>
        </w:rPr>
        <w:t> </w:t>
      </w:r>
      <w:r>
        <w:rPr/>
        <w:t>and</w:t>
      </w:r>
      <w:r>
        <w:rPr>
          <w:spacing w:val="-1"/>
        </w:rPr>
        <w:t> </w:t>
      </w:r>
      <w:r>
        <w:rPr/>
        <w:t>Ni</w:t>
      </w:r>
      <w:r>
        <w:rPr>
          <w:spacing w:val="-4"/>
        </w:rPr>
        <w:t> </w:t>
      </w:r>
      <w:r>
        <w:rPr/>
        <w:t>DPEP</w:t>
      </w:r>
      <w:r>
        <w:rPr>
          <w:spacing w:val="-2"/>
        </w:rPr>
        <w:t> </w:t>
      </w:r>
      <w:r>
        <w:rPr/>
        <w:t>and</w:t>
      </w:r>
      <w:r>
        <w:rPr>
          <w:spacing w:val="2"/>
        </w:rPr>
        <w:t> </w:t>
      </w:r>
      <w:r>
        <w:rPr/>
        <w:t>ETIO</w:t>
      </w:r>
      <w:r>
        <w:rPr>
          <w:spacing w:val="-1"/>
        </w:rPr>
        <w:t> </w:t>
      </w:r>
      <w:r>
        <w:rPr/>
        <w:t>have</w:t>
      </w:r>
      <w:r>
        <w:rPr>
          <w:spacing w:val="-3"/>
        </w:rPr>
        <w:t> </w:t>
      </w:r>
      <w:r>
        <w:rPr/>
        <w:t>been</w:t>
      </w:r>
      <w:r>
        <w:rPr>
          <w:spacing w:val="-1"/>
        </w:rPr>
        <w:t> </w:t>
      </w:r>
      <w:r>
        <w:rPr/>
        <w:t>reported in</w:t>
      </w:r>
      <w:r>
        <w:rPr>
          <w:spacing w:val="-1"/>
        </w:rPr>
        <w:t> </w:t>
      </w:r>
      <w:r>
        <w:rPr/>
        <w:t>other</w:t>
      </w:r>
      <w:r>
        <w:rPr>
          <w:spacing w:val="-4"/>
        </w:rPr>
        <w:t> </w:t>
      </w:r>
      <w:r>
        <w:rPr/>
        <w:t>studies.</w:t>
      </w:r>
    </w:p>
    <w:p>
      <w:pPr>
        <w:pStyle w:val="BodyText"/>
        <w:spacing w:line="480" w:lineRule="auto" w:before="1"/>
        <w:ind w:left="120" w:right="660"/>
      </w:pPr>
      <w:r>
        <w:rPr/>
        <w:t>Qian et al. (2010) reported that ETIO is favored relative to DPEP when in a nickel complex.</w:t>
      </w:r>
      <w:r>
        <w:rPr>
          <w:spacing w:val="1"/>
        </w:rPr>
        <w:t> </w:t>
      </w:r>
      <w:r>
        <w:rPr/>
        <w:t>Conversely, DPEP is favored relative to EITO in vanadyl complexes. This bias could also be</w:t>
      </w:r>
      <w:r>
        <w:rPr>
          <w:spacing w:val="1"/>
        </w:rPr>
        <w:t> </w:t>
      </w:r>
      <w:r>
        <w:rPr/>
        <w:t>explained by the fact that this study used a new method to detect and quantify these</w:t>
      </w:r>
      <w:r>
        <w:rPr>
          <w:spacing w:val="1"/>
        </w:rPr>
        <w:t> </w:t>
      </w:r>
      <w:r>
        <w:rPr/>
        <w:t>compounds.</w:t>
      </w:r>
      <w:r>
        <w:rPr>
          <w:spacing w:val="-3"/>
        </w:rPr>
        <w:t> </w:t>
      </w:r>
      <w:r>
        <w:rPr/>
        <w:t>It</w:t>
      </w:r>
      <w:r>
        <w:rPr>
          <w:spacing w:val="-2"/>
        </w:rPr>
        <w:t> </w:t>
      </w:r>
      <w:r>
        <w:rPr/>
        <w:t>could</w:t>
      </w:r>
      <w:r>
        <w:rPr>
          <w:spacing w:val="-4"/>
        </w:rPr>
        <w:t> </w:t>
      </w:r>
      <w:r>
        <w:rPr/>
        <w:t>be that</w:t>
      </w:r>
      <w:r>
        <w:rPr>
          <w:spacing w:val="-2"/>
        </w:rPr>
        <w:t> </w:t>
      </w:r>
      <w:r>
        <w:rPr/>
        <w:t>this</w:t>
      </w:r>
      <w:r>
        <w:rPr>
          <w:spacing w:val="-5"/>
        </w:rPr>
        <w:t> </w:t>
      </w:r>
      <w:r>
        <w:rPr/>
        <w:t>new</w:t>
      </w:r>
      <w:r>
        <w:rPr>
          <w:spacing w:val="-2"/>
        </w:rPr>
        <w:t> </w:t>
      </w:r>
      <w:r>
        <w:rPr/>
        <w:t>method</w:t>
      </w:r>
      <w:r>
        <w:rPr>
          <w:spacing w:val="-4"/>
        </w:rPr>
        <w:t> </w:t>
      </w:r>
      <w:r>
        <w:rPr/>
        <w:t>somehow</w:t>
      </w:r>
      <w:r>
        <w:rPr>
          <w:spacing w:val="2"/>
        </w:rPr>
        <w:t> </w:t>
      </w:r>
      <w:r>
        <w:rPr/>
        <w:t>selected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Ni-ETIO,</w:t>
      </w:r>
      <w:r>
        <w:rPr>
          <w:spacing w:val="-4"/>
        </w:rPr>
        <w:t> </w:t>
      </w:r>
      <w:r>
        <w:rPr/>
        <w:t>most</w:t>
      </w:r>
      <w:r>
        <w:rPr>
          <w:spacing w:val="1"/>
        </w:rPr>
        <w:t> </w:t>
      </w:r>
      <w:r>
        <w:rPr/>
        <w:t>likely</w:t>
      </w:r>
      <w:r>
        <w:rPr>
          <w:spacing w:val="-2"/>
        </w:rPr>
        <w:t> </w:t>
      </w:r>
      <w:r>
        <w:rPr/>
        <w:t>during</w:t>
      </w:r>
      <w:r>
        <w:rPr>
          <w:spacing w:val="-51"/>
        </w:rPr>
        <w:t> </w:t>
      </w:r>
      <w:r>
        <w:rPr/>
        <w:t>the</w:t>
      </w:r>
      <w:r>
        <w:rPr>
          <w:spacing w:val="-3"/>
        </w:rPr>
        <w:t> </w:t>
      </w:r>
      <w:r>
        <w:rPr/>
        <w:t>extraction</w:t>
      </w:r>
      <w:r>
        <w:rPr>
          <w:spacing w:val="-2"/>
        </w:rPr>
        <w:t> </w:t>
      </w:r>
      <w:r>
        <w:rPr/>
        <w:t>process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not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1"/>
        </w:rPr>
        <w:t> </w:t>
      </w:r>
      <w:r>
        <w:rPr/>
        <w:t>detection.</w:t>
      </w:r>
    </w:p>
    <w:p>
      <w:pPr>
        <w:pStyle w:val="BodyText"/>
        <w:spacing w:line="480" w:lineRule="auto" w:before="159"/>
        <w:ind w:left="120" w:right="660" w:firstLine="706"/>
      </w:pPr>
      <w:r>
        <w:rPr/>
        <w:t>In the Upper Woodford Shale, the vanadyl porphyrins peak at 91.5 ft before falling off</w:t>
      </w:r>
      <w:r>
        <w:rPr>
          <w:spacing w:val="1"/>
        </w:rPr>
        <w:t> </w:t>
      </w:r>
      <w:r>
        <w:rPr/>
        <w:t>and being replaced by a strong nickel porphyrin presence. The strong signal of vanadyl</w:t>
      </w:r>
      <w:r>
        <w:rPr>
          <w:spacing w:val="1"/>
        </w:rPr>
        <w:t> </w:t>
      </w:r>
      <w:r>
        <w:rPr/>
        <w:t>porphyrins in the Upper Woodford Shale could result from excess vanadium present in the</w:t>
      </w:r>
      <w:r>
        <w:rPr>
          <w:spacing w:val="1"/>
        </w:rPr>
        <w:t> </w:t>
      </w:r>
      <w:r>
        <w:rPr/>
        <w:t>sediments. Figure 8 shows the bulk geochemistry of the Wyche-1 core found by Turner et al.</w:t>
      </w:r>
      <w:r>
        <w:rPr>
          <w:spacing w:val="1"/>
        </w:rPr>
        <w:t> </w:t>
      </w:r>
      <w:r>
        <w:rPr/>
        <w:t>(2015),</w:t>
      </w:r>
      <w:r>
        <w:rPr>
          <w:spacing w:val="-5"/>
        </w:rPr>
        <w:t> </w:t>
      </w:r>
      <w:r>
        <w:rPr/>
        <w:t>and</w:t>
      </w:r>
      <w:r>
        <w:rPr>
          <w:spacing w:val="2"/>
        </w:rPr>
        <w:t> </w:t>
      </w:r>
      <w:r>
        <w:rPr/>
        <w:t>it</w:t>
      </w:r>
      <w:r>
        <w:rPr>
          <w:spacing w:val="-2"/>
        </w:rPr>
        <w:t> </w:t>
      </w:r>
      <w:r>
        <w:rPr/>
        <w:t>shows</w:t>
      </w:r>
      <w:r>
        <w:rPr>
          <w:spacing w:val="-4"/>
        </w:rPr>
        <w:t> </w:t>
      </w:r>
      <w:r>
        <w:rPr/>
        <w:t>that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concentration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vanadium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sediment</w:t>
      </w:r>
      <w:r>
        <w:rPr>
          <w:spacing w:val="-4"/>
        </w:rPr>
        <w:t> </w:t>
      </w:r>
      <w:r>
        <w:rPr/>
        <w:t>significantly</w:t>
      </w:r>
      <w:r>
        <w:rPr>
          <w:spacing w:val="-3"/>
        </w:rPr>
        <w:t> </w:t>
      </w:r>
      <w:r>
        <w:rPr/>
        <w:t>increases</w:t>
      </w:r>
      <w:r>
        <w:rPr>
          <w:spacing w:val="-51"/>
        </w:rPr>
        <w:t> </w:t>
      </w:r>
      <w:r>
        <w:rPr/>
        <w:t>in the Upper Woodford Shale compared to the Middle Woodford Shale and Lower Woodford</w:t>
      </w:r>
      <w:r>
        <w:rPr>
          <w:spacing w:val="1"/>
        </w:rPr>
        <w:t> </w:t>
      </w:r>
      <w:r>
        <w:rPr/>
        <w:t>Shale. This significant increase in available vanadium could contribute to the spike in vanadyl</w:t>
      </w:r>
      <w:r>
        <w:rPr>
          <w:spacing w:val="1"/>
        </w:rPr>
        <w:t> </w:t>
      </w:r>
      <w:r>
        <w:rPr/>
        <w:t>porphyrins</w:t>
      </w:r>
      <w:r>
        <w:rPr>
          <w:spacing w:val="1"/>
        </w:rPr>
        <w:t> </w:t>
      </w:r>
      <w:r>
        <w:rPr/>
        <w:t>seen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Upper</w:t>
      </w:r>
      <w:r>
        <w:rPr>
          <w:spacing w:val="-3"/>
        </w:rPr>
        <w:t> </w:t>
      </w:r>
      <w:r>
        <w:rPr/>
        <w:t>Woodford</w:t>
      </w:r>
      <w:r>
        <w:rPr>
          <w:spacing w:val="3"/>
        </w:rPr>
        <w:t> </w:t>
      </w:r>
      <w:r>
        <w:rPr/>
        <w:t>Shale.</w:t>
      </w:r>
    </w:p>
    <w:p>
      <w:pPr>
        <w:spacing w:after="0" w:line="480" w:lineRule="auto"/>
        <w:sectPr>
          <w:pgSz w:w="12240" w:h="15840"/>
          <w:pgMar w:header="0" w:footer="1014" w:top="1400" w:bottom="1200" w:left="1320" w:right="820"/>
        </w:sectPr>
      </w:pPr>
    </w:p>
    <w:p>
      <w:pPr>
        <w:pStyle w:val="ListParagraph"/>
        <w:numPr>
          <w:ilvl w:val="1"/>
          <w:numId w:val="6"/>
        </w:numPr>
        <w:tabs>
          <w:tab w:pos="478" w:val="left" w:leader="none"/>
        </w:tabs>
        <w:spacing w:line="240" w:lineRule="auto" w:before="39" w:after="0"/>
        <w:ind w:left="477" w:right="0" w:hanging="358"/>
        <w:jc w:val="left"/>
        <w:rPr>
          <w:i/>
          <w:sz w:val="24"/>
        </w:rPr>
      </w:pPr>
      <w:r>
        <w:rPr>
          <w:i/>
          <w:sz w:val="24"/>
        </w:rPr>
        <w:t>Trimethylphytylbenzoquinone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MTTC</w:t>
      </w:r>
    </w:p>
    <w:p>
      <w:pPr>
        <w:pStyle w:val="BodyText"/>
        <w:rPr>
          <w:i/>
        </w:rPr>
      </w:pPr>
    </w:p>
    <w:p>
      <w:pPr>
        <w:pStyle w:val="BodyText"/>
        <w:spacing w:line="480" w:lineRule="auto" w:before="161"/>
        <w:ind w:left="120" w:right="636" w:firstLine="706"/>
      </w:pPr>
      <w:r>
        <w:rPr/>
        <w:t>Trimethylphytylbenzoquinone (TMPBQ(Appendix I: </w:t>
      </w:r>
      <w:r>
        <w:rPr>
          <w:b/>
        </w:rPr>
        <w:t>XXXV</w:t>
      </w:r>
      <w:r>
        <w:rPr/>
        <w:t>)) has been tentatively</w:t>
      </w:r>
      <w:r>
        <w:rPr>
          <w:spacing w:val="1"/>
        </w:rPr>
        <w:t> </w:t>
      </w:r>
      <w:r>
        <w:rPr/>
        <w:t>identified in a recent study (Connock, 2021). Its presence has tentatively been linked with</w:t>
      </w:r>
      <w:r>
        <w:rPr>
          <w:spacing w:val="1"/>
        </w:rPr>
        <w:t> </w:t>
      </w:r>
      <w:r>
        <w:rPr/>
        <w:t>primary productivity, enhanced preservation, and PZE/anoxia in Cretaceous Black Shales. The</w:t>
      </w:r>
      <w:r>
        <w:rPr>
          <w:spacing w:val="1"/>
        </w:rPr>
        <w:t> </w:t>
      </w:r>
      <w:r>
        <w:rPr/>
        <w:t>TMPBQ has three isomers labeled as 1, 2, and 3 in Figure 20. The TMPBQ can be biosynthesized</w:t>
      </w:r>
      <w:r>
        <w:rPr>
          <w:spacing w:val="-52"/>
        </w:rPr>
        <w:t> </w:t>
      </w:r>
      <w:r>
        <w:rPr/>
        <w:t>in photosynthetic organisms such as plants, phytoplankton, and some cyanobacteria as one of</w:t>
      </w:r>
      <w:r>
        <w:rPr>
          <w:spacing w:val="1"/>
        </w:rPr>
        <w:t> </w:t>
      </w:r>
      <w:r>
        <w:rPr/>
        <w:t>the steps in producing α-tocopherol (Figure 30). Tocopherols are lipophilic antioxidants and are</w:t>
      </w:r>
      <w:r>
        <w:rPr>
          <w:spacing w:val="-52"/>
        </w:rPr>
        <w:t> </w:t>
      </w:r>
      <w:r>
        <w:rPr/>
        <w:t>part of the vitamin- E family. Tocopherol synthesis increases in response to environmental</w:t>
      </w:r>
      <w:r>
        <w:rPr>
          <w:spacing w:val="1"/>
        </w:rPr>
        <w:t> </w:t>
      </w:r>
      <w:r>
        <w:rPr/>
        <w:t>stresses, including high-intensity light, high salinity, heavy metals, and chilling (Lushchak and</w:t>
      </w:r>
      <w:r>
        <w:rPr>
          <w:spacing w:val="1"/>
        </w:rPr>
        <w:t> </w:t>
      </w:r>
      <w:r>
        <w:rPr/>
        <w:t>Semchuk, 2012). The primary purpose of tocopherol in photosynthetic organisms is the</w:t>
      </w:r>
      <w:r>
        <w:rPr>
          <w:spacing w:val="1"/>
        </w:rPr>
        <w:t> </w:t>
      </w:r>
      <w:r>
        <w:rPr/>
        <w:t>scavenging of lipid peroxy radicals and quenching singlet oxygen. Since TMPBQ is part of the</w:t>
      </w:r>
      <w:r>
        <w:rPr>
          <w:spacing w:val="1"/>
        </w:rPr>
        <w:t> </w:t>
      </w:r>
      <w:r>
        <w:rPr/>
        <w:t>tocopherol quinone-recycling system (Figure 30), its presence is likely an environmental stress</w:t>
      </w:r>
      <w:r>
        <w:rPr>
          <w:spacing w:val="1"/>
        </w:rPr>
        <w:t> </w:t>
      </w:r>
      <w:r>
        <w:rPr/>
        <w:t>indicator. Its presence in the Upper Woodford Shale could be an indicator of specifically</w:t>
      </w:r>
      <w:r>
        <w:rPr>
          <w:spacing w:val="1"/>
        </w:rPr>
        <w:t> </w:t>
      </w:r>
      <w:r>
        <w:rPr/>
        <w:t>oxygenation, resulting from the reaction of anoxic phototrophs to higher mixing of oxygenated</w:t>
      </w:r>
      <w:r>
        <w:rPr>
          <w:spacing w:val="1"/>
        </w:rPr>
        <w:t> </w:t>
      </w:r>
      <w:r>
        <w:rPr/>
        <w:t>waters. Based on figure 22, looking at the total TMPBQ, using it to indicate oxygenation</w:t>
      </w:r>
      <w:r>
        <w:rPr>
          <w:spacing w:val="1"/>
        </w:rPr>
        <w:t> </w:t>
      </w:r>
      <w:r>
        <w:rPr/>
        <w:t>indicates that the Upper Woodford Shale is much more highly oxygenated which is also</w:t>
      </w:r>
      <w:r>
        <w:rPr>
          <w:spacing w:val="1"/>
        </w:rPr>
        <w:t> </w:t>
      </w:r>
      <w:r>
        <w:rPr/>
        <w:t>indicated by the lack of aromatic carotenoids present. As a result of being produced by</w:t>
      </w:r>
      <w:r>
        <w:rPr>
          <w:spacing w:val="1"/>
        </w:rPr>
        <w:t> </w:t>
      </w:r>
      <w:r>
        <w:rPr/>
        <w:t>phytoplankton</w:t>
      </w:r>
      <w:r>
        <w:rPr>
          <w:spacing w:val="-5"/>
        </w:rPr>
        <w:t> </w:t>
      </w:r>
      <w:r>
        <w:rPr/>
        <w:t>and</w:t>
      </w:r>
      <w:r>
        <w:rPr>
          <w:spacing w:val="-3"/>
        </w:rPr>
        <w:t> </w:t>
      </w:r>
      <w:r>
        <w:rPr/>
        <w:t>cyanobacteria,</w:t>
      </w:r>
      <w:r>
        <w:rPr>
          <w:spacing w:val="-3"/>
        </w:rPr>
        <w:t> </w:t>
      </w:r>
      <w:r>
        <w:rPr/>
        <w:t>it</w:t>
      </w:r>
      <w:r>
        <w:rPr>
          <w:spacing w:val="1"/>
        </w:rPr>
        <w:t> </w:t>
      </w:r>
      <w:r>
        <w:rPr/>
        <w:t>would</w:t>
      </w:r>
      <w:r>
        <w:rPr>
          <w:spacing w:val="-4"/>
        </w:rPr>
        <w:t> </w:t>
      </w:r>
      <w:r>
        <w:rPr/>
        <w:t>have</w:t>
      </w:r>
      <w:r>
        <w:rPr>
          <w:spacing w:val="-4"/>
        </w:rPr>
        <w:t> </w:t>
      </w:r>
      <w:r>
        <w:rPr/>
        <w:t>low concentrations</w:t>
      </w:r>
      <w:r>
        <w:rPr>
          <w:spacing w:val="-3"/>
        </w:rPr>
        <w:t> </w:t>
      </w:r>
      <w:r>
        <w:rPr/>
        <w:t>in</w:t>
      </w:r>
      <w:r>
        <w:rPr>
          <w:spacing w:val="1"/>
        </w:rPr>
        <w:t> </w:t>
      </w:r>
      <w:r>
        <w:rPr/>
        <w:t>euxinic</w:t>
      </w:r>
      <w:r>
        <w:rPr>
          <w:spacing w:val="-3"/>
        </w:rPr>
        <w:t> </w:t>
      </w:r>
      <w:r>
        <w:rPr/>
        <w:t>waters</w:t>
      </w:r>
      <w:r>
        <w:rPr>
          <w:spacing w:val="-3"/>
        </w:rPr>
        <w:t> </w:t>
      </w:r>
      <w:r>
        <w:rPr/>
        <w:t>like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51"/>
        </w:rPr>
        <w:t> </w:t>
      </w:r>
      <w:r>
        <w:rPr/>
        <w:t>Lower Woodford Shale and Middle Woodford Shale and high concentrations in oxic waters like</w:t>
      </w:r>
      <w:r>
        <w:rPr>
          <w:spacing w:val="1"/>
        </w:rPr>
        <w:t> </w:t>
      </w:r>
      <w:r>
        <w:rPr/>
        <w:t>in the Upper Woodford Shale. However, in the Middle Woodford Shale and Lower Woodford</w:t>
      </w:r>
      <w:r>
        <w:rPr>
          <w:spacing w:val="1"/>
        </w:rPr>
        <w:t> </w:t>
      </w:r>
      <w:r>
        <w:rPr/>
        <w:t>Shale, it shows a similar depth profile to the concentration of isorenieratane(</w:t>
      </w:r>
      <w:r>
        <w:rPr>
          <w:b/>
        </w:rPr>
        <w:t>I</w:t>
      </w:r>
      <w:r>
        <w:rPr/>
        <w:t>) and</w:t>
      </w:r>
      <w:r>
        <w:rPr>
          <w:spacing w:val="1"/>
        </w:rPr>
        <w:t> </w:t>
      </w:r>
      <w:r>
        <w:rPr/>
        <w:t>paleorenieratane</w:t>
      </w:r>
      <w:r>
        <w:rPr>
          <w:spacing w:val="2"/>
        </w:rPr>
        <w:t> </w:t>
      </w:r>
      <w:r>
        <w:rPr/>
        <w:t>(</w:t>
      </w:r>
      <w:r>
        <w:rPr>
          <w:b/>
        </w:rPr>
        <w:t>II</w:t>
      </w:r>
      <w:r>
        <w:rPr/>
        <w:t>)</w:t>
      </w:r>
      <w:r>
        <w:rPr>
          <w:spacing w:val="-4"/>
        </w:rPr>
        <w:t> </w:t>
      </w:r>
      <w:r>
        <w:rPr/>
        <w:t>(Figure</w:t>
      </w:r>
      <w:r>
        <w:rPr>
          <w:spacing w:val="-3"/>
        </w:rPr>
        <w:t> </w:t>
      </w:r>
      <w:r>
        <w:rPr/>
        <w:t>13).</w:t>
      </w:r>
      <w:r>
        <w:rPr>
          <w:spacing w:val="-2"/>
        </w:rPr>
        <w:t> </w:t>
      </w:r>
      <w:r>
        <w:rPr/>
        <w:t>It</w:t>
      </w:r>
      <w:r>
        <w:rPr>
          <w:spacing w:val="2"/>
        </w:rPr>
        <w:t> </w:t>
      </w:r>
      <w:r>
        <w:rPr/>
        <w:t>shows</w:t>
      </w:r>
      <w:r>
        <w:rPr>
          <w:spacing w:val="-3"/>
        </w:rPr>
        <w:t> </w:t>
      </w:r>
      <w:r>
        <w:rPr/>
        <w:t>an</w:t>
      </w:r>
      <w:r>
        <w:rPr>
          <w:spacing w:val="-3"/>
        </w:rPr>
        <w:t> </w:t>
      </w:r>
      <w:r>
        <w:rPr/>
        <w:t>increase</w:t>
      </w:r>
      <w:r>
        <w:rPr>
          <w:spacing w:val="-1"/>
        </w:rPr>
        <w:t> </w:t>
      </w:r>
      <w:r>
        <w:rPr/>
        <w:t>in</w:t>
      </w:r>
      <w:r>
        <w:rPr>
          <w:spacing w:val="-3"/>
        </w:rPr>
        <w:t> </w:t>
      </w:r>
      <w:r>
        <w:rPr/>
        <w:t>concentration</w:t>
      </w:r>
      <w:r>
        <w:rPr>
          <w:spacing w:val="-1"/>
        </w:rPr>
        <w:t> </w:t>
      </w:r>
      <w:r>
        <w:rPr/>
        <w:t>at</w:t>
      </w:r>
      <w:r>
        <w:rPr>
          <w:spacing w:val="-3"/>
        </w:rPr>
        <w:t> </w:t>
      </w:r>
      <w:r>
        <w:rPr/>
        <w:t>a</w:t>
      </w:r>
      <w:r>
        <w:rPr>
          <w:spacing w:val="-1"/>
        </w:rPr>
        <w:t> </w:t>
      </w:r>
      <w:r>
        <w:rPr/>
        <w:t>similar</w:t>
      </w:r>
      <w:r>
        <w:rPr>
          <w:spacing w:val="-3"/>
        </w:rPr>
        <w:t> </w:t>
      </w:r>
      <w:r>
        <w:rPr/>
        <w:t>depth</w:t>
      </w:r>
      <w:r>
        <w:rPr>
          <w:spacing w:val="-1"/>
        </w:rPr>
        <w:t> </w:t>
      </w:r>
      <w:r>
        <w:rPr/>
        <w:t>to</w:t>
      </w:r>
    </w:p>
    <w:p>
      <w:pPr>
        <w:spacing w:after="0" w:line="480" w:lineRule="auto"/>
        <w:sectPr>
          <w:pgSz w:w="12240" w:h="15840"/>
          <w:pgMar w:header="0" w:footer="1014" w:top="1400" w:bottom="1200" w:left="1320" w:right="820"/>
        </w:sectPr>
      </w:pPr>
    </w:p>
    <w:p>
      <w:pPr>
        <w:pStyle w:val="BodyText"/>
        <w:spacing w:line="480" w:lineRule="auto" w:before="39"/>
        <w:ind w:left="120" w:right="688"/>
      </w:pPr>
      <w:r>
        <w:rPr/>
        <w:t>these two aromatic carotenoids, peaks at around the same point, then decreases and is no</w:t>
      </w:r>
      <w:r>
        <w:rPr>
          <w:spacing w:val="1"/>
        </w:rPr>
        <w:t> </w:t>
      </w:r>
      <w:r>
        <w:rPr/>
        <w:t>longer detected around the same depth. In the Middle Woodford Shale and Lower Woodford</w:t>
      </w:r>
      <w:r>
        <w:rPr>
          <w:spacing w:val="1"/>
        </w:rPr>
        <w:t> </w:t>
      </w:r>
      <w:r>
        <w:rPr/>
        <w:t>Shale, it might be an indicator of intense light; this would be caused by the shallowing of the</w:t>
      </w:r>
      <w:r>
        <w:rPr>
          <w:spacing w:val="1"/>
        </w:rPr>
        <w:t> </w:t>
      </w:r>
      <w:r>
        <w:rPr/>
        <w:t>chemocline</w:t>
      </w:r>
      <w:r>
        <w:rPr>
          <w:spacing w:val="-3"/>
        </w:rPr>
        <w:t> </w:t>
      </w:r>
      <w:r>
        <w:rPr/>
        <w:t>forcing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algae</w:t>
      </w:r>
      <w:r>
        <w:rPr>
          <w:spacing w:val="1"/>
        </w:rPr>
        <w:t> </w:t>
      </w:r>
      <w:r>
        <w:rPr/>
        <w:t>that</w:t>
      </w:r>
      <w:r>
        <w:rPr>
          <w:spacing w:val="-3"/>
        </w:rPr>
        <w:t> </w:t>
      </w:r>
      <w:r>
        <w:rPr/>
        <w:t>produce</w:t>
      </w:r>
      <w:r>
        <w:rPr>
          <w:spacing w:val="-3"/>
        </w:rPr>
        <w:t> </w:t>
      </w:r>
      <w:r>
        <w:rPr/>
        <w:t>more</w:t>
      </w:r>
      <w:r>
        <w:rPr>
          <w:spacing w:val="-2"/>
        </w:rPr>
        <w:t> </w:t>
      </w:r>
      <w:r>
        <w:rPr/>
        <w:t>α-tocopherol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quench</w:t>
      </w:r>
      <w:r>
        <w:rPr>
          <w:spacing w:val="-4"/>
        </w:rPr>
        <w:t> </w:t>
      </w:r>
      <w:r>
        <w:rPr/>
        <w:t>radicals.</w:t>
      </w:r>
      <w:r>
        <w:rPr>
          <w:spacing w:val="-3"/>
        </w:rPr>
        <w:t> </w:t>
      </w:r>
      <w:r>
        <w:rPr/>
        <w:t>Alternatively,</w:t>
      </w:r>
      <w:r>
        <w:rPr>
          <w:spacing w:val="-51"/>
        </w:rPr>
        <w:t> </w:t>
      </w:r>
      <w:r>
        <w:rPr/>
        <w:t>the increase correlating to the aromatic carotenoids could also result from the increased</w:t>
      </w:r>
      <w:r>
        <w:rPr>
          <w:spacing w:val="1"/>
        </w:rPr>
        <w:t> </w:t>
      </w:r>
      <w:r>
        <w:rPr/>
        <w:t>preservation</w:t>
      </w:r>
      <w:r>
        <w:rPr>
          <w:spacing w:val="-3"/>
        </w:rPr>
        <w:t> </w:t>
      </w:r>
      <w:r>
        <w:rPr/>
        <w:t>potential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organic</w:t>
      </w:r>
      <w:r>
        <w:rPr>
          <w:spacing w:val="-2"/>
        </w:rPr>
        <w:t> </w:t>
      </w:r>
      <w:r>
        <w:rPr/>
        <w:t>matter</w:t>
      </w:r>
      <w:r>
        <w:rPr>
          <w:spacing w:val="-2"/>
        </w:rPr>
        <w:t> </w:t>
      </w:r>
      <w:r>
        <w:rPr/>
        <w:t>from</w:t>
      </w:r>
      <w:r>
        <w:rPr>
          <w:spacing w:val="-3"/>
        </w:rPr>
        <w:t> </w:t>
      </w:r>
      <w:r>
        <w:rPr/>
        <w:t>sustained</w:t>
      </w:r>
      <w:r>
        <w:rPr>
          <w:spacing w:val="-1"/>
        </w:rPr>
        <w:t> </w:t>
      </w:r>
      <w:r>
        <w:rPr/>
        <w:t>euxinic</w:t>
      </w:r>
      <w:r>
        <w:rPr>
          <w:spacing w:val="-2"/>
        </w:rPr>
        <w:t> </w:t>
      </w:r>
      <w:r>
        <w:rPr/>
        <w:t>conditions.</w:t>
      </w:r>
    </w:p>
    <w:p>
      <w:pPr>
        <w:pStyle w:val="BodyText"/>
        <w:spacing w:line="480" w:lineRule="auto" w:before="161"/>
        <w:ind w:left="120" w:right="664" w:firstLine="720"/>
      </w:pPr>
      <w:r>
        <w:rPr/>
        <w:t>The</w:t>
      </w:r>
      <w:r>
        <w:rPr>
          <w:spacing w:val="-1"/>
        </w:rPr>
        <w:t> </w:t>
      </w:r>
      <w:r>
        <w:rPr/>
        <w:t>TMPBQ</w:t>
      </w:r>
      <w:r>
        <w:rPr>
          <w:spacing w:val="-2"/>
        </w:rPr>
        <w:t> </w:t>
      </w:r>
      <w:r>
        <w:rPr/>
        <w:t>correlates</w:t>
      </w:r>
      <w:r>
        <w:rPr>
          <w:spacing w:val="-2"/>
        </w:rPr>
        <w:t> </w:t>
      </w:r>
      <w:r>
        <w:rPr/>
        <w:t>strongly</w:t>
      </w:r>
      <w:r>
        <w:rPr>
          <w:spacing w:val="-3"/>
        </w:rPr>
        <w:t> </w:t>
      </w:r>
      <w:r>
        <w:rPr/>
        <w:t>through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entire</w:t>
      </w:r>
      <w:r>
        <w:rPr>
          <w:spacing w:val="-3"/>
        </w:rPr>
        <w:t> </w:t>
      </w:r>
      <w:r>
        <w:rPr/>
        <w:t>Woodford</w:t>
      </w:r>
      <w:r>
        <w:rPr>
          <w:spacing w:val="1"/>
        </w:rPr>
        <w:t> </w:t>
      </w:r>
      <w:r>
        <w:rPr/>
        <w:t>Shale</w:t>
      </w:r>
      <w:r>
        <w:rPr>
          <w:spacing w:val="-3"/>
        </w:rPr>
        <w:t> </w:t>
      </w:r>
      <w:r>
        <w:rPr/>
        <w:t>section</w:t>
      </w:r>
      <w:r>
        <w:rPr>
          <w:spacing w:val="1"/>
        </w:rPr>
        <w:t> </w:t>
      </w:r>
      <w:r>
        <w:rPr/>
        <w:t>with</w:t>
      </w:r>
      <w:r>
        <w:rPr>
          <w:spacing w:val="-3"/>
        </w:rPr>
        <w:t> </w:t>
      </w:r>
      <w:r>
        <w:rPr/>
        <w:t>α-MTTC</w:t>
      </w:r>
      <w:r>
        <w:rPr>
          <w:spacing w:val="-51"/>
        </w:rPr>
        <w:t> </w:t>
      </w:r>
      <w:r>
        <w:rPr/>
        <w:t>(Figure 31), likely indicating the similarity in depth profile to isorenieratane(</w:t>
      </w:r>
      <w:r>
        <w:rPr>
          <w:b/>
        </w:rPr>
        <w:t>I</w:t>
      </w:r>
      <w:r>
        <w:rPr/>
        <w:t>) and</w:t>
      </w:r>
      <w:r>
        <w:rPr>
          <w:spacing w:val="1"/>
        </w:rPr>
        <w:t> </w:t>
      </w:r>
      <w:r>
        <w:rPr/>
        <w:t>paleorenieratane(</w:t>
      </w:r>
      <w:r>
        <w:rPr>
          <w:b/>
        </w:rPr>
        <w:t>II</w:t>
      </w:r>
      <w:r>
        <w:rPr/>
        <w:t>) to be coincidental. The α-MTTC(</w:t>
      </w:r>
      <w:r>
        <w:rPr>
          <w:b/>
        </w:rPr>
        <w:t>XVI</w:t>
      </w:r>
      <w:r>
        <w:rPr/>
        <w:t>) structurally resembles α-tocopherol,</w:t>
      </w:r>
      <w:r>
        <w:rPr>
          <w:spacing w:val="1"/>
        </w:rPr>
        <w:t> </w:t>
      </w:r>
      <w:r>
        <w:rPr/>
        <w:t>with the only difference being that the hydroxyl group at position 6 on the ring is replaced with</w:t>
      </w:r>
      <w:r>
        <w:rPr>
          <w:spacing w:val="-52"/>
        </w:rPr>
        <w:t> </w:t>
      </w:r>
      <w:r>
        <w:rPr/>
        <w:t>hydrogen (Shanfa et al., 1989; Dutta et al., 2013). The strong correlation and similar structures</w:t>
      </w:r>
      <w:r>
        <w:rPr>
          <w:spacing w:val="1"/>
        </w:rPr>
        <w:t> </w:t>
      </w:r>
      <w:r>
        <w:rPr/>
        <w:t>could indicate that MTTC and TMPBQ come from the same source in the Woodford Shale</w:t>
      </w:r>
      <w:r>
        <w:rPr>
          <w:spacing w:val="1"/>
        </w:rPr>
        <w:t> </w:t>
      </w:r>
      <w:r>
        <w:rPr/>
        <w:t>(Figure 31). The TMPBQ/α-MTTC ratio (Figure 22) shows a similar depth profile to the total</w:t>
      </w:r>
      <w:r>
        <w:rPr>
          <w:spacing w:val="1"/>
        </w:rPr>
        <w:t> </w:t>
      </w:r>
      <w:r>
        <w:rPr/>
        <w:t>TMPBQ in the Lower Woodford Shale and Middle Woodford Shale. The similarities end in the</w:t>
      </w:r>
      <w:r>
        <w:rPr>
          <w:spacing w:val="1"/>
        </w:rPr>
        <w:t> </w:t>
      </w:r>
      <w:r>
        <w:rPr/>
        <w:t>Upper Woodford Shale; the ratio shows a peak in the early Upper Woodford Shale, while</w:t>
      </w:r>
      <w:r>
        <w:rPr>
          <w:spacing w:val="1"/>
        </w:rPr>
        <w:t> </w:t>
      </w:r>
      <w:r>
        <w:rPr/>
        <w:t>TMPBQ has its peak in the late Upper Woodford Shale. The earlier peak in the ratio indicates</w:t>
      </w:r>
      <w:r>
        <w:rPr>
          <w:spacing w:val="1"/>
        </w:rPr>
        <w:t> </w:t>
      </w:r>
      <w:r>
        <w:rPr/>
        <w:t>that there is relatively more TMPBQ than α-MTTC here. It is possible that α-MTTC is a</w:t>
      </w:r>
      <w:r>
        <w:rPr>
          <w:spacing w:val="1"/>
        </w:rPr>
        <w:t> </w:t>
      </w:r>
      <w:r>
        <w:rPr/>
        <w:t>degradation product of TMPBQ. In this ratio, looking at the structures of each (Appendix I: </w:t>
      </w:r>
      <w:r>
        <w:rPr>
          <w:b/>
        </w:rPr>
        <w:t>XVI</w:t>
      </w:r>
      <w:r>
        <w:rPr/>
        <w:t>,</w:t>
      </w:r>
      <w:r>
        <w:rPr>
          <w:spacing w:val="1"/>
        </w:rPr>
        <w:t> </w:t>
      </w:r>
      <w:r>
        <w:rPr>
          <w:b/>
        </w:rPr>
        <w:t>XVII</w:t>
      </w:r>
      <w:r>
        <w:rPr/>
        <w:t>), the remarkable similarities between the two are evident. If this is the case the TMPBQ/α-</w:t>
      </w:r>
      <w:r>
        <w:rPr>
          <w:spacing w:val="-52"/>
        </w:rPr>
        <w:t> </w:t>
      </w:r>
      <w:r>
        <w:rPr/>
        <w:t>MTTC ratio would indicate the amount of diagenetic alteration that had occurred. This would</w:t>
      </w:r>
      <w:r>
        <w:rPr>
          <w:spacing w:val="1"/>
        </w:rPr>
        <w:t> </w:t>
      </w:r>
      <w:r>
        <w:rPr/>
        <w:t>mean that while productivity was increasing in the oxygenated environment of the Upper</w:t>
      </w:r>
      <w:r>
        <w:rPr>
          <w:spacing w:val="1"/>
        </w:rPr>
        <w:t> </w:t>
      </w:r>
      <w:r>
        <w:rPr/>
        <w:t>Woodford</w:t>
      </w:r>
      <w:r>
        <w:rPr>
          <w:spacing w:val="-4"/>
        </w:rPr>
        <w:t> </w:t>
      </w:r>
      <w:r>
        <w:rPr/>
        <w:t>Shale,</w:t>
      </w:r>
      <w:r>
        <w:rPr>
          <w:spacing w:val="-2"/>
        </w:rPr>
        <w:t> </w:t>
      </w:r>
      <w:r>
        <w:rPr/>
        <w:t>diagenetic</w:t>
      </w:r>
      <w:r>
        <w:rPr>
          <w:spacing w:val="-4"/>
        </w:rPr>
        <w:t> </w:t>
      </w:r>
      <w:r>
        <w:rPr/>
        <w:t>alteration</w:t>
      </w:r>
      <w:r>
        <w:rPr>
          <w:spacing w:val="-1"/>
        </w:rPr>
        <w:t> </w:t>
      </w:r>
      <w:r>
        <w:rPr/>
        <w:t>is</w:t>
      </w:r>
      <w:r>
        <w:rPr>
          <w:spacing w:val="-3"/>
        </w:rPr>
        <w:t> </w:t>
      </w:r>
      <w:r>
        <w:rPr/>
        <w:t>low</w:t>
      </w:r>
      <w:r>
        <w:rPr>
          <w:spacing w:val="1"/>
        </w:rPr>
        <w:t> </w:t>
      </w:r>
      <w:r>
        <w:rPr/>
        <w:t>in</w:t>
      </w:r>
      <w:r>
        <w:rPr>
          <w:spacing w:val="-4"/>
        </w:rPr>
        <w:t> </w:t>
      </w:r>
      <w:r>
        <w:rPr/>
        <w:t>the early</w:t>
      </w:r>
      <w:r>
        <w:rPr>
          <w:spacing w:val="-4"/>
        </w:rPr>
        <w:t> </w:t>
      </w:r>
      <w:r>
        <w:rPr/>
        <w:t>Upper</w:t>
      </w:r>
      <w:r>
        <w:rPr>
          <w:spacing w:val="1"/>
        </w:rPr>
        <w:t> </w:t>
      </w:r>
      <w:r>
        <w:rPr/>
        <w:t>Woodford</w:t>
      </w:r>
      <w:r>
        <w:rPr>
          <w:spacing w:val="-2"/>
        </w:rPr>
        <w:t> </w:t>
      </w:r>
      <w:r>
        <w:rPr/>
        <w:t>Shale,</w:t>
      </w:r>
      <w:r>
        <w:rPr>
          <w:spacing w:val="-4"/>
        </w:rPr>
        <w:t> </w:t>
      </w:r>
      <w:r>
        <w:rPr/>
        <w:t>not</w:t>
      </w:r>
      <w:r>
        <w:rPr>
          <w:spacing w:val="-3"/>
        </w:rPr>
        <w:t> </w:t>
      </w:r>
      <w:r>
        <w:rPr/>
        <w:t>increasing</w:t>
      </w:r>
    </w:p>
    <w:p>
      <w:pPr>
        <w:spacing w:after="0" w:line="480" w:lineRule="auto"/>
        <w:sectPr>
          <w:footerReference w:type="default" r:id="rId56"/>
          <w:pgSz w:w="12240" w:h="15840"/>
          <w:pgMar w:footer="1014" w:header="0" w:top="1400" w:bottom="1200" w:left="1320" w:right="820"/>
        </w:sectPr>
      </w:pPr>
    </w:p>
    <w:p>
      <w:pPr>
        <w:pStyle w:val="BodyText"/>
        <w:spacing w:line="480" w:lineRule="auto" w:before="39"/>
        <w:ind w:left="120" w:right="651"/>
      </w:pPr>
      <w:r>
        <w:rPr/>
        <w:t>until the later Upper Woodford Shale. Comparing the TMPBQ isomer ratio (Figure 22) to other</w:t>
      </w:r>
      <w:r>
        <w:rPr>
          <w:spacing w:val="1"/>
        </w:rPr>
        <w:t> </w:t>
      </w:r>
      <w:r>
        <w:rPr/>
        <w:t>proxies analyzed in this study, the depth profile is similar to the aromatic carotenoids. This</w:t>
      </w:r>
      <w:r>
        <w:rPr>
          <w:spacing w:val="1"/>
        </w:rPr>
        <w:t> </w:t>
      </w:r>
      <w:r>
        <w:rPr/>
        <w:t>could mean that it might be able to elucidate the redox conditions at the time of deposition.</w:t>
      </w:r>
      <w:r>
        <w:rPr>
          <w:spacing w:val="1"/>
        </w:rPr>
        <w:t> </w:t>
      </w:r>
      <w:r>
        <w:rPr/>
        <w:t>However, this is tentative as many data points for this ratio are missing due to some samples</w:t>
      </w:r>
      <w:r>
        <w:rPr>
          <w:spacing w:val="1"/>
        </w:rPr>
        <w:t> </w:t>
      </w:r>
      <w:r>
        <w:rPr/>
        <w:t>not having detectable amounts of the first isomer peak. The peak ratio is calculated by adding</w:t>
      </w:r>
      <w:r>
        <w:rPr>
          <w:spacing w:val="1"/>
        </w:rPr>
        <w:t> </w:t>
      </w:r>
      <w:r>
        <w:rPr/>
        <w:t>the</w:t>
      </w:r>
      <w:r>
        <w:rPr>
          <w:spacing w:val="-3"/>
        </w:rPr>
        <w:t> </w:t>
      </w:r>
      <w:r>
        <w:rPr/>
        <w:t>2nd</w:t>
      </w:r>
      <w:r>
        <w:rPr>
          <w:spacing w:val="-1"/>
        </w:rPr>
        <w:t> </w:t>
      </w:r>
      <w:r>
        <w:rPr/>
        <w:t>and</w:t>
      </w:r>
      <w:r>
        <w:rPr>
          <w:spacing w:val="-3"/>
        </w:rPr>
        <w:t> </w:t>
      </w:r>
      <w:r>
        <w:rPr/>
        <w:t>3rd</w:t>
      </w:r>
      <w:r>
        <w:rPr>
          <w:spacing w:val="-1"/>
        </w:rPr>
        <w:t> </w:t>
      </w:r>
      <w:r>
        <w:rPr/>
        <w:t>peaks</w:t>
      </w:r>
      <w:r>
        <w:rPr>
          <w:spacing w:val="-1"/>
        </w:rPr>
        <w:t> </w:t>
      </w:r>
      <w:r>
        <w:rPr/>
        <w:t>then</w:t>
      </w:r>
      <w:r>
        <w:rPr>
          <w:spacing w:val="-2"/>
        </w:rPr>
        <w:t> </w:t>
      </w:r>
      <w:r>
        <w:rPr/>
        <w:t>dividing</w:t>
      </w:r>
      <w:r>
        <w:rPr>
          <w:spacing w:val="-3"/>
        </w:rPr>
        <w:t> </w:t>
      </w:r>
      <w:r>
        <w:rPr/>
        <w:t>them</w:t>
      </w:r>
      <w:r>
        <w:rPr>
          <w:spacing w:val="-2"/>
        </w:rPr>
        <w:t> </w:t>
      </w:r>
      <w:r>
        <w:rPr/>
        <w:t>by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1st</w:t>
      </w:r>
      <w:r>
        <w:rPr>
          <w:spacing w:val="-2"/>
        </w:rPr>
        <w:t> </w:t>
      </w:r>
      <w:r>
        <w:rPr/>
        <w:t>peak.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anoxic</w:t>
      </w:r>
      <w:r>
        <w:rPr>
          <w:spacing w:val="-2"/>
        </w:rPr>
        <w:t> </w:t>
      </w:r>
      <w:r>
        <w:rPr/>
        <w:t>conditions,</w:t>
      </w:r>
      <w:r>
        <w:rPr>
          <w:spacing w:val="-4"/>
        </w:rPr>
        <w:t> </w:t>
      </w:r>
      <w:r>
        <w:rPr/>
        <w:t>the</w:t>
      </w:r>
      <w:r>
        <w:rPr>
          <w:spacing w:val="2"/>
        </w:rPr>
        <w:t> </w:t>
      </w:r>
      <w:r>
        <w:rPr/>
        <w:t>ratio</w:t>
      </w:r>
      <w:r>
        <w:rPr>
          <w:spacing w:val="-2"/>
        </w:rPr>
        <w:t> </w:t>
      </w:r>
      <w:r>
        <w:rPr/>
        <w:t>should</w:t>
      </w:r>
      <w:r>
        <w:rPr>
          <w:spacing w:val="-51"/>
        </w:rPr>
        <w:t> </w:t>
      </w:r>
      <w:r>
        <w:rPr/>
        <w:t>be large, and in oxic conditions, the ratio should be small. It shows that the Upper Woodford</w:t>
      </w:r>
      <w:r>
        <w:rPr>
          <w:spacing w:val="1"/>
        </w:rPr>
        <w:t> </w:t>
      </w:r>
      <w:r>
        <w:rPr/>
        <w:t>Shale is oxic while the Middle Woodford Shale is anoxic, fitting with the data from the aromatic</w:t>
      </w:r>
      <w:r>
        <w:rPr>
          <w:spacing w:val="-52"/>
        </w:rPr>
        <w:t> </w:t>
      </w:r>
      <w:r>
        <w:rPr/>
        <w:t>carotenoids</w:t>
      </w:r>
      <w:r>
        <w:rPr>
          <w:spacing w:val="1"/>
        </w:rPr>
        <w:t> </w:t>
      </w:r>
      <w:r>
        <w:rPr/>
        <w:t>(Figure</w:t>
      </w:r>
      <w:r>
        <w:rPr>
          <w:spacing w:val="-2"/>
        </w:rPr>
        <w:t> </w:t>
      </w:r>
      <w:r>
        <w:rPr/>
        <w:t>15).</w:t>
      </w:r>
    </w:p>
    <w:p>
      <w:pPr>
        <w:pStyle w:val="BodyText"/>
        <w:spacing w:before="1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214">
            <wp:simplePos x="0" y="0"/>
            <wp:positionH relativeFrom="page">
              <wp:posOffset>2023872</wp:posOffset>
            </wp:positionH>
            <wp:positionV relativeFrom="paragraph">
              <wp:posOffset>148058</wp:posOffset>
            </wp:positionV>
            <wp:extent cx="3584448" cy="3145536"/>
            <wp:effectExtent l="0" t="0" r="0" b="0"/>
            <wp:wrapTopAndBottom/>
            <wp:docPr id="59" name="image3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" name="image30.jpe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4448" cy="3145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  <w:spacing w:before="6"/>
        <w:rPr>
          <w:sz w:val="19"/>
        </w:rPr>
      </w:pPr>
    </w:p>
    <w:p>
      <w:pPr>
        <w:spacing w:before="0"/>
        <w:ind w:left="120" w:right="782" w:firstLine="0"/>
        <w:jc w:val="left"/>
        <w:rPr>
          <w:sz w:val="22"/>
        </w:rPr>
      </w:pPr>
      <w:r>
        <w:rPr>
          <w:position w:val="2"/>
          <w:sz w:val="22"/>
        </w:rPr>
        <w:t>Figure 30. The tocopherol quinone-recycling system, α-TQ = α-tocopherol quinone, α-TQH</w:t>
      </w:r>
      <w:r>
        <w:rPr>
          <w:sz w:val="14"/>
        </w:rPr>
        <w:t>2 </w:t>
      </w:r>
      <w:r>
        <w:rPr>
          <w:position w:val="2"/>
          <w:sz w:val="22"/>
        </w:rPr>
        <w:t>= α-</w:t>
      </w:r>
      <w:r>
        <w:rPr>
          <w:spacing w:val="1"/>
          <w:position w:val="2"/>
          <w:sz w:val="22"/>
        </w:rPr>
        <w:t> </w:t>
      </w:r>
      <w:r>
        <w:rPr>
          <w:position w:val="2"/>
          <w:sz w:val="22"/>
        </w:rPr>
        <w:t>tocopherol quinol, TMPBQH</w:t>
      </w:r>
      <w:r>
        <w:rPr>
          <w:sz w:val="14"/>
        </w:rPr>
        <w:t>2 </w:t>
      </w:r>
      <w:r>
        <w:rPr>
          <w:position w:val="2"/>
          <w:sz w:val="22"/>
        </w:rPr>
        <w:t>= 2,3,5-trimethyl-6-phytyl-1,4-benzoquinol, TC = tocopherol cyclase, DH =</w:t>
      </w:r>
      <w:r>
        <w:rPr>
          <w:spacing w:val="-47"/>
          <w:position w:val="2"/>
          <w:sz w:val="22"/>
        </w:rPr>
        <w:t> </w:t>
      </w:r>
      <w:r>
        <w:rPr>
          <w:sz w:val="22"/>
        </w:rPr>
        <w:t>unknown</w:t>
      </w:r>
      <w:r>
        <w:rPr>
          <w:spacing w:val="-3"/>
          <w:sz w:val="22"/>
        </w:rPr>
        <w:t> </w:t>
      </w:r>
      <w:r>
        <w:rPr>
          <w:sz w:val="22"/>
        </w:rPr>
        <w:t>dehydratase, Asc/GSH</w:t>
      </w:r>
      <w:r>
        <w:rPr>
          <w:spacing w:val="-1"/>
          <w:sz w:val="22"/>
        </w:rPr>
        <w:t> </w:t>
      </w:r>
      <w:r>
        <w:rPr>
          <w:sz w:val="22"/>
        </w:rPr>
        <w:t>=</w:t>
      </w:r>
      <w:r>
        <w:rPr>
          <w:spacing w:val="-3"/>
          <w:sz w:val="22"/>
        </w:rPr>
        <w:t> </w:t>
      </w:r>
      <w:r>
        <w:rPr>
          <w:sz w:val="22"/>
        </w:rPr>
        <w:t>ascorbate-glutathione</w:t>
      </w:r>
      <w:r>
        <w:rPr>
          <w:spacing w:val="-1"/>
          <w:sz w:val="22"/>
        </w:rPr>
        <w:t> </w:t>
      </w:r>
      <w:r>
        <w:rPr>
          <w:sz w:val="22"/>
        </w:rPr>
        <w:t>cycle.</w:t>
      </w:r>
      <w:r>
        <w:rPr>
          <w:spacing w:val="-2"/>
          <w:sz w:val="22"/>
        </w:rPr>
        <w:t> </w:t>
      </w:r>
      <w:r>
        <w:rPr>
          <w:sz w:val="22"/>
        </w:rPr>
        <w:t>(Lushchak</w:t>
      </w:r>
      <w:r>
        <w:rPr>
          <w:spacing w:val="-1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Semchuk,</w:t>
      </w:r>
      <w:r>
        <w:rPr>
          <w:spacing w:val="-3"/>
          <w:sz w:val="22"/>
        </w:rPr>
        <w:t> </w:t>
      </w:r>
      <w:r>
        <w:rPr>
          <w:sz w:val="22"/>
        </w:rPr>
        <w:t>2012)</w:t>
      </w:r>
    </w:p>
    <w:p>
      <w:pPr>
        <w:spacing w:after="0"/>
        <w:jc w:val="left"/>
        <w:rPr>
          <w:sz w:val="22"/>
        </w:rPr>
        <w:sectPr>
          <w:footerReference w:type="default" r:id="rId57"/>
          <w:pgSz w:w="12240" w:h="15840"/>
          <w:pgMar w:footer="1014" w:header="0" w:top="1400" w:bottom="1200" w:left="1320" w:right="820"/>
          <w:pgNumType w:start="1"/>
        </w:sectPr>
      </w:pPr>
    </w:p>
    <w:p>
      <w:pPr>
        <w:pStyle w:val="BodyText"/>
        <w:spacing w:before="3"/>
        <w:rPr>
          <w:sz w:val="7"/>
        </w:rPr>
      </w:pPr>
    </w:p>
    <w:p>
      <w:pPr>
        <w:pStyle w:val="BodyText"/>
        <w:ind w:left="2529"/>
        <w:rPr>
          <w:sz w:val="20"/>
        </w:rPr>
      </w:pPr>
      <w:r>
        <w:rPr>
          <w:sz w:val="20"/>
        </w:rPr>
        <w:drawing>
          <wp:inline distT="0" distB="0" distL="0" distR="0">
            <wp:extent cx="2901695" cy="3316224"/>
            <wp:effectExtent l="0" t="0" r="0" b="0"/>
            <wp:docPr id="61" name="image3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" name="image31.jpe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1695" cy="3316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6"/>
        <w:rPr>
          <w:sz w:val="17"/>
        </w:rPr>
      </w:pPr>
    </w:p>
    <w:p>
      <w:pPr>
        <w:spacing w:before="56"/>
        <w:ind w:left="120" w:right="747" w:firstLine="0"/>
        <w:jc w:val="left"/>
        <w:rPr>
          <w:sz w:val="22"/>
        </w:rPr>
      </w:pPr>
      <w:r>
        <w:rPr>
          <w:sz w:val="22"/>
        </w:rPr>
        <w:t>Figure</w:t>
      </w:r>
      <w:r>
        <w:rPr>
          <w:spacing w:val="-1"/>
          <w:sz w:val="22"/>
        </w:rPr>
        <w:t> </w:t>
      </w:r>
      <w:r>
        <w:rPr>
          <w:sz w:val="22"/>
        </w:rPr>
        <w:t>31.</w:t>
      </w:r>
      <w:r>
        <w:rPr>
          <w:spacing w:val="-2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correlation</w:t>
      </w:r>
      <w:r>
        <w:rPr>
          <w:spacing w:val="-1"/>
          <w:sz w:val="22"/>
        </w:rPr>
        <w:t> </w:t>
      </w:r>
      <w:r>
        <w:rPr>
          <w:sz w:val="22"/>
        </w:rPr>
        <w:t>plot of</w:t>
      </w:r>
      <w:r>
        <w:rPr>
          <w:spacing w:val="-4"/>
          <w:sz w:val="22"/>
        </w:rPr>
        <w:t> </w:t>
      </w:r>
      <w:r>
        <w:rPr>
          <w:sz w:val="22"/>
        </w:rPr>
        <w:t>total TMPBQ(</w:t>
      </w:r>
      <w:r>
        <w:rPr>
          <w:b/>
          <w:sz w:val="22"/>
        </w:rPr>
        <w:t>XVII</w:t>
      </w:r>
      <w:r>
        <w:rPr>
          <w:sz w:val="22"/>
        </w:rPr>
        <w:t>)</w:t>
      </w:r>
      <w:r>
        <w:rPr>
          <w:spacing w:val="-1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α-MTTC(</w:t>
      </w:r>
      <w:r>
        <w:rPr>
          <w:b/>
          <w:sz w:val="22"/>
        </w:rPr>
        <w:t>XVI</w:t>
      </w:r>
      <w:r>
        <w:rPr>
          <w:sz w:val="22"/>
        </w:rPr>
        <w:t>). There</w:t>
      </w:r>
      <w:r>
        <w:rPr>
          <w:spacing w:val="-1"/>
          <w:sz w:val="22"/>
        </w:rPr>
        <w:t> </w:t>
      </w:r>
      <w:r>
        <w:rPr>
          <w:sz w:val="22"/>
        </w:rPr>
        <w:t>is a</w:t>
      </w:r>
      <w:r>
        <w:rPr>
          <w:spacing w:val="-2"/>
          <w:sz w:val="22"/>
        </w:rPr>
        <w:t> </w:t>
      </w:r>
      <w:r>
        <w:rPr>
          <w:sz w:val="22"/>
        </w:rPr>
        <w:t>straight line of</w:t>
      </w:r>
      <w:r>
        <w:rPr>
          <w:spacing w:val="-4"/>
          <w:sz w:val="22"/>
        </w:rPr>
        <w:t> </w:t>
      </w:r>
      <w:r>
        <w:rPr>
          <w:sz w:val="22"/>
        </w:rPr>
        <w:t>best</w:t>
      </w:r>
      <w:r>
        <w:rPr>
          <w:spacing w:val="-1"/>
          <w:sz w:val="22"/>
        </w:rPr>
        <w:t> </w:t>
      </w:r>
      <w:r>
        <w:rPr>
          <w:sz w:val="22"/>
        </w:rPr>
        <w:t>fit</w:t>
      </w:r>
      <w:r>
        <w:rPr>
          <w:spacing w:val="-47"/>
          <w:sz w:val="22"/>
        </w:rPr>
        <w:t> </w:t>
      </w:r>
      <w:r>
        <w:rPr>
          <w:sz w:val="22"/>
        </w:rPr>
        <w:t>with an</w:t>
      </w:r>
      <w:r>
        <w:rPr>
          <w:spacing w:val="-2"/>
          <w:sz w:val="22"/>
        </w:rPr>
        <w:t> </w:t>
      </w:r>
      <w:r>
        <w:rPr>
          <w:sz w:val="22"/>
        </w:rPr>
        <w:t>R</w:t>
      </w:r>
      <w:r>
        <w:rPr>
          <w:sz w:val="22"/>
          <w:vertAlign w:val="superscript"/>
        </w:rPr>
        <w:t>2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of 0.7257.</w:t>
      </w:r>
    </w:p>
    <w:p>
      <w:pPr>
        <w:pStyle w:val="BodyText"/>
        <w:spacing w:line="480" w:lineRule="auto" w:before="200"/>
        <w:ind w:left="120" w:right="697" w:firstLine="706"/>
      </w:pPr>
      <w:r>
        <w:rPr/>
        <w:t>Since δ-MTTC was not detected in any samples, it is excluded from this study; this also</w:t>
      </w:r>
      <w:r>
        <w:rPr>
          <w:spacing w:val="1"/>
        </w:rPr>
        <w:t> </w:t>
      </w:r>
      <w:r>
        <w:rPr/>
        <w:t>means that the salinity proxy α/δ-MTTC proposed by Jiang et al. (2018 and 2019) is not</w:t>
      </w:r>
      <w:r>
        <w:rPr>
          <w:spacing w:val="1"/>
        </w:rPr>
        <w:t> </w:t>
      </w:r>
      <w:r>
        <w:rPr/>
        <w:t>applicable to this study. The MTTCI ratio was determined to be an indicator of paleosalinity in</w:t>
      </w:r>
      <w:r>
        <w:rPr>
          <w:spacing w:val="1"/>
        </w:rPr>
        <w:t> </w:t>
      </w:r>
      <w:r>
        <w:rPr/>
        <w:t>previous studies (Peters et al., 2005; Jiang et al., 2018, 2019) when it was correlated to the</w:t>
      </w:r>
      <w:r>
        <w:rPr>
          <w:spacing w:val="1"/>
        </w:rPr>
        <w:t> </w:t>
      </w:r>
      <w:r>
        <w:rPr/>
        <w:t>pristane/phytane ratio and the gammacerane index indicating saline environments. Based on</w:t>
      </w:r>
      <w:r>
        <w:rPr>
          <w:spacing w:val="1"/>
        </w:rPr>
        <w:t> </w:t>
      </w:r>
      <w:r>
        <w:rPr/>
        <w:t>the MTTCI ratio, α-MTTC/total MTTCs, a general salinity profile can be established. Therefore,</w:t>
      </w:r>
      <w:r>
        <w:rPr>
          <w:spacing w:val="1"/>
        </w:rPr>
        <w:t> </w:t>
      </w:r>
      <w:r>
        <w:rPr/>
        <w:t>the ratio will be used more to show salinity changes rather than previously established cutoffs</w:t>
      </w:r>
      <w:r>
        <w:rPr>
          <w:spacing w:val="1"/>
        </w:rPr>
        <w:t> </w:t>
      </w:r>
      <w:r>
        <w:rPr/>
        <w:t>for salinity conditions by Jiang et al. (2018, 2019). Figure 32 shows how the MTTCI ratio (α-</w:t>
      </w:r>
      <w:r>
        <w:rPr>
          <w:spacing w:val="1"/>
        </w:rPr>
        <w:t> </w:t>
      </w:r>
      <w:r>
        <w:rPr/>
        <w:t>MTTC/total MTTCs) and, therefore, the salinity of the system has changed. Based on the</w:t>
      </w:r>
      <w:r>
        <w:rPr>
          <w:spacing w:val="1"/>
        </w:rPr>
        <w:t> </w:t>
      </w:r>
      <w:r>
        <w:rPr/>
        <w:t>hypothesis that a low ratio shows higher salinity conditions and a high ratio shows lower</w:t>
      </w:r>
      <w:r>
        <w:rPr>
          <w:spacing w:val="1"/>
        </w:rPr>
        <w:t> </w:t>
      </w:r>
      <w:r>
        <w:rPr/>
        <w:t>salinity</w:t>
      </w:r>
      <w:r>
        <w:rPr>
          <w:spacing w:val="-3"/>
        </w:rPr>
        <w:t> </w:t>
      </w:r>
      <w:r>
        <w:rPr/>
        <w:t>conditions,</w:t>
      </w:r>
      <w:r>
        <w:rPr>
          <w:spacing w:val="-4"/>
        </w:rPr>
        <w:t> </w:t>
      </w:r>
      <w:r>
        <w:rPr/>
        <w:t>most</w:t>
      </w:r>
      <w:r>
        <w:rPr>
          <w:spacing w:val="-4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-2"/>
        </w:rPr>
        <w:t> </w:t>
      </w:r>
      <w:r>
        <w:rPr/>
        <w:t>Lower</w:t>
      </w:r>
      <w:r>
        <w:rPr>
          <w:spacing w:val="-2"/>
        </w:rPr>
        <w:t> </w:t>
      </w:r>
      <w:r>
        <w:rPr/>
        <w:t>Woodford</w:t>
      </w:r>
      <w:r>
        <w:rPr>
          <w:spacing w:val="-2"/>
        </w:rPr>
        <w:t> </w:t>
      </w:r>
      <w:r>
        <w:rPr/>
        <w:t>Shale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Middle</w:t>
      </w:r>
      <w:r>
        <w:rPr>
          <w:spacing w:val="-3"/>
        </w:rPr>
        <w:t> </w:t>
      </w:r>
      <w:r>
        <w:rPr/>
        <w:t>Woodford</w:t>
      </w:r>
      <w:r>
        <w:rPr>
          <w:spacing w:val="-2"/>
        </w:rPr>
        <w:t> </w:t>
      </w:r>
      <w:r>
        <w:rPr/>
        <w:t>Shale</w:t>
      </w:r>
      <w:r>
        <w:rPr>
          <w:spacing w:val="-3"/>
        </w:rPr>
        <w:t> </w:t>
      </w:r>
      <w:r>
        <w:rPr/>
        <w:t>show</w:t>
      </w:r>
      <w:r>
        <w:rPr>
          <w:spacing w:val="2"/>
        </w:rPr>
        <w:t> </w:t>
      </w:r>
      <w:r>
        <w:rPr/>
        <w:t>lower</w:t>
      </w:r>
    </w:p>
    <w:p>
      <w:pPr>
        <w:spacing w:after="0" w:line="480" w:lineRule="auto"/>
        <w:sectPr>
          <w:pgSz w:w="12240" w:h="15840"/>
          <w:pgMar w:header="0" w:footer="1014" w:top="1500" w:bottom="1200" w:left="1320" w:right="820"/>
        </w:sectPr>
      </w:pPr>
    </w:p>
    <w:p>
      <w:pPr>
        <w:pStyle w:val="BodyText"/>
        <w:spacing w:line="480" w:lineRule="auto" w:before="39"/>
        <w:ind w:left="120" w:right="658"/>
      </w:pPr>
      <w:r>
        <w:rPr/>
        <w:t>salinity.</w:t>
      </w:r>
      <w:r>
        <w:rPr>
          <w:spacing w:val="-3"/>
        </w:rPr>
        <w:t> </w:t>
      </w:r>
      <w:r>
        <w:rPr/>
        <w:t>This</w:t>
      </w:r>
      <w:r>
        <w:rPr>
          <w:spacing w:val="-2"/>
        </w:rPr>
        <w:t> </w:t>
      </w:r>
      <w:r>
        <w:rPr/>
        <w:t>general</w:t>
      </w:r>
      <w:r>
        <w:rPr>
          <w:spacing w:val="-4"/>
        </w:rPr>
        <w:t> </w:t>
      </w:r>
      <w:r>
        <w:rPr/>
        <w:t>low</w:t>
      </w:r>
      <w:r>
        <w:rPr>
          <w:spacing w:val="-4"/>
        </w:rPr>
        <w:t> </w:t>
      </w:r>
      <w:r>
        <w:rPr/>
        <w:t>salinity</w:t>
      </w:r>
      <w:r>
        <w:rPr>
          <w:spacing w:val="-2"/>
        </w:rPr>
        <w:t> </w:t>
      </w:r>
      <w:r>
        <w:rPr/>
        <w:t>continues</w:t>
      </w:r>
      <w:r>
        <w:rPr>
          <w:spacing w:val="-4"/>
        </w:rPr>
        <w:t> </w:t>
      </w:r>
      <w:r>
        <w:rPr/>
        <w:t>until</w:t>
      </w:r>
      <w:r>
        <w:rPr>
          <w:spacing w:val="-4"/>
        </w:rPr>
        <w:t> </w:t>
      </w:r>
      <w:r>
        <w:rPr/>
        <w:t>after</w:t>
      </w:r>
      <w:r>
        <w:rPr>
          <w:spacing w:val="-4"/>
        </w:rPr>
        <w:t> </w:t>
      </w:r>
      <w:r>
        <w:rPr/>
        <w:t>132.75ft,</w:t>
      </w:r>
      <w:r>
        <w:rPr>
          <w:spacing w:val="-1"/>
        </w:rPr>
        <w:t> </w:t>
      </w:r>
      <w:r>
        <w:rPr/>
        <w:t>where</w:t>
      </w:r>
      <w:r>
        <w:rPr>
          <w:spacing w:val="-2"/>
        </w:rPr>
        <w:t> </w:t>
      </w:r>
      <w:r>
        <w:rPr/>
        <w:t>there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a</w:t>
      </w:r>
      <w:r>
        <w:rPr>
          <w:spacing w:val="1"/>
        </w:rPr>
        <w:t> </w:t>
      </w:r>
      <w:r>
        <w:rPr/>
        <w:t>spike</w:t>
      </w:r>
      <w:r>
        <w:rPr>
          <w:spacing w:val="-2"/>
        </w:rPr>
        <w:t> </w:t>
      </w:r>
      <w:r>
        <w:rPr/>
        <w:t>in</w:t>
      </w:r>
      <w:r>
        <w:rPr>
          <w:spacing w:val="1"/>
        </w:rPr>
        <w:t> </w:t>
      </w:r>
      <w:r>
        <w:rPr/>
        <w:t>salinity</w:t>
      </w:r>
      <w:r>
        <w:rPr>
          <w:spacing w:val="-51"/>
        </w:rPr>
        <w:t> </w:t>
      </w:r>
      <w:r>
        <w:rPr/>
        <w:t>which stays high until the Upper Woodford Shale, where there is variable salinity seeing one</w:t>
      </w:r>
      <w:r>
        <w:rPr>
          <w:spacing w:val="1"/>
        </w:rPr>
        <w:t> </w:t>
      </w:r>
      <w:r>
        <w:rPr/>
        <w:t>large spike</w:t>
      </w:r>
      <w:r>
        <w:rPr>
          <w:spacing w:val="-5"/>
        </w:rPr>
        <w:t> </w:t>
      </w:r>
      <w:r>
        <w:rPr/>
        <w:t>but</w:t>
      </w:r>
      <w:r>
        <w:rPr>
          <w:spacing w:val="1"/>
        </w:rPr>
        <w:t> </w:t>
      </w:r>
      <w:r>
        <w:rPr/>
        <w:t>mostly</w:t>
      </w:r>
      <w:r>
        <w:rPr>
          <w:spacing w:val="-4"/>
        </w:rPr>
        <w:t> </w:t>
      </w:r>
      <w:r>
        <w:rPr/>
        <w:t>staying</w:t>
      </w:r>
      <w:r>
        <w:rPr>
          <w:spacing w:val="-3"/>
        </w:rPr>
        <w:t> </w:t>
      </w:r>
      <w:r>
        <w:rPr/>
        <w:t>around</w:t>
      </w:r>
      <w:r>
        <w:rPr>
          <w:spacing w:val="-4"/>
        </w:rPr>
        <w:t> </w:t>
      </w:r>
      <w:r>
        <w:rPr/>
        <w:t>the</w:t>
      </w:r>
      <w:r>
        <w:rPr>
          <w:spacing w:val="-1"/>
        </w:rPr>
        <w:t> </w:t>
      </w:r>
      <w:r>
        <w:rPr/>
        <w:t>salinity</w:t>
      </w:r>
      <w:r>
        <w:rPr>
          <w:spacing w:val="-4"/>
        </w:rPr>
        <w:t> </w:t>
      </w:r>
      <w:r>
        <w:rPr/>
        <w:t>seen in</w:t>
      </w:r>
      <w:r>
        <w:rPr>
          <w:spacing w:val="-3"/>
        </w:rPr>
        <w:t> </w:t>
      </w:r>
      <w:r>
        <w:rPr/>
        <w:t>the</w:t>
      </w:r>
      <w:r>
        <w:rPr>
          <w:spacing w:val="-5"/>
        </w:rPr>
        <w:t> </w:t>
      </w:r>
      <w:r>
        <w:rPr/>
        <w:t>Lower Woodford Shale</w:t>
      </w:r>
      <w:r>
        <w:rPr>
          <w:spacing w:val="-5"/>
        </w:rPr>
        <w:t> </w:t>
      </w:r>
      <w:r>
        <w:rPr/>
        <w:t>and</w:t>
      </w:r>
      <w:r>
        <w:rPr>
          <w:spacing w:val="1"/>
        </w:rPr>
        <w:t> </w:t>
      </w:r>
      <w:r>
        <w:rPr/>
        <w:t>Upper</w:t>
      </w:r>
      <w:r>
        <w:rPr>
          <w:spacing w:val="-52"/>
        </w:rPr>
        <w:t> </w:t>
      </w:r>
      <w:r>
        <w:rPr/>
        <w:t>Woodford</w:t>
      </w:r>
      <w:r>
        <w:rPr>
          <w:spacing w:val="-3"/>
        </w:rPr>
        <w:t> </w:t>
      </w:r>
      <w:r>
        <w:rPr/>
        <w:t>Shale.</w:t>
      </w:r>
    </w:p>
    <w:p>
      <w:pPr>
        <w:pStyle w:val="BodyText"/>
        <w:spacing w:before="6"/>
        <w:rPr>
          <w:sz w:val="23"/>
        </w:rPr>
      </w:pPr>
      <w:r>
        <w:rPr/>
        <w:drawing>
          <wp:anchor distT="0" distB="0" distL="0" distR="0" allowOverlap="1" layoutInCell="1" locked="0" behindDoc="0" simplePos="0" relativeHeight="215">
            <wp:simplePos x="0" y="0"/>
            <wp:positionH relativeFrom="page">
              <wp:posOffset>3172968</wp:posOffset>
            </wp:positionH>
            <wp:positionV relativeFrom="paragraph">
              <wp:posOffset>197897</wp:posOffset>
            </wp:positionV>
            <wp:extent cx="1463040" cy="5141976"/>
            <wp:effectExtent l="0" t="0" r="0" b="0"/>
            <wp:wrapTopAndBottom/>
            <wp:docPr id="63" name="image3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" name="image32.jpe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040" cy="51419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2"/>
        <w:rPr>
          <w:sz w:val="19"/>
        </w:rPr>
      </w:pPr>
    </w:p>
    <w:p>
      <w:pPr>
        <w:spacing w:line="240" w:lineRule="auto" w:before="0"/>
        <w:ind w:left="120" w:right="636" w:firstLine="0"/>
        <w:jc w:val="left"/>
        <w:rPr>
          <w:sz w:val="22"/>
        </w:rPr>
      </w:pPr>
      <w:r>
        <w:rPr>
          <w:sz w:val="22"/>
        </w:rPr>
        <w:t>Figure 32. MTTCI ratio (α-MTTC/total MTTC) depth profile. The line at 118ft separates the Upper</w:t>
      </w:r>
      <w:r>
        <w:rPr>
          <w:spacing w:val="1"/>
          <w:sz w:val="22"/>
        </w:rPr>
        <w:t> </w:t>
      </w:r>
      <w:r>
        <w:rPr>
          <w:sz w:val="22"/>
        </w:rPr>
        <w:t>Woodford</w:t>
      </w:r>
      <w:r>
        <w:rPr>
          <w:spacing w:val="-2"/>
          <w:sz w:val="22"/>
        </w:rPr>
        <w:t> </w:t>
      </w:r>
      <w:r>
        <w:rPr>
          <w:sz w:val="22"/>
        </w:rPr>
        <w:t>Shale</w:t>
      </w:r>
      <w:r>
        <w:rPr>
          <w:spacing w:val="-2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Middle</w:t>
      </w:r>
      <w:r>
        <w:rPr>
          <w:spacing w:val="-1"/>
          <w:sz w:val="22"/>
        </w:rPr>
        <w:t> </w:t>
      </w:r>
      <w:r>
        <w:rPr>
          <w:sz w:val="22"/>
        </w:rPr>
        <w:t>Woodford</w:t>
      </w:r>
      <w:r>
        <w:rPr>
          <w:spacing w:val="-2"/>
          <w:sz w:val="22"/>
        </w:rPr>
        <w:t> </w:t>
      </w:r>
      <w:r>
        <w:rPr>
          <w:sz w:val="22"/>
        </w:rPr>
        <w:t>Shale,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line</w:t>
      </w:r>
      <w:r>
        <w:rPr>
          <w:spacing w:val="-1"/>
          <w:sz w:val="22"/>
        </w:rPr>
        <w:t> </w:t>
      </w:r>
      <w:r>
        <w:rPr>
          <w:sz w:val="22"/>
        </w:rPr>
        <w:t>at</w:t>
      </w:r>
      <w:r>
        <w:rPr>
          <w:spacing w:val="-4"/>
          <w:sz w:val="22"/>
        </w:rPr>
        <w:t> </w:t>
      </w:r>
      <w:r>
        <w:rPr>
          <w:sz w:val="22"/>
        </w:rPr>
        <w:t>185ft</w:t>
      </w:r>
      <w:r>
        <w:rPr>
          <w:spacing w:val="1"/>
          <w:sz w:val="22"/>
        </w:rPr>
        <w:t> </w:t>
      </w:r>
      <w:r>
        <w:rPr>
          <w:sz w:val="22"/>
        </w:rPr>
        <w:t>separates</w:t>
      </w:r>
      <w:r>
        <w:rPr>
          <w:spacing w:val="-1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Middle</w:t>
      </w:r>
      <w:r>
        <w:rPr>
          <w:spacing w:val="-1"/>
          <w:sz w:val="22"/>
        </w:rPr>
        <w:t> </w:t>
      </w:r>
      <w:r>
        <w:rPr>
          <w:sz w:val="22"/>
        </w:rPr>
        <w:t>Woodford</w:t>
      </w:r>
      <w:r>
        <w:rPr>
          <w:spacing w:val="-2"/>
          <w:sz w:val="22"/>
        </w:rPr>
        <w:t> </w:t>
      </w:r>
      <w:r>
        <w:rPr>
          <w:sz w:val="22"/>
        </w:rPr>
        <w:t>Shale</w:t>
      </w:r>
      <w:r>
        <w:rPr>
          <w:spacing w:val="-47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1"/>
          <w:sz w:val="22"/>
        </w:rPr>
        <w:t> </w:t>
      </w:r>
      <w:r>
        <w:rPr>
          <w:sz w:val="22"/>
        </w:rPr>
        <w:t>Lower</w:t>
      </w:r>
      <w:r>
        <w:rPr>
          <w:spacing w:val="-2"/>
          <w:sz w:val="22"/>
        </w:rPr>
        <w:t> </w:t>
      </w:r>
      <w:r>
        <w:rPr>
          <w:sz w:val="22"/>
        </w:rPr>
        <w:t>Woodford</w:t>
      </w:r>
      <w:r>
        <w:rPr>
          <w:spacing w:val="-3"/>
          <w:sz w:val="22"/>
        </w:rPr>
        <w:t> </w:t>
      </w:r>
      <w:r>
        <w:rPr>
          <w:sz w:val="22"/>
        </w:rPr>
        <w:t>Shale.</w:t>
      </w:r>
    </w:p>
    <w:p>
      <w:pPr>
        <w:spacing w:after="0" w:line="240" w:lineRule="auto"/>
        <w:jc w:val="left"/>
        <w:rPr>
          <w:sz w:val="22"/>
        </w:rPr>
        <w:sectPr>
          <w:pgSz w:w="12240" w:h="15840"/>
          <w:pgMar w:header="0" w:footer="1014" w:top="1400" w:bottom="1200" w:left="1320" w:right="820"/>
        </w:sectPr>
      </w:pPr>
    </w:p>
    <w:p>
      <w:pPr>
        <w:pStyle w:val="ListParagraph"/>
        <w:numPr>
          <w:ilvl w:val="1"/>
          <w:numId w:val="6"/>
        </w:numPr>
        <w:tabs>
          <w:tab w:pos="474" w:val="left" w:leader="none"/>
        </w:tabs>
        <w:spacing w:line="240" w:lineRule="auto" w:before="39" w:after="0"/>
        <w:ind w:left="473" w:right="0" w:hanging="354"/>
        <w:jc w:val="left"/>
        <w:rPr>
          <w:i/>
          <w:sz w:val="23"/>
        </w:rPr>
      </w:pPr>
      <w:r>
        <w:rPr>
          <w:i/>
          <w:sz w:val="24"/>
        </w:rPr>
        <w:t>Locating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Frasnian-Famennian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Boundary</w:t>
      </w:r>
    </w:p>
    <w:p>
      <w:pPr>
        <w:pStyle w:val="BodyText"/>
        <w:rPr>
          <w:i/>
        </w:rPr>
      </w:pPr>
    </w:p>
    <w:p>
      <w:pPr>
        <w:spacing w:line="480" w:lineRule="auto" w:before="0"/>
        <w:ind w:left="120" w:right="631" w:firstLine="675"/>
        <w:jc w:val="left"/>
        <w:rPr>
          <w:sz w:val="23"/>
        </w:rPr>
      </w:pPr>
      <w:r>
        <w:rPr>
          <w:sz w:val="23"/>
        </w:rPr>
        <w:t>The Frasnian-Famennian boundary has been placed differently in the Woodford Shale,</w:t>
      </w:r>
      <w:r>
        <w:rPr>
          <w:spacing w:val="1"/>
          <w:sz w:val="23"/>
        </w:rPr>
        <w:t> </w:t>
      </w:r>
      <w:r>
        <w:rPr>
          <w:sz w:val="23"/>
        </w:rPr>
        <w:t>depending on the methods used to find it (Over, 1990; Jones, 2017; Molinares-Blanco, 2019).</w:t>
      </w:r>
      <w:r>
        <w:rPr>
          <w:spacing w:val="1"/>
          <w:sz w:val="23"/>
        </w:rPr>
        <w:t> </w:t>
      </w:r>
      <w:r>
        <w:rPr>
          <w:sz w:val="23"/>
        </w:rPr>
        <w:t>Biomarker</w:t>
      </w:r>
      <w:r>
        <w:rPr>
          <w:spacing w:val="4"/>
          <w:sz w:val="23"/>
        </w:rPr>
        <w:t> </w:t>
      </w:r>
      <w:r>
        <w:rPr>
          <w:sz w:val="23"/>
        </w:rPr>
        <w:t>records</w:t>
      </w:r>
      <w:r>
        <w:rPr>
          <w:spacing w:val="3"/>
          <w:sz w:val="23"/>
        </w:rPr>
        <w:t> </w:t>
      </w:r>
      <w:r>
        <w:rPr>
          <w:sz w:val="23"/>
        </w:rPr>
        <w:t>are</w:t>
      </w:r>
      <w:r>
        <w:rPr>
          <w:spacing w:val="2"/>
          <w:sz w:val="23"/>
        </w:rPr>
        <w:t> </w:t>
      </w:r>
      <w:r>
        <w:rPr>
          <w:sz w:val="23"/>
        </w:rPr>
        <w:t>more</w:t>
      </w:r>
      <w:r>
        <w:rPr>
          <w:spacing w:val="4"/>
          <w:sz w:val="23"/>
        </w:rPr>
        <w:t> </w:t>
      </w:r>
      <w:r>
        <w:rPr>
          <w:sz w:val="23"/>
        </w:rPr>
        <w:t>likely</w:t>
      </w:r>
      <w:r>
        <w:rPr>
          <w:spacing w:val="2"/>
          <w:sz w:val="23"/>
        </w:rPr>
        <w:t> </w:t>
      </w:r>
      <w:r>
        <w:rPr>
          <w:sz w:val="23"/>
        </w:rPr>
        <w:t>to</w:t>
      </w:r>
      <w:r>
        <w:rPr>
          <w:spacing w:val="1"/>
          <w:sz w:val="23"/>
        </w:rPr>
        <w:t> </w:t>
      </w:r>
      <w:r>
        <w:rPr>
          <w:sz w:val="23"/>
        </w:rPr>
        <w:t>reflect</w:t>
      </w:r>
      <w:r>
        <w:rPr>
          <w:spacing w:val="1"/>
          <w:sz w:val="23"/>
        </w:rPr>
        <w:t> </w:t>
      </w:r>
      <w:r>
        <w:rPr>
          <w:sz w:val="23"/>
        </w:rPr>
        <w:t>regional</w:t>
      </w:r>
      <w:r>
        <w:rPr>
          <w:spacing w:val="3"/>
          <w:sz w:val="23"/>
        </w:rPr>
        <w:t> </w:t>
      </w:r>
      <w:r>
        <w:rPr>
          <w:sz w:val="23"/>
        </w:rPr>
        <w:t>environmental</w:t>
      </w:r>
      <w:r>
        <w:rPr>
          <w:spacing w:val="2"/>
          <w:sz w:val="23"/>
        </w:rPr>
        <w:t> </w:t>
      </w:r>
      <w:r>
        <w:rPr>
          <w:sz w:val="23"/>
        </w:rPr>
        <w:t>changes</w:t>
      </w:r>
      <w:r>
        <w:rPr>
          <w:spacing w:val="3"/>
          <w:sz w:val="23"/>
        </w:rPr>
        <w:t> </w:t>
      </w:r>
      <w:r>
        <w:rPr>
          <w:sz w:val="23"/>
        </w:rPr>
        <w:t>rather</w:t>
      </w:r>
      <w:r>
        <w:rPr>
          <w:spacing w:val="5"/>
          <w:sz w:val="23"/>
        </w:rPr>
        <w:t> </w:t>
      </w:r>
      <w:r>
        <w:rPr>
          <w:sz w:val="23"/>
        </w:rPr>
        <w:t>than</w:t>
      </w:r>
      <w:r>
        <w:rPr>
          <w:spacing w:val="2"/>
          <w:sz w:val="23"/>
        </w:rPr>
        <w:t> </w:t>
      </w:r>
      <w:r>
        <w:rPr>
          <w:sz w:val="23"/>
        </w:rPr>
        <w:t>global,</w:t>
      </w:r>
      <w:r>
        <w:rPr>
          <w:spacing w:val="1"/>
          <w:sz w:val="23"/>
        </w:rPr>
        <w:t> </w:t>
      </w:r>
      <w:r>
        <w:rPr>
          <w:sz w:val="23"/>
        </w:rPr>
        <w:t>so</w:t>
      </w:r>
      <w:r>
        <w:rPr>
          <w:spacing w:val="1"/>
          <w:sz w:val="23"/>
        </w:rPr>
        <w:t> </w:t>
      </w:r>
      <w:r>
        <w:rPr>
          <w:sz w:val="23"/>
        </w:rPr>
        <w:t>it</w:t>
      </w:r>
      <w:r>
        <w:rPr>
          <w:spacing w:val="-3"/>
          <w:sz w:val="23"/>
        </w:rPr>
        <w:t> </w:t>
      </w:r>
      <w:r>
        <w:rPr>
          <w:sz w:val="23"/>
        </w:rPr>
        <w:t>is</w:t>
      </w:r>
      <w:r>
        <w:rPr>
          <w:spacing w:val="-3"/>
          <w:sz w:val="23"/>
        </w:rPr>
        <w:t> </w:t>
      </w:r>
      <w:r>
        <w:rPr>
          <w:sz w:val="23"/>
        </w:rPr>
        <w:t>more</w:t>
      </w:r>
      <w:r>
        <w:rPr>
          <w:spacing w:val="-1"/>
          <w:sz w:val="23"/>
        </w:rPr>
        <w:t> </w:t>
      </w:r>
      <w:r>
        <w:rPr>
          <w:sz w:val="23"/>
        </w:rPr>
        <w:t>difficult</w:t>
      </w:r>
      <w:r>
        <w:rPr>
          <w:spacing w:val="-1"/>
          <w:sz w:val="23"/>
        </w:rPr>
        <w:t> </w:t>
      </w:r>
      <w:r>
        <w:rPr>
          <w:sz w:val="23"/>
        </w:rPr>
        <w:t>to</w:t>
      </w:r>
      <w:r>
        <w:rPr>
          <w:spacing w:val="-3"/>
          <w:sz w:val="23"/>
        </w:rPr>
        <w:t> </w:t>
      </w:r>
      <w:r>
        <w:rPr>
          <w:sz w:val="23"/>
        </w:rPr>
        <w:t>correlate</w:t>
      </w:r>
      <w:r>
        <w:rPr>
          <w:spacing w:val="-1"/>
          <w:sz w:val="23"/>
        </w:rPr>
        <w:t> </w:t>
      </w:r>
      <w:r>
        <w:rPr>
          <w:sz w:val="23"/>
        </w:rPr>
        <w:t>the</w:t>
      </w:r>
      <w:r>
        <w:rPr>
          <w:spacing w:val="-1"/>
          <w:sz w:val="23"/>
        </w:rPr>
        <w:t> </w:t>
      </w:r>
      <w:r>
        <w:rPr>
          <w:sz w:val="23"/>
        </w:rPr>
        <w:t>findings</w:t>
      </w:r>
      <w:r>
        <w:rPr>
          <w:spacing w:val="1"/>
          <w:sz w:val="23"/>
        </w:rPr>
        <w:t> </w:t>
      </w:r>
      <w:r>
        <w:rPr>
          <w:sz w:val="23"/>
        </w:rPr>
        <w:t>with</w:t>
      </w:r>
      <w:r>
        <w:rPr>
          <w:spacing w:val="-3"/>
          <w:sz w:val="23"/>
        </w:rPr>
        <w:t> </w:t>
      </w:r>
      <w:r>
        <w:rPr>
          <w:sz w:val="23"/>
        </w:rPr>
        <w:t>other known</w:t>
      </w:r>
      <w:r>
        <w:rPr>
          <w:spacing w:val="-3"/>
          <w:sz w:val="23"/>
        </w:rPr>
        <w:t> </w:t>
      </w:r>
      <w:r>
        <w:rPr>
          <w:sz w:val="23"/>
        </w:rPr>
        <w:t>event</w:t>
      </w:r>
      <w:r>
        <w:rPr>
          <w:spacing w:val="-1"/>
          <w:sz w:val="23"/>
        </w:rPr>
        <w:t> </w:t>
      </w:r>
      <w:r>
        <w:rPr>
          <w:sz w:val="23"/>
        </w:rPr>
        <w:t>beds.</w:t>
      </w:r>
      <w:r>
        <w:rPr>
          <w:spacing w:val="-3"/>
          <w:sz w:val="23"/>
        </w:rPr>
        <w:t> </w:t>
      </w:r>
      <w:r>
        <w:rPr>
          <w:sz w:val="23"/>
        </w:rPr>
        <w:t>Carbon</w:t>
      </w:r>
      <w:r>
        <w:rPr>
          <w:spacing w:val="-1"/>
          <w:sz w:val="23"/>
        </w:rPr>
        <w:t> </w:t>
      </w:r>
      <w:r>
        <w:rPr>
          <w:sz w:val="23"/>
        </w:rPr>
        <w:t>isotopes,</w:t>
      </w:r>
      <w:r>
        <w:rPr>
          <w:spacing w:val="-1"/>
          <w:sz w:val="23"/>
        </w:rPr>
        <w:t> </w:t>
      </w:r>
      <w:r>
        <w:rPr>
          <w:sz w:val="23"/>
        </w:rPr>
        <w:t>however,</w:t>
      </w:r>
      <w:r>
        <w:rPr>
          <w:spacing w:val="-49"/>
          <w:sz w:val="23"/>
        </w:rPr>
        <w:t> </w:t>
      </w:r>
      <w:r>
        <w:rPr>
          <w:sz w:val="23"/>
        </w:rPr>
        <w:t>will</w:t>
      </w:r>
      <w:r>
        <w:rPr>
          <w:spacing w:val="-1"/>
          <w:sz w:val="23"/>
        </w:rPr>
        <w:t> </w:t>
      </w:r>
      <w:r>
        <w:rPr>
          <w:sz w:val="23"/>
        </w:rPr>
        <w:t>generally record</w:t>
      </w:r>
      <w:r>
        <w:rPr>
          <w:spacing w:val="-2"/>
          <w:sz w:val="23"/>
        </w:rPr>
        <w:t> </w:t>
      </w:r>
      <w:r>
        <w:rPr>
          <w:sz w:val="23"/>
        </w:rPr>
        <w:t>disturbance</w:t>
      </w:r>
      <w:r>
        <w:rPr>
          <w:spacing w:val="-2"/>
          <w:sz w:val="23"/>
        </w:rPr>
        <w:t> </w:t>
      </w:r>
      <w:r>
        <w:rPr>
          <w:sz w:val="23"/>
        </w:rPr>
        <w:t>of global</w:t>
      </w:r>
      <w:r>
        <w:rPr>
          <w:spacing w:val="-2"/>
          <w:sz w:val="23"/>
        </w:rPr>
        <w:t> </w:t>
      </w:r>
      <w:r>
        <w:rPr>
          <w:sz w:val="23"/>
        </w:rPr>
        <w:t>carbon</w:t>
      </w:r>
      <w:r>
        <w:rPr>
          <w:spacing w:val="-3"/>
          <w:sz w:val="23"/>
        </w:rPr>
        <w:t> </w:t>
      </w:r>
      <w:r>
        <w:rPr>
          <w:sz w:val="23"/>
        </w:rPr>
        <w:t>cycles.</w:t>
      </w:r>
    </w:p>
    <w:p>
      <w:pPr>
        <w:spacing w:line="480" w:lineRule="auto" w:before="161"/>
        <w:ind w:left="120" w:right="641" w:firstLine="678"/>
        <w:jc w:val="left"/>
        <w:rPr>
          <w:i/>
          <w:sz w:val="23"/>
        </w:rPr>
      </w:pPr>
      <w:r>
        <w:rPr>
          <w:sz w:val="23"/>
        </w:rPr>
        <w:t>Conodont</w:t>
      </w:r>
      <w:r>
        <w:rPr>
          <w:spacing w:val="-4"/>
          <w:sz w:val="23"/>
        </w:rPr>
        <w:t> </w:t>
      </w:r>
      <w:r>
        <w:rPr>
          <w:sz w:val="23"/>
        </w:rPr>
        <w:t>assemblages have</w:t>
      </w:r>
      <w:r>
        <w:rPr>
          <w:spacing w:val="-2"/>
          <w:sz w:val="23"/>
        </w:rPr>
        <w:t> </w:t>
      </w:r>
      <w:r>
        <w:rPr>
          <w:sz w:val="23"/>
        </w:rPr>
        <w:t>been</w:t>
      </w:r>
      <w:r>
        <w:rPr>
          <w:spacing w:val="-4"/>
          <w:sz w:val="23"/>
        </w:rPr>
        <w:t> </w:t>
      </w:r>
      <w:r>
        <w:rPr>
          <w:sz w:val="23"/>
        </w:rPr>
        <w:t>historically</w:t>
      </w:r>
      <w:r>
        <w:rPr>
          <w:spacing w:val="-5"/>
          <w:sz w:val="23"/>
        </w:rPr>
        <w:t> </w:t>
      </w:r>
      <w:r>
        <w:rPr>
          <w:sz w:val="23"/>
        </w:rPr>
        <w:t>used</w:t>
      </w:r>
      <w:r>
        <w:rPr>
          <w:spacing w:val="-3"/>
          <w:sz w:val="23"/>
        </w:rPr>
        <w:t> </w:t>
      </w:r>
      <w:r>
        <w:rPr>
          <w:sz w:val="23"/>
        </w:rPr>
        <w:t>to define</w:t>
      </w:r>
      <w:r>
        <w:rPr>
          <w:spacing w:val="1"/>
          <w:sz w:val="23"/>
        </w:rPr>
        <w:t> </w:t>
      </w:r>
      <w:r>
        <w:rPr>
          <w:sz w:val="23"/>
        </w:rPr>
        <w:t>the</w:t>
      </w:r>
      <w:r>
        <w:rPr>
          <w:spacing w:val="-2"/>
          <w:sz w:val="23"/>
        </w:rPr>
        <w:t> </w:t>
      </w:r>
      <w:r>
        <w:rPr>
          <w:sz w:val="23"/>
        </w:rPr>
        <w:t>F/F</w:t>
      </w:r>
      <w:r>
        <w:rPr>
          <w:spacing w:val="-5"/>
          <w:sz w:val="23"/>
        </w:rPr>
        <w:t> </w:t>
      </w:r>
      <w:r>
        <w:rPr>
          <w:sz w:val="23"/>
        </w:rPr>
        <w:t>boundary</w:t>
      </w:r>
      <w:r>
        <w:rPr>
          <w:spacing w:val="-4"/>
          <w:sz w:val="23"/>
        </w:rPr>
        <w:t> </w:t>
      </w:r>
      <w:r>
        <w:rPr>
          <w:sz w:val="23"/>
        </w:rPr>
        <w:t>since</w:t>
      </w:r>
      <w:r>
        <w:rPr>
          <w:spacing w:val="-2"/>
          <w:sz w:val="23"/>
        </w:rPr>
        <w:t> </w:t>
      </w:r>
      <w:r>
        <w:rPr>
          <w:sz w:val="23"/>
        </w:rPr>
        <w:t>they</w:t>
      </w:r>
      <w:r>
        <w:rPr>
          <w:spacing w:val="-1"/>
          <w:sz w:val="23"/>
        </w:rPr>
        <w:t> </w:t>
      </w:r>
      <w:r>
        <w:rPr>
          <w:sz w:val="23"/>
        </w:rPr>
        <w:t>are</w:t>
      </w:r>
      <w:r>
        <w:rPr>
          <w:spacing w:val="-49"/>
          <w:sz w:val="23"/>
        </w:rPr>
        <w:t> </w:t>
      </w:r>
      <w:r>
        <w:rPr>
          <w:sz w:val="23"/>
        </w:rPr>
        <w:t>thought to be the teeth of jawless fish and, therefore, would be subject to extinction events (Over,</w:t>
      </w:r>
      <w:r>
        <w:rPr>
          <w:spacing w:val="1"/>
          <w:sz w:val="23"/>
        </w:rPr>
        <w:t> </w:t>
      </w:r>
      <w:r>
        <w:rPr>
          <w:sz w:val="23"/>
        </w:rPr>
        <w:t>1990, 2002). They are also locally abundant and diverse in the Woodford Shale, which allows them</w:t>
      </w:r>
      <w:r>
        <w:rPr>
          <w:spacing w:val="1"/>
          <w:sz w:val="23"/>
        </w:rPr>
        <w:t> </w:t>
      </w:r>
      <w:r>
        <w:rPr>
          <w:sz w:val="23"/>
        </w:rPr>
        <w:t>to be used as a marker for events. Therefore, using conodont zonation can make it possible to</w:t>
      </w:r>
      <w:r>
        <w:rPr>
          <w:spacing w:val="1"/>
          <w:sz w:val="23"/>
        </w:rPr>
        <w:t> </w:t>
      </w:r>
      <w:r>
        <w:rPr>
          <w:sz w:val="23"/>
        </w:rPr>
        <w:t>assess global paleoenvironmental changes and correlate extinction events between stratigraphic</w:t>
      </w:r>
      <w:r>
        <w:rPr>
          <w:spacing w:val="1"/>
          <w:sz w:val="23"/>
        </w:rPr>
        <w:t> </w:t>
      </w:r>
      <w:r>
        <w:rPr>
          <w:sz w:val="23"/>
        </w:rPr>
        <w:t>sections (Wignall et al., 1996). Using conodonts, the F/F boundary in the Woodford Shale is defined</w:t>
      </w:r>
      <w:r>
        <w:rPr>
          <w:spacing w:val="1"/>
          <w:sz w:val="23"/>
        </w:rPr>
        <w:t> </w:t>
      </w:r>
      <w:r>
        <w:rPr>
          <w:sz w:val="23"/>
        </w:rPr>
        <w:t>by</w:t>
      </w:r>
      <w:r>
        <w:rPr>
          <w:spacing w:val="-1"/>
          <w:sz w:val="23"/>
        </w:rPr>
        <w:t> </w:t>
      </w:r>
      <w:r>
        <w:rPr>
          <w:sz w:val="23"/>
        </w:rPr>
        <w:t>the</w:t>
      </w:r>
      <w:r>
        <w:rPr>
          <w:spacing w:val="-1"/>
          <w:sz w:val="23"/>
        </w:rPr>
        <w:t> </w:t>
      </w:r>
      <w:r>
        <w:rPr>
          <w:sz w:val="23"/>
        </w:rPr>
        <w:t>disappearance</w:t>
      </w:r>
      <w:r>
        <w:rPr>
          <w:spacing w:val="-2"/>
          <w:sz w:val="23"/>
        </w:rPr>
        <w:t> </w:t>
      </w:r>
      <w:r>
        <w:rPr>
          <w:sz w:val="23"/>
        </w:rPr>
        <w:t>of</w:t>
      </w:r>
      <w:r>
        <w:rPr>
          <w:spacing w:val="2"/>
          <w:sz w:val="23"/>
        </w:rPr>
        <w:t> </w:t>
      </w:r>
      <w:r>
        <w:rPr>
          <w:i/>
          <w:sz w:val="23"/>
        </w:rPr>
        <w:t>Ancryognathus</w:t>
      </w:r>
      <w:r>
        <w:rPr>
          <w:i/>
          <w:spacing w:val="-3"/>
          <w:sz w:val="23"/>
        </w:rPr>
        <w:t> </w:t>
      </w:r>
      <w:r>
        <w:rPr>
          <w:i/>
          <w:sz w:val="23"/>
        </w:rPr>
        <w:t>tslensl,</w:t>
      </w:r>
      <w:r>
        <w:rPr>
          <w:i/>
          <w:spacing w:val="-1"/>
          <w:sz w:val="23"/>
        </w:rPr>
        <w:t> </w:t>
      </w:r>
      <w:r>
        <w:rPr>
          <w:i/>
          <w:sz w:val="23"/>
        </w:rPr>
        <w:t>Icriodus</w:t>
      </w:r>
      <w:r>
        <w:rPr>
          <w:i/>
          <w:spacing w:val="-1"/>
          <w:sz w:val="23"/>
        </w:rPr>
        <w:t> </w:t>
      </w:r>
      <w:r>
        <w:rPr>
          <w:i/>
          <w:sz w:val="23"/>
        </w:rPr>
        <w:t>symmetricus, Ancryodella</w:t>
      </w:r>
      <w:r>
        <w:rPr>
          <w:i/>
          <w:spacing w:val="-2"/>
          <w:sz w:val="23"/>
        </w:rPr>
        <w:t> </w:t>
      </w:r>
      <w:r>
        <w:rPr>
          <w:i/>
          <w:sz w:val="23"/>
        </w:rPr>
        <w:t>lobata,</w:t>
      </w:r>
    </w:p>
    <w:p>
      <w:pPr>
        <w:spacing w:line="480" w:lineRule="auto" w:before="0"/>
        <w:ind w:left="120" w:right="1172" w:firstLine="0"/>
        <w:jc w:val="left"/>
        <w:rPr>
          <w:i/>
          <w:sz w:val="23"/>
        </w:rPr>
      </w:pPr>
      <w:r>
        <w:rPr>
          <w:i/>
          <w:sz w:val="23"/>
        </w:rPr>
        <w:t>Palmatolepis kireevae, Palmatolepis ljaschenkoae, Palmatolepis proversa, Palmatolepis</w:t>
      </w:r>
      <w:r>
        <w:rPr>
          <w:i/>
          <w:spacing w:val="1"/>
          <w:sz w:val="23"/>
        </w:rPr>
        <w:t> </w:t>
      </w:r>
      <w:r>
        <w:rPr>
          <w:i/>
          <w:sz w:val="23"/>
        </w:rPr>
        <w:t>punctata, </w:t>
      </w:r>
      <w:r>
        <w:rPr>
          <w:sz w:val="23"/>
        </w:rPr>
        <w:t>and</w:t>
      </w:r>
      <w:r>
        <w:rPr>
          <w:spacing w:val="-1"/>
          <w:sz w:val="23"/>
        </w:rPr>
        <w:t> </w:t>
      </w:r>
      <w:r>
        <w:rPr>
          <w:i/>
          <w:sz w:val="23"/>
        </w:rPr>
        <w:t>Palmatolepis</w:t>
      </w:r>
      <w:r>
        <w:rPr>
          <w:i/>
          <w:spacing w:val="-4"/>
          <w:sz w:val="23"/>
        </w:rPr>
        <w:t> </w:t>
      </w:r>
      <w:r>
        <w:rPr>
          <w:i/>
          <w:sz w:val="23"/>
        </w:rPr>
        <w:t>praetriangularis</w:t>
      </w:r>
      <w:r>
        <w:rPr>
          <w:i/>
          <w:spacing w:val="-1"/>
          <w:sz w:val="23"/>
        </w:rPr>
        <w:t> </w:t>
      </w:r>
      <w:r>
        <w:rPr>
          <w:sz w:val="23"/>
        </w:rPr>
        <w:t>and</w:t>
      </w:r>
      <w:r>
        <w:rPr>
          <w:spacing w:val="-4"/>
          <w:sz w:val="23"/>
        </w:rPr>
        <w:t> </w:t>
      </w:r>
      <w:r>
        <w:rPr>
          <w:sz w:val="23"/>
        </w:rPr>
        <w:t>the</w:t>
      </w:r>
      <w:r>
        <w:rPr>
          <w:spacing w:val="1"/>
          <w:sz w:val="23"/>
        </w:rPr>
        <w:t> </w:t>
      </w:r>
      <w:r>
        <w:rPr>
          <w:sz w:val="23"/>
        </w:rPr>
        <w:t>appearance</w:t>
      </w:r>
      <w:r>
        <w:rPr>
          <w:spacing w:val="-4"/>
          <w:sz w:val="23"/>
        </w:rPr>
        <w:t> </w:t>
      </w:r>
      <w:r>
        <w:rPr>
          <w:sz w:val="23"/>
        </w:rPr>
        <w:t>of</w:t>
      </w:r>
      <w:r>
        <w:rPr>
          <w:spacing w:val="-1"/>
          <w:sz w:val="23"/>
        </w:rPr>
        <w:t> </w:t>
      </w:r>
      <w:r>
        <w:rPr>
          <w:i/>
          <w:sz w:val="23"/>
        </w:rPr>
        <w:t>Palmatolepis</w:t>
      </w:r>
      <w:r>
        <w:rPr>
          <w:i/>
          <w:spacing w:val="-2"/>
          <w:sz w:val="23"/>
        </w:rPr>
        <w:t> </w:t>
      </w:r>
      <w:r>
        <w:rPr>
          <w:i/>
          <w:sz w:val="23"/>
        </w:rPr>
        <w:t>lingullformis,</w:t>
      </w:r>
    </w:p>
    <w:p>
      <w:pPr>
        <w:spacing w:line="480" w:lineRule="auto" w:before="0"/>
        <w:ind w:left="120" w:right="649" w:firstLine="0"/>
        <w:jc w:val="left"/>
        <w:rPr>
          <w:sz w:val="23"/>
        </w:rPr>
      </w:pPr>
      <w:r>
        <w:rPr>
          <w:i/>
          <w:sz w:val="23"/>
        </w:rPr>
        <w:t>Palmatolepis</w:t>
      </w:r>
      <w:r>
        <w:rPr>
          <w:i/>
          <w:spacing w:val="-4"/>
          <w:sz w:val="23"/>
        </w:rPr>
        <w:t> </w:t>
      </w:r>
      <w:r>
        <w:rPr>
          <w:i/>
          <w:sz w:val="23"/>
        </w:rPr>
        <w:t>del.</w:t>
      </w:r>
      <w:r>
        <w:rPr>
          <w:i/>
          <w:spacing w:val="-3"/>
          <w:sz w:val="23"/>
        </w:rPr>
        <w:t> </w:t>
      </w:r>
      <w:r>
        <w:rPr>
          <w:i/>
          <w:sz w:val="23"/>
        </w:rPr>
        <w:t>dellcatula,</w:t>
      </w:r>
      <w:r>
        <w:rPr>
          <w:i/>
          <w:spacing w:val="-3"/>
          <w:sz w:val="23"/>
        </w:rPr>
        <w:t> </w:t>
      </w:r>
      <w:r>
        <w:rPr>
          <w:i/>
          <w:sz w:val="23"/>
        </w:rPr>
        <w:t>Palmatolepis</w:t>
      </w:r>
      <w:r>
        <w:rPr>
          <w:i/>
          <w:spacing w:val="-3"/>
          <w:sz w:val="23"/>
        </w:rPr>
        <w:t> </w:t>
      </w:r>
      <w:r>
        <w:rPr>
          <w:i/>
          <w:sz w:val="23"/>
        </w:rPr>
        <w:t>subperlobata,</w:t>
      </w:r>
      <w:r>
        <w:rPr>
          <w:i/>
          <w:spacing w:val="-3"/>
          <w:sz w:val="23"/>
        </w:rPr>
        <w:t> </w:t>
      </w:r>
      <w:r>
        <w:rPr>
          <w:i/>
          <w:sz w:val="23"/>
        </w:rPr>
        <w:t>Palmatolepis</w:t>
      </w:r>
      <w:r>
        <w:rPr>
          <w:i/>
          <w:spacing w:val="-5"/>
          <w:sz w:val="23"/>
        </w:rPr>
        <w:t> </w:t>
      </w:r>
      <w:r>
        <w:rPr>
          <w:i/>
          <w:sz w:val="23"/>
        </w:rPr>
        <w:t>triangularls,</w:t>
      </w:r>
      <w:r>
        <w:rPr>
          <w:i/>
          <w:spacing w:val="-2"/>
          <w:sz w:val="23"/>
        </w:rPr>
        <w:t> </w:t>
      </w:r>
      <w:r>
        <w:rPr>
          <w:i/>
          <w:sz w:val="23"/>
        </w:rPr>
        <w:t>and</w:t>
      </w:r>
      <w:r>
        <w:rPr>
          <w:i/>
          <w:spacing w:val="-5"/>
          <w:sz w:val="23"/>
        </w:rPr>
        <w:t> </w:t>
      </w:r>
      <w:r>
        <w:rPr>
          <w:i/>
          <w:sz w:val="23"/>
        </w:rPr>
        <w:t>Palmatolepis</w:t>
      </w:r>
      <w:r>
        <w:rPr>
          <w:i/>
          <w:spacing w:val="-49"/>
          <w:sz w:val="23"/>
        </w:rPr>
        <w:t> </w:t>
      </w:r>
      <w:r>
        <w:rPr>
          <w:i/>
          <w:sz w:val="23"/>
        </w:rPr>
        <w:t>del. clarkl </w:t>
      </w:r>
      <w:r>
        <w:rPr>
          <w:sz w:val="23"/>
        </w:rPr>
        <w:t>(Over, 1990). Based on conodont zonation, Over (1990) placed the F/F boundary within</w:t>
      </w:r>
      <w:r>
        <w:rPr>
          <w:spacing w:val="1"/>
          <w:sz w:val="23"/>
        </w:rPr>
        <w:t> </w:t>
      </w:r>
      <w:r>
        <w:rPr>
          <w:sz w:val="23"/>
        </w:rPr>
        <w:t>the lower 65.6 ft of the Woodford Shale in the outcrops they used. Since conodonts have not been</w:t>
      </w:r>
      <w:r>
        <w:rPr>
          <w:spacing w:val="1"/>
          <w:sz w:val="23"/>
        </w:rPr>
        <w:t> </w:t>
      </w:r>
      <w:r>
        <w:rPr>
          <w:sz w:val="23"/>
        </w:rPr>
        <w:t>analyzed in the Wyche-1 core, it is impossible to know if this fits with this core. Likely, it does not,</w:t>
      </w:r>
      <w:r>
        <w:rPr>
          <w:spacing w:val="1"/>
          <w:sz w:val="23"/>
        </w:rPr>
        <w:t> </w:t>
      </w:r>
      <w:r>
        <w:rPr>
          <w:sz w:val="23"/>
        </w:rPr>
        <w:t>but looking at 65.6 ft from the bottom of the core puts it around 145 ft which is reasonably close to</w:t>
      </w:r>
      <w:r>
        <w:rPr>
          <w:spacing w:val="1"/>
          <w:sz w:val="23"/>
        </w:rPr>
        <w:t> </w:t>
      </w:r>
      <w:r>
        <w:rPr>
          <w:sz w:val="23"/>
        </w:rPr>
        <w:t>other</w:t>
      </w:r>
      <w:r>
        <w:rPr>
          <w:spacing w:val="-1"/>
          <w:sz w:val="23"/>
        </w:rPr>
        <w:t> </w:t>
      </w:r>
      <w:r>
        <w:rPr>
          <w:sz w:val="23"/>
        </w:rPr>
        <w:t>hypotheses</w:t>
      </w:r>
      <w:r>
        <w:rPr>
          <w:spacing w:val="2"/>
          <w:sz w:val="23"/>
        </w:rPr>
        <w:t> </w:t>
      </w:r>
      <w:r>
        <w:rPr>
          <w:sz w:val="23"/>
        </w:rPr>
        <w:t>for</w:t>
      </w:r>
      <w:r>
        <w:rPr>
          <w:spacing w:val="2"/>
          <w:sz w:val="23"/>
        </w:rPr>
        <w:t> </w:t>
      </w:r>
      <w:r>
        <w:rPr>
          <w:sz w:val="23"/>
        </w:rPr>
        <w:t>its</w:t>
      </w:r>
      <w:r>
        <w:rPr>
          <w:spacing w:val="2"/>
          <w:sz w:val="23"/>
        </w:rPr>
        <w:t> </w:t>
      </w:r>
      <w:r>
        <w:rPr>
          <w:sz w:val="23"/>
        </w:rPr>
        <w:t>location.</w:t>
      </w:r>
    </w:p>
    <w:p>
      <w:pPr>
        <w:spacing w:after="0" w:line="480" w:lineRule="auto"/>
        <w:jc w:val="left"/>
        <w:rPr>
          <w:sz w:val="23"/>
        </w:rPr>
        <w:sectPr>
          <w:pgSz w:w="12240" w:h="15840"/>
          <w:pgMar w:header="0" w:footer="1014" w:top="1400" w:bottom="1200" w:left="1320" w:right="820"/>
        </w:sectPr>
      </w:pPr>
    </w:p>
    <w:p>
      <w:pPr>
        <w:spacing w:line="480" w:lineRule="auto" w:before="39"/>
        <w:ind w:left="120" w:right="641" w:firstLine="720"/>
        <w:jc w:val="left"/>
        <w:rPr>
          <w:sz w:val="23"/>
        </w:rPr>
      </w:pPr>
      <w:r>
        <w:rPr>
          <w:sz w:val="23"/>
        </w:rPr>
        <w:t>One of the other ways the F/F boundary is found is through the use of biomarkers. Using</w:t>
      </w:r>
      <w:r>
        <w:rPr>
          <w:spacing w:val="1"/>
          <w:sz w:val="23"/>
        </w:rPr>
        <w:t> </w:t>
      </w:r>
      <w:r>
        <w:rPr>
          <w:sz w:val="23"/>
        </w:rPr>
        <w:t>biomarkers that have been found to indicate the boundary, the location of the events can be</w:t>
      </w:r>
      <w:r>
        <w:rPr>
          <w:spacing w:val="1"/>
          <w:sz w:val="23"/>
        </w:rPr>
        <w:t> </w:t>
      </w:r>
      <w:r>
        <w:rPr>
          <w:sz w:val="23"/>
        </w:rPr>
        <w:t>determined. Previous studies have utilized the hydrogen index, pristine/phytane ratio, and aryl</w:t>
      </w:r>
      <w:r>
        <w:rPr>
          <w:spacing w:val="1"/>
          <w:sz w:val="23"/>
        </w:rPr>
        <w:t> </w:t>
      </w:r>
      <w:r>
        <w:rPr>
          <w:sz w:val="23"/>
        </w:rPr>
        <w:t>isoprenoid</w:t>
      </w:r>
      <w:r>
        <w:rPr>
          <w:spacing w:val="-2"/>
          <w:sz w:val="23"/>
        </w:rPr>
        <w:t> </w:t>
      </w:r>
      <w:r>
        <w:rPr>
          <w:sz w:val="23"/>
        </w:rPr>
        <w:t>ratio</w:t>
      </w:r>
      <w:r>
        <w:rPr>
          <w:spacing w:val="1"/>
          <w:sz w:val="23"/>
        </w:rPr>
        <w:t> </w:t>
      </w:r>
      <w:r>
        <w:rPr>
          <w:sz w:val="23"/>
        </w:rPr>
        <w:t>to</w:t>
      </w:r>
      <w:r>
        <w:rPr>
          <w:spacing w:val="-3"/>
          <w:sz w:val="23"/>
        </w:rPr>
        <w:t> </w:t>
      </w:r>
      <w:r>
        <w:rPr>
          <w:sz w:val="23"/>
        </w:rPr>
        <w:t>determine</w:t>
      </w:r>
      <w:r>
        <w:rPr>
          <w:spacing w:val="-2"/>
          <w:sz w:val="23"/>
        </w:rPr>
        <w:t> </w:t>
      </w:r>
      <w:r>
        <w:rPr>
          <w:sz w:val="23"/>
        </w:rPr>
        <w:t>the</w:t>
      </w:r>
      <w:r>
        <w:rPr>
          <w:spacing w:val="-1"/>
          <w:sz w:val="23"/>
        </w:rPr>
        <w:t> </w:t>
      </w:r>
      <w:r>
        <w:rPr>
          <w:sz w:val="23"/>
        </w:rPr>
        <w:t>placement</w:t>
      </w:r>
      <w:r>
        <w:rPr>
          <w:spacing w:val="-5"/>
          <w:sz w:val="23"/>
        </w:rPr>
        <w:t> </w:t>
      </w:r>
      <w:r>
        <w:rPr>
          <w:sz w:val="23"/>
        </w:rPr>
        <w:t>of</w:t>
      </w:r>
      <w:r>
        <w:rPr>
          <w:spacing w:val="-2"/>
          <w:sz w:val="23"/>
        </w:rPr>
        <w:t> </w:t>
      </w:r>
      <w:r>
        <w:rPr>
          <w:sz w:val="23"/>
        </w:rPr>
        <w:t>the UK</w:t>
      </w:r>
      <w:r>
        <w:rPr>
          <w:spacing w:val="-5"/>
          <w:sz w:val="23"/>
        </w:rPr>
        <w:t> </w:t>
      </w:r>
      <w:r>
        <w:rPr>
          <w:sz w:val="23"/>
        </w:rPr>
        <w:t>and</w:t>
      </w:r>
      <w:r>
        <w:rPr>
          <w:spacing w:val="-3"/>
          <w:sz w:val="23"/>
        </w:rPr>
        <w:t> </w:t>
      </w:r>
      <w:r>
        <w:rPr>
          <w:sz w:val="23"/>
        </w:rPr>
        <w:t>LK</w:t>
      </w:r>
      <w:r>
        <w:rPr>
          <w:spacing w:val="-2"/>
          <w:sz w:val="23"/>
        </w:rPr>
        <w:t> </w:t>
      </w:r>
      <w:r>
        <w:rPr>
          <w:sz w:val="23"/>
        </w:rPr>
        <w:t>events</w:t>
      </w:r>
      <w:r>
        <w:rPr>
          <w:spacing w:val="1"/>
          <w:sz w:val="23"/>
        </w:rPr>
        <w:t> </w:t>
      </w:r>
      <w:r>
        <w:rPr>
          <w:sz w:val="23"/>
        </w:rPr>
        <w:t>that</w:t>
      </w:r>
      <w:r>
        <w:rPr>
          <w:spacing w:val="-2"/>
          <w:sz w:val="23"/>
        </w:rPr>
        <w:t> </w:t>
      </w:r>
      <w:r>
        <w:rPr>
          <w:sz w:val="23"/>
        </w:rPr>
        <w:t>predate</w:t>
      </w:r>
      <w:r>
        <w:rPr>
          <w:spacing w:val="1"/>
          <w:sz w:val="23"/>
        </w:rPr>
        <w:t> </w:t>
      </w:r>
      <w:r>
        <w:rPr>
          <w:sz w:val="23"/>
        </w:rPr>
        <w:t>the</w:t>
      </w:r>
      <w:r>
        <w:rPr>
          <w:spacing w:val="-1"/>
          <w:sz w:val="23"/>
        </w:rPr>
        <w:t> </w:t>
      </w:r>
      <w:r>
        <w:rPr>
          <w:sz w:val="23"/>
        </w:rPr>
        <w:t>F/F</w:t>
      </w:r>
      <w:r>
        <w:rPr>
          <w:spacing w:val="-5"/>
          <w:sz w:val="23"/>
        </w:rPr>
        <w:t> </w:t>
      </w:r>
      <w:r>
        <w:rPr>
          <w:sz w:val="23"/>
        </w:rPr>
        <w:t>boundary</w:t>
      </w:r>
      <w:r>
        <w:rPr>
          <w:spacing w:val="-49"/>
          <w:sz w:val="23"/>
        </w:rPr>
        <w:t> </w:t>
      </w:r>
      <w:r>
        <w:rPr>
          <w:sz w:val="23"/>
        </w:rPr>
        <w:t>(Hartkopf-Fröder et al., 2007). Others have used terrestrial input markers to define these events</w:t>
      </w:r>
      <w:r>
        <w:rPr>
          <w:spacing w:val="1"/>
          <w:sz w:val="23"/>
        </w:rPr>
        <w:t> </w:t>
      </w:r>
      <w:r>
        <w:rPr>
          <w:sz w:val="23"/>
        </w:rPr>
        <w:t>(Jones, 2017). These methods can be subject to some uncertainty. In Jones (2017), the Kellwasser</w:t>
      </w:r>
      <w:r>
        <w:rPr>
          <w:spacing w:val="1"/>
          <w:sz w:val="23"/>
        </w:rPr>
        <w:t> </w:t>
      </w:r>
      <w:r>
        <w:rPr>
          <w:sz w:val="23"/>
        </w:rPr>
        <w:t>and F/F boundary are both placed after the maximum flooding surface, a conclusion which is</w:t>
      </w:r>
      <w:r>
        <w:rPr>
          <w:spacing w:val="1"/>
          <w:sz w:val="23"/>
        </w:rPr>
        <w:t> </w:t>
      </w:r>
      <w:r>
        <w:rPr>
          <w:sz w:val="23"/>
        </w:rPr>
        <w:t>interesting since most other studies place it before. Jones (2017) used biomarkers derived from</w:t>
      </w:r>
      <w:r>
        <w:rPr>
          <w:spacing w:val="1"/>
          <w:sz w:val="23"/>
        </w:rPr>
        <w:t> </w:t>
      </w:r>
      <w:r>
        <w:rPr>
          <w:sz w:val="23"/>
        </w:rPr>
        <w:t>terrestrial sources to make her determination. Using these biomarkers could be viable since it is</w:t>
      </w:r>
      <w:r>
        <w:rPr>
          <w:spacing w:val="1"/>
          <w:sz w:val="23"/>
        </w:rPr>
        <w:t> </w:t>
      </w:r>
      <w:r>
        <w:rPr>
          <w:sz w:val="23"/>
        </w:rPr>
        <w:t>thought that the events are characterized by enhanced terrestrial input resulting from widespread</w:t>
      </w:r>
      <w:r>
        <w:rPr>
          <w:spacing w:val="1"/>
          <w:sz w:val="23"/>
        </w:rPr>
        <w:t> </w:t>
      </w:r>
      <w:r>
        <w:rPr>
          <w:sz w:val="23"/>
        </w:rPr>
        <w:t>fires. In addition, the use of these markers might explain why they found the Kellwasser events to</w:t>
      </w:r>
      <w:r>
        <w:rPr>
          <w:spacing w:val="1"/>
          <w:sz w:val="23"/>
        </w:rPr>
        <w:t> </w:t>
      </w:r>
      <w:r>
        <w:rPr>
          <w:sz w:val="23"/>
        </w:rPr>
        <w:t>occur after the MFS, as the subsequent falling of sea level could have resulted in the enhanced</w:t>
      </w:r>
      <w:r>
        <w:rPr>
          <w:spacing w:val="1"/>
          <w:sz w:val="23"/>
        </w:rPr>
        <w:t> </w:t>
      </w:r>
      <w:r>
        <w:rPr>
          <w:sz w:val="23"/>
        </w:rPr>
        <w:t>runoff</w:t>
      </w:r>
      <w:r>
        <w:rPr>
          <w:spacing w:val="-3"/>
          <w:sz w:val="23"/>
        </w:rPr>
        <w:t> </w:t>
      </w:r>
      <w:r>
        <w:rPr>
          <w:sz w:val="23"/>
        </w:rPr>
        <w:t>detected.</w:t>
      </w:r>
    </w:p>
    <w:p>
      <w:pPr>
        <w:spacing w:line="480" w:lineRule="auto" w:before="160"/>
        <w:ind w:left="120" w:right="691" w:firstLine="675"/>
        <w:jc w:val="left"/>
        <w:rPr>
          <w:sz w:val="23"/>
        </w:rPr>
      </w:pPr>
      <w:r>
        <w:rPr>
          <w:sz w:val="23"/>
        </w:rPr>
        <w:t>The carbon isotope ratio is widely used to determine the locations of the F/F boundary</w:t>
      </w:r>
      <w:r>
        <w:rPr>
          <w:spacing w:val="1"/>
          <w:sz w:val="23"/>
        </w:rPr>
        <w:t> </w:t>
      </w:r>
      <w:r>
        <w:rPr>
          <w:sz w:val="23"/>
        </w:rPr>
        <w:t>owing to the strong positive carbon isotope excursion that is seen globally at the Kellwasser events</w:t>
      </w:r>
      <w:r>
        <w:rPr>
          <w:spacing w:val="-49"/>
          <w:sz w:val="23"/>
        </w:rPr>
        <w:t> </w:t>
      </w:r>
      <w:r>
        <w:rPr>
          <w:sz w:val="23"/>
        </w:rPr>
        <w:t>(Chen et al., 2005; De Vleeschouwer et al., 2013; Molinares-Blanco, 2019). The carbon isotope</w:t>
      </w:r>
      <w:r>
        <w:rPr>
          <w:spacing w:val="1"/>
          <w:sz w:val="23"/>
        </w:rPr>
        <w:t> </w:t>
      </w:r>
      <w:r>
        <w:rPr>
          <w:sz w:val="23"/>
        </w:rPr>
        <w:t>ratios (Figure 23) show possible disagreement between this study and the Molinares-Blanco (2019)</w:t>
      </w:r>
      <w:r>
        <w:rPr>
          <w:spacing w:val="-49"/>
          <w:sz w:val="23"/>
        </w:rPr>
        <w:t> </w:t>
      </w:r>
      <w:r>
        <w:rPr>
          <w:sz w:val="23"/>
        </w:rPr>
        <w:t>study. They placed the boundaries based on the global carbon isotope excursion graph, which</w:t>
      </w:r>
      <w:r>
        <w:rPr>
          <w:spacing w:val="1"/>
          <w:sz w:val="23"/>
        </w:rPr>
        <w:t> </w:t>
      </w:r>
      <w:r>
        <w:rPr>
          <w:sz w:val="23"/>
        </w:rPr>
        <w:t>shows that the LK and UK, along with the D/C boundaries, have positive carbon isotope excursions.</w:t>
      </w:r>
      <w:r>
        <w:rPr>
          <w:spacing w:val="-49"/>
          <w:sz w:val="23"/>
        </w:rPr>
        <w:t> </w:t>
      </w:r>
      <w:r>
        <w:rPr>
          <w:sz w:val="23"/>
        </w:rPr>
        <w:t>Their data lines up nicely with the disappearance of the aromatic carotenoids and the MFS at</w:t>
      </w:r>
      <w:r>
        <w:rPr>
          <w:spacing w:val="1"/>
          <w:sz w:val="23"/>
        </w:rPr>
        <w:t> </w:t>
      </w:r>
      <w:r>
        <w:rPr>
          <w:sz w:val="23"/>
        </w:rPr>
        <w:t>around 130 ft, making a solid case for this being correct. However, when our data is included, the</w:t>
      </w:r>
      <w:r>
        <w:rPr>
          <w:spacing w:val="1"/>
          <w:sz w:val="23"/>
        </w:rPr>
        <w:t> </w:t>
      </w:r>
      <w:r>
        <w:rPr>
          <w:sz w:val="23"/>
        </w:rPr>
        <w:t>large</w:t>
      </w:r>
      <w:r>
        <w:rPr>
          <w:spacing w:val="-2"/>
          <w:sz w:val="23"/>
        </w:rPr>
        <w:t> </w:t>
      </w:r>
      <w:r>
        <w:rPr>
          <w:sz w:val="23"/>
        </w:rPr>
        <w:t>positive</w:t>
      </w:r>
      <w:r>
        <w:rPr>
          <w:spacing w:val="-2"/>
          <w:sz w:val="23"/>
        </w:rPr>
        <w:t> </w:t>
      </w:r>
      <w:r>
        <w:rPr>
          <w:sz w:val="23"/>
        </w:rPr>
        <w:t>excursion</w:t>
      </w:r>
      <w:r>
        <w:rPr>
          <w:spacing w:val="-2"/>
          <w:sz w:val="23"/>
        </w:rPr>
        <w:t> </w:t>
      </w:r>
      <w:r>
        <w:rPr>
          <w:sz w:val="23"/>
        </w:rPr>
        <w:t>at</w:t>
      </w:r>
      <w:r>
        <w:rPr>
          <w:spacing w:val="-4"/>
          <w:sz w:val="23"/>
        </w:rPr>
        <w:t> </w:t>
      </w:r>
      <w:r>
        <w:rPr>
          <w:sz w:val="23"/>
        </w:rPr>
        <w:t>126.17</w:t>
      </w:r>
      <w:r>
        <w:rPr>
          <w:spacing w:val="-1"/>
          <w:sz w:val="23"/>
        </w:rPr>
        <w:t> </w:t>
      </w:r>
      <w:r>
        <w:rPr>
          <w:sz w:val="23"/>
        </w:rPr>
        <w:t>ft</w:t>
      </w:r>
      <w:r>
        <w:rPr>
          <w:spacing w:val="-2"/>
          <w:sz w:val="23"/>
        </w:rPr>
        <w:t> </w:t>
      </w:r>
      <w:r>
        <w:rPr>
          <w:sz w:val="23"/>
        </w:rPr>
        <w:t>throws</w:t>
      </w:r>
      <w:r>
        <w:rPr>
          <w:spacing w:val="-2"/>
          <w:sz w:val="23"/>
        </w:rPr>
        <w:t> </w:t>
      </w:r>
      <w:r>
        <w:rPr>
          <w:sz w:val="23"/>
        </w:rPr>
        <w:t>their</w:t>
      </w:r>
      <w:r>
        <w:rPr>
          <w:spacing w:val="-4"/>
          <w:sz w:val="23"/>
        </w:rPr>
        <w:t> </w:t>
      </w:r>
      <w:r>
        <w:rPr>
          <w:sz w:val="23"/>
        </w:rPr>
        <w:t>conclusions into</w:t>
      </w:r>
      <w:r>
        <w:rPr>
          <w:spacing w:val="-3"/>
          <w:sz w:val="23"/>
        </w:rPr>
        <w:t> </w:t>
      </w:r>
      <w:r>
        <w:rPr>
          <w:sz w:val="23"/>
        </w:rPr>
        <w:t>question.</w:t>
      </w:r>
      <w:r>
        <w:rPr>
          <w:spacing w:val="-2"/>
          <w:sz w:val="23"/>
        </w:rPr>
        <w:t> </w:t>
      </w:r>
      <w:r>
        <w:rPr>
          <w:sz w:val="23"/>
        </w:rPr>
        <w:t>Using</w:t>
      </w:r>
      <w:r>
        <w:rPr>
          <w:spacing w:val="-2"/>
          <w:sz w:val="23"/>
        </w:rPr>
        <w:t> </w:t>
      </w:r>
      <w:r>
        <w:rPr>
          <w:sz w:val="23"/>
        </w:rPr>
        <w:t>the</w:t>
      </w:r>
      <w:r>
        <w:rPr>
          <w:spacing w:val="-2"/>
          <w:sz w:val="23"/>
        </w:rPr>
        <w:t> </w:t>
      </w:r>
      <w:r>
        <w:rPr>
          <w:sz w:val="23"/>
        </w:rPr>
        <w:t>global</w:t>
      </w:r>
      <w:r>
        <w:rPr>
          <w:spacing w:val="-2"/>
          <w:sz w:val="23"/>
        </w:rPr>
        <w:t> </w:t>
      </w:r>
      <w:r>
        <w:rPr>
          <w:sz w:val="23"/>
        </w:rPr>
        <w:t>carbon</w:t>
      </w:r>
      <w:r>
        <w:rPr>
          <w:spacing w:val="-49"/>
          <w:sz w:val="23"/>
        </w:rPr>
        <w:t> </w:t>
      </w:r>
      <w:r>
        <w:rPr>
          <w:sz w:val="23"/>
        </w:rPr>
        <w:t>isotope</w:t>
      </w:r>
      <w:r>
        <w:rPr>
          <w:spacing w:val="-3"/>
          <w:sz w:val="23"/>
        </w:rPr>
        <w:t> </w:t>
      </w:r>
      <w:r>
        <w:rPr>
          <w:sz w:val="23"/>
        </w:rPr>
        <w:t>excursion</w:t>
      </w:r>
      <w:r>
        <w:rPr>
          <w:spacing w:val="-4"/>
          <w:sz w:val="23"/>
        </w:rPr>
        <w:t> </w:t>
      </w:r>
      <w:r>
        <w:rPr>
          <w:sz w:val="23"/>
        </w:rPr>
        <w:t>would</w:t>
      </w:r>
      <w:r>
        <w:rPr>
          <w:spacing w:val="-3"/>
          <w:sz w:val="23"/>
        </w:rPr>
        <w:t> </w:t>
      </w:r>
      <w:r>
        <w:rPr>
          <w:sz w:val="23"/>
        </w:rPr>
        <w:t>mean</w:t>
      </w:r>
      <w:r>
        <w:rPr>
          <w:spacing w:val="-3"/>
          <w:sz w:val="23"/>
        </w:rPr>
        <w:t> </w:t>
      </w:r>
      <w:r>
        <w:rPr>
          <w:sz w:val="23"/>
        </w:rPr>
        <w:t>the</w:t>
      </w:r>
      <w:r>
        <w:rPr>
          <w:spacing w:val="3"/>
          <w:sz w:val="23"/>
        </w:rPr>
        <w:t> </w:t>
      </w:r>
      <w:r>
        <w:rPr>
          <w:sz w:val="23"/>
        </w:rPr>
        <w:t>LK</w:t>
      </w:r>
      <w:r>
        <w:rPr>
          <w:spacing w:val="-1"/>
          <w:sz w:val="23"/>
        </w:rPr>
        <w:t> </w:t>
      </w:r>
      <w:r>
        <w:rPr>
          <w:sz w:val="23"/>
        </w:rPr>
        <w:t>and</w:t>
      </w:r>
      <w:r>
        <w:rPr>
          <w:spacing w:val="-3"/>
          <w:sz w:val="23"/>
        </w:rPr>
        <w:t> </w:t>
      </w:r>
      <w:r>
        <w:rPr>
          <w:sz w:val="23"/>
        </w:rPr>
        <w:t>UK</w:t>
      </w:r>
      <w:r>
        <w:rPr>
          <w:spacing w:val="-2"/>
          <w:sz w:val="23"/>
        </w:rPr>
        <w:t> </w:t>
      </w:r>
      <w:r>
        <w:rPr>
          <w:sz w:val="23"/>
        </w:rPr>
        <w:t>would</w:t>
      </w:r>
      <w:r>
        <w:rPr>
          <w:spacing w:val="-3"/>
          <w:sz w:val="23"/>
        </w:rPr>
        <w:t> </w:t>
      </w:r>
      <w:r>
        <w:rPr>
          <w:sz w:val="23"/>
        </w:rPr>
        <w:t>shift</w:t>
      </w:r>
      <w:r>
        <w:rPr>
          <w:spacing w:val="-2"/>
          <w:sz w:val="23"/>
        </w:rPr>
        <w:t> </w:t>
      </w:r>
      <w:r>
        <w:rPr>
          <w:sz w:val="23"/>
        </w:rPr>
        <w:t>upwards</w:t>
      </w:r>
      <w:r>
        <w:rPr>
          <w:spacing w:val="1"/>
          <w:sz w:val="23"/>
        </w:rPr>
        <w:t> </w:t>
      </w:r>
      <w:r>
        <w:rPr>
          <w:sz w:val="23"/>
        </w:rPr>
        <w:t>to</w:t>
      </w:r>
      <w:r>
        <w:rPr>
          <w:spacing w:val="-2"/>
          <w:sz w:val="23"/>
        </w:rPr>
        <w:t> </w:t>
      </w:r>
      <w:r>
        <w:rPr>
          <w:sz w:val="23"/>
        </w:rPr>
        <w:t>shallower</w:t>
      </w:r>
      <w:r>
        <w:rPr>
          <w:spacing w:val="-3"/>
          <w:sz w:val="23"/>
        </w:rPr>
        <w:t> </w:t>
      </w:r>
      <w:r>
        <w:rPr>
          <w:sz w:val="23"/>
        </w:rPr>
        <w:t>depths</w:t>
      </w:r>
      <w:r>
        <w:rPr>
          <w:spacing w:val="1"/>
          <w:sz w:val="23"/>
        </w:rPr>
        <w:t> </w:t>
      </w:r>
      <w:r>
        <w:rPr>
          <w:sz w:val="23"/>
        </w:rPr>
        <w:t>and</w:t>
      </w:r>
      <w:r>
        <w:rPr>
          <w:spacing w:val="-2"/>
          <w:sz w:val="23"/>
        </w:rPr>
        <w:t> </w:t>
      </w:r>
      <w:r>
        <w:rPr>
          <w:sz w:val="23"/>
        </w:rPr>
        <w:t>would</w:t>
      </w:r>
    </w:p>
    <w:p>
      <w:pPr>
        <w:spacing w:after="0" w:line="480" w:lineRule="auto"/>
        <w:jc w:val="left"/>
        <w:rPr>
          <w:sz w:val="23"/>
        </w:rPr>
        <w:sectPr>
          <w:pgSz w:w="12240" w:h="15840"/>
          <w:pgMar w:header="0" w:footer="1014" w:top="1400" w:bottom="1200" w:left="1320" w:right="820"/>
        </w:sectPr>
      </w:pPr>
    </w:p>
    <w:p>
      <w:pPr>
        <w:spacing w:line="480" w:lineRule="auto" w:before="39"/>
        <w:ind w:left="120" w:right="902" w:firstLine="0"/>
        <w:jc w:val="left"/>
        <w:rPr>
          <w:sz w:val="23"/>
        </w:rPr>
      </w:pPr>
      <w:r>
        <w:rPr>
          <w:sz w:val="23"/>
        </w:rPr>
        <w:t>also</w:t>
      </w:r>
      <w:r>
        <w:rPr>
          <w:spacing w:val="-3"/>
          <w:sz w:val="23"/>
        </w:rPr>
        <w:t> </w:t>
      </w:r>
      <w:r>
        <w:rPr>
          <w:sz w:val="23"/>
        </w:rPr>
        <w:t>mean</w:t>
      </w:r>
      <w:r>
        <w:rPr>
          <w:spacing w:val="-2"/>
          <w:sz w:val="23"/>
        </w:rPr>
        <w:t> </w:t>
      </w:r>
      <w:r>
        <w:rPr>
          <w:sz w:val="23"/>
        </w:rPr>
        <w:t>the</w:t>
      </w:r>
      <w:r>
        <w:rPr>
          <w:spacing w:val="-1"/>
          <w:sz w:val="23"/>
        </w:rPr>
        <w:t> </w:t>
      </w:r>
      <w:r>
        <w:rPr>
          <w:sz w:val="23"/>
        </w:rPr>
        <w:t>LK</w:t>
      </w:r>
      <w:r>
        <w:rPr>
          <w:spacing w:val="-3"/>
          <w:sz w:val="23"/>
        </w:rPr>
        <w:t> </w:t>
      </w:r>
      <w:r>
        <w:rPr>
          <w:sz w:val="23"/>
        </w:rPr>
        <w:t>does</w:t>
      </w:r>
      <w:r>
        <w:rPr>
          <w:spacing w:val="-1"/>
          <w:sz w:val="23"/>
        </w:rPr>
        <w:t> </w:t>
      </w:r>
      <w:r>
        <w:rPr>
          <w:sz w:val="23"/>
        </w:rPr>
        <w:t>not have</w:t>
      </w:r>
      <w:r>
        <w:rPr>
          <w:spacing w:val="-1"/>
          <w:sz w:val="23"/>
        </w:rPr>
        <w:t> </w:t>
      </w:r>
      <w:r>
        <w:rPr>
          <w:sz w:val="23"/>
        </w:rPr>
        <w:t>a strong</w:t>
      </w:r>
      <w:r>
        <w:rPr>
          <w:spacing w:val="-1"/>
          <w:sz w:val="23"/>
        </w:rPr>
        <w:t> </w:t>
      </w:r>
      <w:r>
        <w:rPr>
          <w:sz w:val="23"/>
        </w:rPr>
        <w:t>positive excursion</w:t>
      </w:r>
      <w:r>
        <w:rPr>
          <w:spacing w:val="-3"/>
          <w:sz w:val="23"/>
        </w:rPr>
        <w:t> </w:t>
      </w:r>
      <w:r>
        <w:rPr>
          <w:sz w:val="23"/>
        </w:rPr>
        <w:t>associated with</w:t>
      </w:r>
      <w:r>
        <w:rPr>
          <w:spacing w:val="-3"/>
          <w:sz w:val="23"/>
        </w:rPr>
        <w:t> </w:t>
      </w:r>
      <w:r>
        <w:rPr>
          <w:sz w:val="23"/>
        </w:rPr>
        <w:t>it</w:t>
      </w:r>
      <w:r>
        <w:rPr>
          <w:spacing w:val="-3"/>
          <w:sz w:val="23"/>
        </w:rPr>
        <w:t> </w:t>
      </w:r>
      <w:r>
        <w:rPr>
          <w:sz w:val="23"/>
        </w:rPr>
        <w:t>in</w:t>
      </w:r>
      <w:r>
        <w:rPr>
          <w:spacing w:val="-3"/>
          <w:sz w:val="23"/>
        </w:rPr>
        <w:t> </w:t>
      </w:r>
      <w:r>
        <w:rPr>
          <w:sz w:val="23"/>
        </w:rPr>
        <w:t>this</w:t>
      </w:r>
      <w:r>
        <w:rPr>
          <w:spacing w:val="2"/>
          <w:sz w:val="23"/>
        </w:rPr>
        <w:t> </w:t>
      </w:r>
      <w:r>
        <w:rPr>
          <w:sz w:val="23"/>
        </w:rPr>
        <w:t>core.</w:t>
      </w:r>
      <w:r>
        <w:rPr>
          <w:spacing w:val="-1"/>
          <w:sz w:val="23"/>
        </w:rPr>
        <w:t> </w:t>
      </w:r>
      <w:r>
        <w:rPr>
          <w:sz w:val="23"/>
        </w:rPr>
        <w:t>It</w:t>
      </w:r>
      <w:r>
        <w:rPr>
          <w:spacing w:val="-3"/>
          <w:sz w:val="23"/>
        </w:rPr>
        <w:t> </w:t>
      </w:r>
      <w:r>
        <w:rPr>
          <w:sz w:val="23"/>
        </w:rPr>
        <w:t>could</w:t>
      </w:r>
      <w:r>
        <w:rPr>
          <w:spacing w:val="-49"/>
          <w:sz w:val="23"/>
        </w:rPr>
        <w:t> </w:t>
      </w:r>
      <w:r>
        <w:rPr>
          <w:sz w:val="23"/>
        </w:rPr>
        <w:t>also</w:t>
      </w:r>
      <w:r>
        <w:rPr>
          <w:spacing w:val="-2"/>
          <w:sz w:val="23"/>
        </w:rPr>
        <w:t> </w:t>
      </w:r>
      <w:r>
        <w:rPr>
          <w:sz w:val="23"/>
        </w:rPr>
        <w:t>be</w:t>
      </w:r>
      <w:r>
        <w:rPr>
          <w:spacing w:val="-3"/>
          <w:sz w:val="23"/>
        </w:rPr>
        <w:t> </w:t>
      </w:r>
      <w:r>
        <w:rPr>
          <w:sz w:val="23"/>
        </w:rPr>
        <w:t>that</w:t>
      </w:r>
      <w:r>
        <w:rPr>
          <w:spacing w:val="-2"/>
          <w:sz w:val="23"/>
        </w:rPr>
        <w:t> </w:t>
      </w:r>
      <w:r>
        <w:rPr>
          <w:sz w:val="23"/>
        </w:rPr>
        <w:t>the</w:t>
      </w:r>
      <w:r>
        <w:rPr>
          <w:spacing w:val="1"/>
          <w:sz w:val="23"/>
        </w:rPr>
        <w:t> </w:t>
      </w:r>
      <w:r>
        <w:rPr>
          <w:sz w:val="23"/>
        </w:rPr>
        <w:t>local</w:t>
      </w:r>
      <w:r>
        <w:rPr>
          <w:spacing w:val="-3"/>
          <w:sz w:val="23"/>
        </w:rPr>
        <w:t> </w:t>
      </w:r>
      <w:r>
        <w:rPr>
          <w:sz w:val="23"/>
        </w:rPr>
        <w:t>carbon</w:t>
      </w:r>
      <w:r>
        <w:rPr>
          <w:spacing w:val="-4"/>
          <w:sz w:val="23"/>
        </w:rPr>
        <w:t> </w:t>
      </w:r>
      <w:r>
        <w:rPr>
          <w:sz w:val="23"/>
        </w:rPr>
        <w:t>isotope</w:t>
      </w:r>
      <w:r>
        <w:rPr>
          <w:spacing w:val="2"/>
          <w:sz w:val="23"/>
        </w:rPr>
        <w:t> </w:t>
      </w:r>
      <w:r>
        <w:rPr>
          <w:sz w:val="23"/>
        </w:rPr>
        <w:t>excursion</w:t>
      </w:r>
      <w:r>
        <w:rPr>
          <w:spacing w:val="-1"/>
          <w:sz w:val="23"/>
        </w:rPr>
        <w:t> </w:t>
      </w:r>
      <w:r>
        <w:rPr>
          <w:sz w:val="23"/>
        </w:rPr>
        <w:t>is different</w:t>
      </w:r>
      <w:r>
        <w:rPr>
          <w:spacing w:val="-1"/>
          <w:sz w:val="23"/>
        </w:rPr>
        <w:t> </w:t>
      </w:r>
      <w:r>
        <w:rPr>
          <w:sz w:val="23"/>
        </w:rPr>
        <w:t>from the</w:t>
      </w:r>
      <w:r>
        <w:rPr>
          <w:spacing w:val="-1"/>
          <w:sz w:val="23"/>
        </w:rPr>
        <w:t> </w:t>
      </w:r>
      <w:r>
        <w:rPr>
          <w:sz w:val="23"/>
        </w:rPr>
        <w:t>global</w:t>
      </w:r>
      <w:r>
        <w:rPr>
          <w:spacing w:val="-1"/>
          <w:sz w:val="23"/>
        </w:rPr>
        <w:t> </w:t>
      </w:r>
      <w:r>
        <w:rPr>
          <w:sz w:val="23"/>
        </w:rPr>
        <w:t>average</w:t>
      </w:r>
      <w:r>
        <w:rPr>
          <w:spacing w:val="-4"/>
          <w:sz w:val="23"/>
        </w:rPr>
        <w:t> </w:t>
      </w:r>
      <w:r>
        <w:rPr>
          <w:sz w:val="23"/>
        </w:rPr>
        <w:t>excursions.</w:t>
      </w:r>
    </w:p>
    <w:p>
      <w:pPr>
        <w:spacing w:line="480" w:lineRule="auto" w:before="0"/>
        <w:ind w:left="120" w:right="1492" w:firstLine="0"/>
        <w:jc w:val="left"/>
        <w:rPr>
          <w:sz w:val="23"/>
        </w:rPr>
      </w:pPr>
      <w:r>
        <w:rPr>
          <w:sz w:val="23"/>
        </w:rPr>
        <w:t>Overall,</w:t>
      </w:r>
      <w:r>
        <w:rPr>
          <w:spacing w:val="-4"/>
          <w:sz w:val="23"/>
        </w:rPr>
        <w:t> </w:t>
      </w:r>
      <w:r>
        <w:rPr>
          <w:sz w:val="23"/>
        </w:rPr>
        <w:t>there</w:t>
      </w:r>
      <w:r>
        <w:rPr>
          <w:spacing w:val="-3"/>
          <w:sz w:val="23"/>
        </w:rPr>
        <w:t> </w:t>
      </w:r>
      <w:r>
        <w:rPr>
          <w:sz w:val="23"/>
        </w:rPr>
        <w:t>does</w:t>
      </w:r>
      <w:r>
        <w:rPr>
          <w:spacing w:val="-1"/>
          <w:sz w:val="23"/>
        </w:rPr>
        <w:t> </w:t>
      </w:r>
      <w:r>
        <w:rPr>
          <w:sz w:val="23"/>
        </w:rPr>
        <w:t>not</w:t>
      </w:r>
      <w:r>
        <w:rPr>
          <w:spacing w:val="-3"/>
          <w:sz w:val="23"/>
        </w:rPr>
        <w:t> </w:t>
      </w:r>
      <w:r>
        <w:rPr>
          <w:sz w:val="23"/>
        </w:rPr>
        <w:t>seem to</w:t>
      </w:r>
      <w:r>
        <w:rPr>
          <w:spacing w:val="-3"/>
          <w:sz w:val="23"/>
        </w:rPr>
        <w:t> </w:t>
      </w:r>
      <w:r>
        <w:rPr>
          <w:sz w:val="23"/>
        </w:rPr>
        <w:t>be</w:t>
      </w:r>
      <w:r>
        <w:rPr>
          <w:spacing w:val="2"/>
          <w:sz w:val="23"/>
        </w:rPr>
        <w:t> </w:t>
      </w:r>
      <w:r>
        <w:rPr>
          <w:sz w:val="23"/>
        </w:rPr>
        <w:t>enough</w:t>
      </w:r>
      <w:r>
        <w:rPr>
          <w:spacing w:val="-3"/>
          <w:sz w:val="23"/>
        </w:rPr>
        <w:t> </w:t>
      </w:r>
      <w:r>
        <w:rPr>
          <w:sz w:val="23"/>
        </w:rPr>
        <w:t>evidence</w:t>
      </w:r>
      <w:r>
        <w:rPr>
          <w:spacing w:val="-3"/>
          <w:sz w:val="23"/>
        </w:rPr>
        <w:t> </w:t>
      </w:r>
      <w:r>
        <w:rPr>
          <w:sz w:val="23"/>
        </w:rPr>
        <w:t>to</w:t>
      </w:r>
      <w:r>
        <w:rPr>
          <w:spacing w:val="1"/>
          <w:sz w:val="23"/>
        </w:rPr>
        <w:t> </w:t>
      </w:r>
      <w:r>
        <w:rPr>
          <w:sz w:val="23"/>
        </w:rPr>
        <w:t>definitively</w:t>
      </w:r>
      <w:r>
        <w:rPr>
          <w:spacing w:val="-1"/>
          <w:sz w:val="23"/>
        </w:rPr>
        <w:t> </w:t>
      </w:r>
      <w:r>
        <w:rPr>
          <w:sz w:val="23"/>
        </w:rPr>
        <w:t>shift</w:t>
      </w:r>
      <w:r>
        <w:rPr>
          <w:spacing w:val="-3"/>
          <w:sz w:val="23"/>
        </w:rPr>
        <w:t> </w:t>
      </w:r>
      <w:r>
        <w:rPr>
          <w:sz w:val="23"/>
        </w:rPr>
        <w:t>the</w:t>
      </w:r>
      <w:r>
        <w:rPr>
          <w:spacing w:val="-1"/>
          <w:sz w:val="23"/>
        </w:rPr>
        <w:t> </w:t>
      </w:r>
      <w:r>
        <w:rPr>
          <w:sz w:val="23"/>
        </w:rPr>
        <w:t>events</w:t>
      </w:r>
      <w:r>
        <w:rPr>
          <w:spacing w:val="1"/>
          <w:sz w:val="23"/>
        </w:rPr>
        <w:t> </w:t>
      </w:r>
      <w:r>
        <w:rPr>
          <w:sz w:val="23"/>
        </w:rPr>
        <w:t>and</w:t>
      </w:r>
      <w:r>
        <w:rPr>
          <w:spacing w:val="-1"/>
          <w:sz w:val="23"/>
        </w:rPr>
        <w:t> </w:t>
      </w:r>
      <w:r>
        <w:rPr>
          <w:sz w:val="23"/>
        </w:rPr>
        <w:t>F/F</w:t>
      </w:r>
      <w:r>
        <w:rPr>
          <w:spacing w:val="-49"/>
          <w:sz w:val="23"/>
        </w:rPr>
        <w:t> </w:t>
      </w:r>
      <w:r>
        <w:rPr>
          <w:sz w:val="23"/>
        </w:rPr>
        <w:t>boundary</w:t>
      </w:r>
      <w:r>
        <w:rPr>
          <w:spacing w:val="-3"/>
          <w:sz w:val="23"/>
        </w:rPr>
        <w:t> </w:t>
      </w:r>
      <w:r>
        <w:rPr>
          <w:sz w:val="23"/>
        </w:rPr>
        <w:t>without</w:t>
      </w:r>
      <w:r>
        <w:rPr>
          <w:spacing w:val="-2"/>
          <w:sz w:val="23"/>
        </w:rPr>
        <w:t> </w:t>
      </w:r>
      <w:r>
        <w:rPr>
          <w:sz w:val="23"/>
        </w:rPr>
        <w:t>more isotope data</w:t>
      </w:r>
      <w:r>
        <w:rPr>
          <w:spacing w:val="-1"/>
          <w:sz w:val="23"/>
        </w:rPr>
        <w:t> </w:t>
      </w:r>
      <w:r>
        <w:rPr>
          <w:sz w:val="23"/>
        </w:rPr>
        <w:t>being collected.</w:t>
      </w:r>
    </w:p>
    <w:p>
      <w:pPr>
        <w:spacing w:line="480" w:lineRule="auto" w:before="161"/>
        <w:ind w:left="120" w:right="660" w:firstLine="675"/>
        <w:jc w:val="left"/>
        <w:rPr>
          <w:sz w:val="23"/>
        </w:rPr>
      </w:pPr>
      <w:r>
        <w:rPr>
          <w:sz w:val="23"/>
        </w:rPr>
        <w:t>Overall,</w:t>
      </w:r>
      <w:r>
        <w:rPr>
          <w:spacing w:val="-2"/>
          <w:sz w:val="23"/>
        </w:rPr>
        <w:t> </w:t>
      </w:r>
      <w:r>
        <w:rPr>
          <w:sz w:val="23"/>
        </w:rPr>
        <w:t>the</w:t>
      </w:r>
      <w:r>
        <w:rPr>
          <w:spacing w:val="-2"/>
          <w:sz w:val="23"/>
        </w:rPr>
        <w:t> </w:t>
      </w:r>
      <w:r>
        <w:rPr>
          <w:sz w:val="23"/>
        </w:rPr>
        <w:t>F/F</w:t>
      </w:r>
      <w:r>
        <w:rPr>
          <w:spacing w:val="-2"/>
          <w:sz w:val="23"/>
        </w:rPr>
        <w:t> </w:t>
      </w:r>
      <w:r>
        <w:rPr>
          <w:sz w:val="23"/>
        </w:rPr>
        <w:t>boundary</w:t>
      </w:r>
      <w:r>
        <w:rPr>
          <w:spacing w:val="-3"/>
          <w:sz w:val="23"/>
        </w:rPr>
        <w:t> </w:t>
      </w:r>
      <w:r>
        <w:rPr>
          <w:sz w:val="23"/>
        </w:rPr>
        <w:t>is difficult</w:t>
      </w:r>
      <w:r>
        <w:rPr>
          <w:spacing w:val="-2"/>
          <w:sz w:val="23"/>
        </w:rPr>
        <w:t> </w:t>
      </w:r>
      <w:r>
        <w:rPr>
          <w:sz w:val="23"/>
        </w:rPr>
        <w:t>to</w:t>
      </w:r>
      <w:r>
        <w:rPr>
          <w:spacing w:val="1"/>
          <w:sz w:val="23"/>
        </w:rPr>
        <w:t> </w:t>
      </w:r>
      <w:r>
        <w:rPr>
          <w:sz w:val="23"/>
        </w:rPr>
        <w:t>define and</w:t>
      </w:r>
      <w:r>
        <w:rPr>
          <w:spacing w:val="-4"/>
          <w:sz w:val="23"/>
        </w:rPr>
        <w:t> </w:t>
      </w:r>
      <w:r>
        <w:rPr>
          <w:sz w:val="23"/>
        </w:rPr>
        <w:t>can</w:t>
      </w:r>
      <w:r>
        <w:rPr>
          <w:spacing w:val="-2"/>
          <w:sz w:val="23"/>
        </w:rPr>
        <w:t> </w:t>
      </w:r>
      <w:r>
        <w:rPr>
          <w:sz w:val="23"/>
        </w:rPr>
        <w:t>change</w:t>
      </w:r>
      <w:r>
        <w:rPr>
          <w:spacing w:val="-1"/>
          <w:sz w:val="23"/>
        </w:rPr>
        <w:t> </w:t>
      </w:r>
      <w:r>
        <w:rPr>
          <w:sz w:val="23"/>
        </w:rPr>
        <w:t>based</w:t>
      </w:r>
      <w:r>
        <w:rPr>
          <w:spacing w:val="-4"/>
          <w:sz w:val="23"/>
        </w:rPr>
        <w:t> </w:t>
      </w:r>
      <w:r>
        <w:rPr>
          <w:sz w:val="23"/>
        </w:rPr>
        <w:t>on</w:t>
      </w:r>
      <w:r>
        <w:rPr>
          <w:spacing w:val="-4"/>
          <w:sz w:val="23"/>
        </w:rPr>
        <w:t> </w:t>
      </w:r>
      <w:r>
        <w:rPr>
          <w:sz w:val="23"/>
        </w:rPr>
        <w:t>the</w:t>
      </w:r>
      <w:r>
        <w:rPr>
          <w:spacing w:val="1"/>
          <w:sz w:val="23"/>
        </w:rPr>
        <w:t> </w:t>
      </w:r>
      <w:r>
        <w:rPr>
          <w:sz w:val="23"/>
        </w:rPr>
        <w:t>metrics</w:t>
      </w:r>
      <w:r>
        <w:rPr>
          <w:spacing w:val="-2"/>
          <w:sz w:val="23"/>
        </w:rPr>
        <w:t> </w:t>
      </w:r>
      <w:r>
        <w:rPr>
          <w:sz w:val="23"/>
        </w:rPr>
        <w:t>used</w:t>
      </w:r>
      <w:r>
        <w:rPr>
          <w:spacing w:val="-4"/>
          <w:sz w:val="23"/>
        </w:rPr>
        <w:t> </w:t>
      </w:r>
      <w:r>
        <w:rPr>
          <w:sz w:val="23"/>
        </w:rPr>
        <w:t>to</w:t>
      </w:r>
      <w:r>
        <w:rPr>
          <w:spacing w:val="-49"/>
          <w:sz w:val="23"/>
        </w:rPr>
        <w:t> </w:t>
      </w:r>
      <w:r>
        <w:rPr>
          <w:sz w:val="23"/>
        </w:rPr>
        <w:t>locate it. However, the most likely location for the F/F boundary in the Wyche-1 Woodford Shale</w:t>
      </w:r>
      <w:r>
        <w:rPr>
          <w:spacing w:val="1"/>
          <w:sz w:val="23"/>
        </w:rPr>
        <w:t> </w:t>
      </w:r>
      <w:r>
        <w:rPr>
          <w:sz w:val="23"/>
        </w:rPr>
        <w:t>core is probably around 130 ft. This conclusion is reached based on a couple of avenues of</w:t>
      </w:r>
      <w:r>
        <w:rPr>
          <w:spacing w:val="1"/>
          <w:sz w:val="23"/>
        </w:rPr>
        <w:t> </w:t>
      </w:r>
      <w:r>
        <w:rPr>
          <w:sz w:val="23"/>
        </w:rPr>
        <w:t>reasoning. Firstly, the isotope ratios, based on previous work, the F/F boundary is placed around</w:t>
      </w:r>
      <w:r>
        <w:rPr>
          <w:spacing w:val="1"/>
          <w:sz w:val="23"/>
        </w:rPr>
        <w:t> </w:t>
      </w:r>
      <w:r>
        <w:rPr>
          <w:sz w:val="23"/>
        </w:rPr>
        <w:t>130 ft in the core. Although our data seems to disagree with this assessment, only a few depths</w:t>
      </w:r>
      <w:r>
        <w:rPr>
          <w:spacing w:val="1"/>
          <w:sz w:val="23"/>
        </w:rPr>
        <w:t> </w:t>
      </w:r>
      <w:r>
        <w:rPr>
          <w:sz w:val="23"/>
        </w:rPr>
        <w:t>were run, and since the analysis setups were different in different labs, there could be some</w:t>
      </w:r>
      <w:r>
        <w:rPr>
          <w:spacing w:val="1"/>
          <w:sz w:val="23"/>
        </w:rPr>
        <w:t> </w:t>
      </w:r>
      <w:r>
        <w:rPr>
          <w:sz w:val="23"/>
        </w:rPr>
        <w:t>disagreement with the results, which is why the discrepancies are seen. Without fully running our</w:t>
      </w:r>
      <w:r>
        <w:rPr>
          <w:spacing w:val="1"/>
          <w:sz w:val="23"/>
        </w:rPr>
        <w:t> </w:t>
      </w:r>
      <w:r>
        <w:rPr>
          <w:sz w:val="23"/>
        </w:rPr>
        <w:t>samples, a definitive location based on isotopes from our samples cannot be made. Secondly, the</w:t>
      </w:r>
      <w:r>
        <w:rPr>
          <w:spacing w:val="1"/>
          <w:sz w:val="23"/>
        </w:rPr>
        <w:t> </w:t>
      </w:r>
      <w:r>
        <w:rPr>
          <w:sz w:val="23"/>
        </w:rPr>
        <w:t>use of biomarkers indicating drops in overall concentrations at around 130 ft. In both porphyrins</w:t>
      </w:r>
      <w:r>
        <w:rPr>
          <w:spacing w:val="1"/>
          <w:sz w:val="23"/>
        </w:rPr>
        <w:t> </w:t>
      </w:r>
      <w:r>
        <w:rPr>
          <w:sz w:val="23"/>
        </w:rPr>
        <w:t>and carotenoids, the concentrations drop to almost zero at 130 ft. Since the F/F boundary is an</w:t>
      </w:r>
      <w:r>
        <w:rPr>
          <w:spacing w:val="1"/>
          <w:sz w:val="23"/>
        </w:rPr>
        <w:t> </w:t>
      </w:r>
      <w:r>
        <w:rPr>
          <w:sz w:val="23"/>
        </w:rPr>
        <w:t>extinction event, it follows that primary productivity indicators and GSB drop off at the extinction</w:t>
      </w:r>
      <w:r>
        <w:rPr>
          <w:spacing w:val="1"/>
          <w:sz w:val="23"/>
        </w:rPr>
        <w:t> </w:t>
      </w:r>
      <w:r>
        <w:rPr>
          <w:sz w:val="23"/>
        </w:rPr>
        <w:t>boundary. Although this also cannot definitively state where the F/F boundary is located, it could</w:t>
      </w:r>
      <w:r>
        <w:rPr>
          <w:spacing w:val="1"/>
          <w:sz w:val="23"/>
        </w:rPr>
        <w:t> </w:t>
      </w:r>
      <w:r>
        <w:rPr>
          <w:sz w:val="23"/>
        </w:rPr>
        <w:t>indicate the change from a TST to a HST, resulting in the absence of these biomarkers. The</w:t>
      </w:r>
      <w:r>
        <w:rPr>
          <w:spacing w:val="1"/>
          <w:sz w:val="23"/>
        </w:rPr>
        <w:t> </w:t>
      </w:r>
      <w:r>
        <w:rPr>
          <w:sz w:val="23"/>
        </w:rPr>
        <w:t>placement of the F/F boundary at 130 ft remains speculative until more works can be done and</w:t>
      </w:r>
      <w:r>
        <w:rPr>
          <w:spacing w:val="1"/>
          <w:sz w:val="23"/>
        </w:rPr>
        <w:t> </w:t>
      </w:r>
      <w:r>
        <w:rPr>
          <w:sz w:val="23"/>
        </w:rPr>
        <w:t>more</w:t>
      </w:r>
      <w:r>
        <w:rPr>
          <w:spacing w:val="-1"/>
          <w:sz w:val="23"/>
        </w:rPr>
        <w:t> </w:t>
      </w:r>
      <w:r>
        <w:rPr>
          <w:sz w:val="23"/>
        </w:rPr>
        <w:t>data</w:t>
      </w:r>
      <w:r>
        <w:rPr>
          <w:spacing w:val="-2"/>
          <w:sz w:val="23"/>
        </w:rPr>
        <w:t> </w:t>
      </w:r>
      <w:r>
        <w:rPr>
          <w:sz w:val="23"/>
        </w:rPr>
        <w:t>collected to</w:t>
      </w:r>
      <w:r>
        <w:rPr>
          <w:spacing w:val="-2"/>
          <w:sz w:val="23"/>
        </w:rPr>
        <w:t> </w:t>
      </w:r>
      <w:r>
        <w:rPr>
          <w:sz w:val="23"/>
        </w:rPr>
        <w:t>give</w:t>
      </w:r>
      <w:r>
        <w:rPr>
          <w:spacing w:val="2"/>
          <w:sz w:val="23"/>
        </w:rPr>
        <w:t> </w:t>
      </w:r>
      <w:r>
        <w:rPr>
          <w:sz w:val="23"/>
        </w:rPr>
        <w:t>a</w:t>
      </w:r>
      <w:r>
        <w:rPr>
          <w:spacing w:val="-2"/>
          <w:sz w:val="23"/>
        </w:rPr>
        <w:t> </w:t>
      </w:r>
      <w:r>
        <w:rPr>
          <w:sz w:val="23"/>
        </w:rPr>
        <w:t>more definitive depth</w:t>
      </w:r>
      <w:r>
        <w:rPr>
          <w:spacing w:val="-2"/>
          <w:sz w:val="23"/>
        </w:rPr>
        <w:t> </w:t>
      </w:r>
      <w:r>
        <w:rPr>
          <w:sz w:val="23"/>
        </w:rPr>
        <w:t>location.</w:t>
      </w:r>
    </w:p>
    <w:p>
      <w:pPr>
        <w:spacing w:after="0" w:line="480" w:lineRule="auto"/>
        <w:jc w:val="left"/>
        <w:rPr>
          <w:sz w:val="23"/>
        </w:rPr>
        <w:sectPr>
          <w:pgSz w:w="12240" w:h="15840"/>
          <w:pgMar w:header="0" w:footer="1014" w:top="1400" w:bottom="1200" w:left="1320" w:right="820"/>
        </w:sectPr>
      </w:pPr>
    </w:p>
    <w:p>
      <w:pPr>
        <w:pStyle w:val="ListParagraph"/>
        <w:numPr>
          <w:ilvl w:val="1"/>
          <w:numId w:val="6"/>
        </w:numPr>
        <w:tabs>
          <w:tab w:pos="464" w:val="left" w:leader="none"/>
        </w:tabs>
        <w:spacing w:line="240" w:lineRule="auto" w:before="39" w:after="0"/>
        <w:ind w:left="463" w:right="0" w:hanging="344"/>
        <w:jc w:val="left"/>
        <w:rPr>
          <w:i/>
          <w:sz w:val="23"/>
        </w:rPr>
      </w:pPr>
      <w:r>
        <w:rPr>
          <w:i/>
          <w:sz w:val="23"/>
        </w:rPr>
        <w:t>Changes</w:t>
      </w:r>
      <w:r>
        <w:rPr>
          <w:i/>
          <w:spacing w:val="-2"/>
          <w:sz w:val="23"/>
        </w:rPr>
        <w:t> </w:t>
      </w:r>
      <w:r>
        <w:rPr>
          <w:i/>
          <w:sz w:val="23"/>
        </w:rPr>
        <w:t>of</w:t>
      </w:r>
      <w:r>
        <w:rPr>
          <w:i/>
          <w:spacing w:val="-4"/>
          <w:sz w:val="23"/>
        </w:rPr>
        <w:t> </w:t>
      </w:r>
      <w:r>
        <w:rPr>
          <w:i/>
          <w:sz w:val="23"/>
        </w:rPr>
        <w:t>Deposition</w:t>
      </w:r>
      <w:r>
        <w:rPr>
          <w:i/>
          <w:spacing w:val="1"/>
          <w:sz w:val="23"/>
        </w:rPr>
        <w:t> </w:t>
      </w:r>
      <w:r>
        <w:rPr>
          <w:i/>
          <w:sz w:val="23"/>
        </w:rPr>
        <w:t>Environment</w:t>
      </w:r>
      <w:r>
        <w:rPr>
          <w:i/>
          <w:spacing w:val="-1"/>
          <w:sz w:val="23"/>
        </w:rPr>
        <w:t> </w:t>
      </w:r>
      <w:r>
        <w:rPr>
          <w:i/>
          <w:sz w:val="23"/>
        </w:rPr>
        <w:t>during</w:t>
      </w:r>
      <w:r>
        <w:rPr>
          <w:i/>
          <w:spacing w:val="-3"/>
          <w:sz w:val="23"/>
        </w:rPr>
        <w:t> </w:t>
      </w:r>
      <w:r>
        <w:rPr>
          <w:i/>
          <w:sz w:val="23"/>
        </w:rPr>
        <w:t>Woodford</w:t>
      </w:r>
    </w:p>
    <w:p>
      <w:pPr>
        <w:pStyle w:val="BodyText"/>
        <w:rPr>
          <w:i/>
          <w:sz w:val="22"/>
        </w:rPr>
      </w:pPr>
    </w:p>
    <w:p>
      <w:pPr>
        <w:spacing w:line="480" w:lineRule="auto" w:before="173"/>
        <w:ind w:left="120" w:right="665" w:firstLine="675"/>
        <w:jc w:val="left"/>
        <w:rPr>
          <w:sz w:val="23"/>
        </w:rPr>
      </w:pPr>
      <w:r>
        <w:rPr>
          <w:sz w:val="23"/>
        </w:rPr>
        <w:t>There have been two models proposed to explain the oceanic circulation, resulting in an</w:t>
      </w:r>
      <w:r>
        <w:rPr>
          <w:spacing w:val="1"/>
          <w:sz w:val="23"/>
        </w:rPr>
        <w:t> </w:t>
      </w:r>
      <w:r>
        <w:rPr>
          <w:sz w:val="23"/>
        </w:rPr>
        <w:t>anoxic stratified water column (Figure 33). The first is the upwelling model, where cold, deep,</w:t>
      </w:r>
      <w:r>
        <w:rPr>
          <w:spacing w:val="1"/>
          <w:sz w:val="23"/>
        </w:rPr>
        <w:t> </w:t>
      </w:r>
      <w:r>
        <w:rPr>
          <w:sz w:val="23"/>
        </w:rPr>
        <w:t>oxygen-poor, and phosphate-rich water is brought up from the deep ocean resulting in primary</w:t>
      </w:r>
      <w:r>
        <w:rPr>
          <w:spacing w:val="1"/>
          <w:sz w:val="23"/>
        </w:rPr>
        <w:t> </w:t>
      </w:r>
      <w:r>
        <w:rPr>
          <w:sz w:val="23"/>
        </w:rPr>
        <w:t>producer blooms and anoxia (Chan and Archer, 2003; Molinares-Blanco, 2013; Connock, 2015). This</w:t>
      </w:r>
      <w:r>
        <w:rPr>
          <w:spacing w:val="-49"/>
          <w:sz w:val="23"/>
        </w:rPr>
        <w:t> </w:t>
      </w:r>
      <w:r>
        <w:rPr>
          <w:sz w:val="23"/>
        </w:rPr>
        <w:t>model, however, does not fit the area or the data (Molinares-Blanco, 2013). The upwelling model</w:t>
      </w:r>
      <w:r>
        <w:rPr>
          <w:spacing w:val="1"/>
          <w:sz w:val="23"/>
        </w:rPr>
        <w:t> </w:t>
      </w:r>
      <w:r>
        <w:rPr>
          <w:sz w:val="23"/>
        </w:rPr>
        <w:t>would result in more phosphate being found in the sediment, but only the Upper Woodford Shale</w:t>
      </w:r>
      <w:r>
        <w:rPr>
          <w:spacing w:val="1"/>
          <w:sz w:val="23"/>
        </w:rPr>
        <w:t> </w:t>
      </w:r>
      <w:r>
        <w:rPr>
          <w:sz w:val="23"/>
        </w:rPr>
        <w:t>has high concentrations of phosphates. Upwelling would also have caused disturbance to the</w:t>
      </w:r>
      <w:r>
        <w:rPr>
          <w:spacing w:val="1"/>
          <w:sz w:val="23"/>
        </w:rPr>
        <w:t> </w:t>
      </w:r>
      <w:r>
        <w:rPr>
          <w:sz w:val="23"/>
        </w:rPr>
        <w:t>chemocline, which would prevent GSB from growing due to the increased mixing. Considering the</w:t>
      </w:r>
      <w:r>
        <w:rPr>
          <w:spacing w:val="1"/>
          <w:sz w:val="23"/>
        </w:rPr>
        <w:t> </w:t>
      </w:r>
      <w:r>
        <w:rPr>
          <w:sz w:val="23"/>
        </w:rPr>
        <w:t>high concentrations of isorenieratane(</w:t>
      </w:r>
      <w:r>
        <w:rPr>
          <w:b/>
          <w:sz w:val="23"/>
        </w:rPr>
        <w:t>I</w:t>
      </w:r>
      <w:r>
        <w:rPr>
          <w:sz w:val="23"/>
        </w:rPr>
        <w:t>) and paleorenieratane(</w:t>
      </w:r>
      <w:r>
        <w:rPr>
          <w:b/>
          <w:sz w:val="23"/>
        </w:rPr>
        <w:t>II</w:t>
      </w:r>
      <w:r>
        <w:rPr>
          <w:sz w:val="23"/>
        </w:rPr>
        <w:t>) found throughout the Woodford</w:t>
      </w:r>
      <w:r>
        <w:rPr>
          <w:spacing w:val="1"/>
          <w:sz w:val="23"/>
        </w:rPr>
        <w:t> </w:t>
      </w:r>
      <w:r>
        <w:rPr>
          <w:sz w:val="23"/>
        </w:rPr>
        <w:t>Shale,</w:t>
      </w:r>
      <w:r>
        <w:rPr>
          <w:spacing w:val="-3"/>
          <w:sz w:val="23"/>
        </w:rPr>
        <w:t> </w:t>
      </w:r>
      <w:r>
        <w:rPr>
          <w:sz w:val="23"/>
        </w:rPr>
        <w:t>this model</w:t>
      </w:r>
      <w:r>
        <w:rPr>
          <w:spacing w:val="-2"/>
          <w:sz w:val="23"/>
        </w:rPr>
        <w:t> </w:t>
      </w:r>
      <w:r>
        <w:rPr>
          <w:sz w:val="23"/>
        </w:rPr>
        <w:t>becomes</w:t>
      </w:r>
      <w:r>
        <w:rPr>
          <w:spacing w:val="-2"/>
          <w:sz w:val="23"/>
        </w:rPr>
        <w:t> </w:t>
      </w:r>
      <w:r>
        <w:rPr>
          <w:sz w:val="23"/>
        </w:rPr>
        <w:t>less</w:t>
      </w:r>
      <w:r>
        <w:rPr>
          <w:spacing w:val="-2"/>
          <w:sz w:val="23"/>
        </w:rPr>
        <w:t> </w:t>
      </w:r>
      <w:r>
        <w:rPr>
          <w:sz w:val="23"/>
        </w:rPr>
        <w:t>feasible.</w:t>
      </w:r>
      <w:r>
        <w:rPr>
          <w:spacing w:val="-2"/>
          <w:sz w:val="23"/>
        </w:rPr>
        <w:t> </w:t>
      </w:r>
      <w:r>
        <w:rPr>
          <w:sz w:val="23"/>
        </w:rPr>
        <w:t>Furthermore,</w:t>
      </w:r>
      <w:r>
        <w:rPr>
          <w:spacing w:val="-2"/>
          <w:sz w:val="23"/>
        </w:rPr>
        <w:t> </w:t>
      </w:r>
      <w:r>
        <w:rPr>
          <w:sz w:val="23"/>
        </w:rPr>
        <w:t>in</w:t>
      </w:r>
      <w:r>
        <w:rPr>
          <w:spacing w:val="-5"/>
          <w:sz w:val="23"/>
        </w:rPr>
        <w:t> </w:t>
      </w:r>
      <w:r>
        <w:rPr>
          <w:sz w:val="23"/>
        </w:rPr>
        <w:t>modern</w:t>
      </w:r>
      <w:r>
        <w:rPr>
          <w:spacing w:val="-4"/>
          <w:sz w:val="23"/>
        </w:rPr>
        <w:t> </w:t>
      </w:r>
      <w:r>
        <w:rPr>
          <w:sz w:val="23"/>
        </w:rPr>
        <w:t>sulfidic</w:t>
      </w:r>
      <w:r>
        <w:rPr>
          <w:spacing w:val="-1"/>
          <w:sz w:val="23"/>
        </w:rPr>
        <w:t> </w:t>
      </w:r>
      <w:r>
        <w:rPr>
          <w:sz w:val="23"/>
        </w:rPr>
        <w:t>upwelling</w:t>
      </w:r>
      <w:r>
        <w:rPr>
          <w:spacing w:val="-3"/>
          <w:sz w:val="23"/>
        </w:rPr>
        <w:t> </w:t>
      </w:r>
      <w:r>
        <w:rPr>
          <w:sz w:val="23"/>
        </w:rPr>
        <w:t>zones</w:t>
      </w:r>
      <w:r>
        <w:rPr>
          <w:spacing w:val="-2"/>
          <w:sz w:val="23"/>
        </w:rPr>
        <w:t> </w:t>
      </w:r>
      <w:r>
        <w:rPr>
          <w:sz w:val="23"/>
        </w:rPr>
        <w:t>analogous</w:t>
      </w:r>
      <w:r>
        <w:rPr>
          <w:spacing w:val="-49"/>
          <w:sz w:val="23"/>
        </w:rPr>
        <w:t> </w:t>
      </w:r>
      <w:r>
        <w:rPr>
          <w:sz w:val="23"/>
        </w:rPr>
        <w:t>to the ones proposed by the upwelling model, GSB are not found (French et al., 2014). Therefore,</w:t>
      </w:r>
      <w:r>
        <w:rPr>
          <w:spacing w:val="1"/>
          <w:sz w:val="23"/>
        </w:rPr>
        <w:t> </w:t>
      </w:r>
      <w:r>
        <w:rPr>
          <w:sz w:val="23"/>
        </w:rPr>
        <w:t>the upwelling model is not a likely candidate to explain the environment of deposition. The second</w:t>
      </w:r>
      <w:r>
        <w:rPr>
          <w:spacing w:val="1"/>
          <w:sz w:val="23"/>
        </w:rPr>
        <w:t> </w:t>
      </w:r>
      <w:r>
        <w:rPr>
          <w:sz w:val="23"/>
        </w:rPr>
        <w:t>proposed model is the stagnant circulation model, characterized by epeiric seas, high</w:t>
      </w:r>
      <w:r>
        <w:rPr>
          <w:spacing w:val="1"/>
          <w:sz w:val="23"/>
        </w:rPr>
        <w:t> </w:t>
      </w:r>
      <w:r>
        <w:rPr>
          <w:sz w:val="23"/>
        </w:rPr>
        <w:t>phytoplankton productivity from continental nutrient input, and shallow continental shelf</w:t>
      </w:r>
      <w:r>
        <w:rPr>
          <w:spacing w:val="1"/>
          <w:sz w:val="23"/>
        </w:rPr>
        <w:t> </w:t>
      </w:r>
      <w:r>
        <w:rPr>
          <w:sz w:val="23"/>
        </w:rPr>
        <w:t>environments</w:t>
      </w:r>
      <w:r>
        <w:rPr>
          <w:spacing w:val="-3"/>
          <w:sz w:val="23"/>
        </w:rPr>
        <w:t> </w:t>
      </w:r>
      <w:r>
        <w:rPr>
          <w:sz w:val="23"/>
        </w:rPr>
        <w:t>(Figure</w:t>
      </w:r>
      <w:r>
        <w:rPr>
          <w:spacing w:val="-2"/>
          <w:sz w:val="23"/>
        </w:rPr>
        <w:t> </w:t>
      </w:r>
      <w:r>
        <w:rPr>
          <w:sz w:val="23"/>
        </w:rPr>
        <w:t>33),</w:t>
      </w:r>
      <w:r>
        <w:rPr>
          <w:spacing w:val="-3"/>
          <w:sz w:val="23"/>
        </w:rPr>
        <w:t> </w:t>
      </w:r>
      <w:r>
        <w:rPr>
          <w:sz w:val="23"/>
        </w:rPr>
        <w:t>(Ozaki et</w:t>
      </w:r>
      <w:r>
        <w:rPr>
          <w:spacing w:val="-1"/>
          <w:sz w:val="23"/>
        </w:rPr>
        <w:t> </w:t>
      </w:r>
      <w:r>
        <w:rPr>
          <w:sz w:val="23"/>
        </w:rPr>
        <w:t>al.,</w:t>
      </w:r>
      <w:r>
        <w:rPr>
          <w:spacing w:val="-3"/>
          <w:sz w:val="23"/>
        </w:rPr>
        <w:t> </w:t>
      </w:r>
      <w:r>
        <w:rPr>
          <w:sz w:val="23"/>
        </w:rPr>
        <w:t>2011; Molinares-Blanco,</w:t>
      </w:r>
      <w:r>
        <w:rPr>
          <w:spacing w:val="-2"/>
          <w:sz w:val="23"/>
        </w:rPr>
        <w:t> </w:t>
      </w:r>
      <w:r>
        <w:rPr>
          <w:sz w:val="23"/>
        </w:rPr>
        <w:t>2013;</w:t>
      </w:r>
      <w:r>
        <w:rPr>
          <w:spacing w:val="-3"/>
          <w:sz w:val="23"/>
        </w:rPr>
        <w:t> </w:t>
      </w:r>
      <w:r>
        <w:rPr>
          <w:sz w:val="23"/>
        </w:rPr>
        <w:t>Connock,</w:t>
      </w:r>
      <w:r>
        <w:rPr>
          <w:spacing w:val="-2"/>
          <w:sz w:val="23"/>
        </w:rPr>
        <w:t> </w:t>
      </w:r>
      <w:r>
        <w:rPr>
          <w:sz w:val="23"/>
        </w:rPr>
        <w:t>2015).</w:t>
      </w:r>
    </w:p>
    <w:p>
      <w:pPr>
        <w:spacing w:after="0" w:line="480" w:lineRule="auto"/>
        <w:jc w:val="left"/>
        <w:rPr>
          <w:sz w:val="23"/>
        </w:rPr>
        <w:sectPr>
          <w:pgSz w:w="12240" w:h="15840"/>
          <w:pgMar w:header="0" w:footer="1014" w:top="1400" w:bottom="1200" w:left="1320" w:right="820"/>
        </w:sectPr>
      </w:pPr>
    </w:p>
    <w:p>
      <w:pPr>
        <w:pStyle w:val="BodyText"/>
        <w:ind w:left="115"/>
        <w:rPr>
          <w:sz w:val="20"/>
        </w:rPr>
      </w:pPr>
      <w:r>
        <w:rPr>
          <w:sz w:val="20"/>
        </w:rPr>
        <w:drawing>
          <wp:inline distT="0" distB="0" distL="0" distR="0">
            <wp:extent cx="5954994" cy="4349496"/>
            <wp:effectExtent l="0" t="0" r="0" b="0"/>
            <wp:docPr id="65" name="image3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" name="image33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4994" cy="4349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spacing w:line="240" w:lineRule="auto" w:before="186"/>
        <w:ind w:left="120" w:right="917" w:firstLine="0"/>
        <w:jc w:val="left"/>
        <w:rPr>
          <w:sz w:val="22"/>
        </w:rPr>
      </w:pPr>
      <w:r>
        <w:rPr>
          <w:sz w:val="22"/>
        </w:rPr>
        <w:t>Figure 33. A) Upwelling model proposed for triggering the Late Devonian anoxic black shales. B)</w:t>
      </w:r>
      <w:r>
        <w:rPr>
          <w:spacing w:val="1"/>
          <w:sz w:val="22"/>
        </w:rPr>
        <w:t> </w:t>
      </w:r>
      <w:r>
        <w:rPr>
          <w:sz w:val="22"/>
        </w:rPr>
        <w:t>Stagnant</w:t>
      </w:r>
      <w:r>
        <w:rPr>
          <w:spacing w:val="-2"/>
          <w:sz w:val="22"/>
        </w:rPr>
        <w:t> </w:t>
      </w:r>
      <w:r>
        <w:rPr>
          <w:sz w:val="22"/>
        </w:rPr>
        <w:t>circulation</w:t>
      </w:r>
      <w:r>
        <w:rPr>
          <w:spacing w:val="-3"/>
          <w:sz w:val="22"/>
        </w:rPr>
        <w:t> </w:t>
      </w:r>
      <w:r>
        <w:rPr>
          <w:sz w:val="22"/>
        </w:rPr>
        <w:t>model</w:t>
      </w:r>
      <w:r>
        <w:rPr>
          <w:spacing w:val="-5"/>
          <w:sz w:val="22"/>
        </w:rPr>
        <w:t> </w:t>
      </w:r>
      <w:r>
        <w:rPr>
          <w:sz w:val="22"/>
        </w:rPr>
        <w:t>proposed</w:t>
      </w:r>
      <w:r>
        <w:rPr>
          <w:spacing w:val="-3"/>
          <w:sz w:val="22"/>
        </w:rPr>
        <w:t> </w:t>
      </w:r>
      <w:r>
        <w:rPr>
          <w:sz w:val="22"/>
        </w:rPr>
        <w:t>for</w:t>
      </w:r>
      <w:r>
        <w:rPr>
          <w:spacing w:val="-6"/>
          <w:sz w:val="22"/>
        </w:rPr>
        <w:t> </w:t>
      </w:r>
      <w:r>
        <w:rPr>
          <w:sz w:val="22"/>
        </w:rPr>
        <w:t>triggering</w:t>
      </w:r>
      <w:r>
        <w:rPr>
          <w:spacing w:val="-1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Late</w:t>
      </w:r>
      <w:r>
        <w:rPr>
          <w:spacing w:val="-2"/>
          <w:sz w:val="22"/>
        </w:rPr>
        <w:t> </w:t>
      </w:r>
      <w:r>
        <w:rPr>
          <w:sz w:val="22"/>
        </w:rPr>
        <w:t>Devonian</w:t>
      </w:r>
      <w:r>
        <w:rPr>
          <w:spacing w:val="-3"/>
          <w:sz w:val="22"/>
        </w:rPr>
        <w:t> </w:t>
      </w:r>
      <w:r>
        <w:rPr>
          <w:sz w:val="22"/>
        </w:rPr>
        <w:t>anoxic</w:t>
      </w:r>
      <w:r>
        <w:rPr>
          <w:spacing w:val="-1"/>
          <w:sz w:val="22"/>
        </w:rPr>
        <w:t> </w:t>
      </w:r>
      <w:r>
        <w:rPr>
          <w:sz w:val="22"/>
        </w:rPr>
        <w:t>black</w:t>
      </w:r>
      <w:r>
        <w:rPr>
          <w:spacing w:val="2"/>
          <w:sz w:val="22"/>
        </w:rPr>
        <w:t> </w:t>
      </w:r>
      <w:r>
        <w:rPr>
          <w:sz w:val="22"/>
        </w:rPr>
        <w:t>shales</w:t>
      </w:r>
      <w:r>
        <w:rPr>
          <w:spacing w:val="-3"/>
          <w:sz w:val="22"/>
        </w:rPr>
        <w:t> </w:t>
      </w:r>
      <w:r>
        <w:rPr>
          <w:sz w:val="22"/>
        </w:rPr>
        <w:t>(Molinares-</w:t>
      </w:r>
      <w:r>
        <w:rPr>
          <w:spacing w:val="-47"/>
          <w:sz w:val="22"/>
        </w:rPr>
        <w:t> </w:t>
      </w:r>
      <w:r>
        <w:rPr>
          <w:sz w:val="22"/>
        </w:rPr>
        <w:t>Blanco,</w:t>
      </w:r>
      <w:r>
        <w:rPr>
          <w:spacing w:val="-2"/>
          <w:sz w:val="22"/>
        </w:rPr>
        <w:t> </w:t>
      </w:r>
      <w:r>
        <w:rPr>
          <w:sz w:val="22"/>
        </w:rPr>
        <w:t>2013)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5"/>
        <w:rPr>
          <w:sz w:val="31"/>
        </w:rPr>
      </w:pPr>
    </w:p>
    <w:p>
      <w:pPr>
        <w:spacing w:line="480" w:lineRule="auto" w:before="0"/>
        <w:ind w:left="120" w:right="637" w:firstLine="0"/>
        <w:jc w:val="left"/>
        <w:rPr>
          <w:sz w:val="23"/>
        </w:rPr>
      </w:pPr>
      <w:r>
        <w:rPr>
          <w:sz w:val="23"/>
        </w:rPr>
        <w:t>The sustained and strong stratification indicated by isorenieratane(</w:t>
      </w:r>
      <w:r>
        <w:rPr>
          <w:b/>
          <w:sz w:val="23"/>
        </w:rPr>
        <w:t>I</w:t>
      </w:r>
      <w:r>
        <w:rPr>
          <w:sz w:val="23"/>
        </w:rPr>
        <w:t>) and paleorenieratane(</w:t>
      </w:r>
      <w:r>
        <w:rPr>
          <w:b/>
          <w:sz w:val="23"/>
        </w:rPr>
        <w:t>II</w:t>
      </w:r>
      <w:r>
        <w:rPr>
          <w:sz w:val="23"/>
        </w:rPr>
        <w:t>) in the</w:t>
      </w:r>
      <w:r>
        <w:rPr>
          <w:spacing w:val="-49"/>
          <w:sz w:val="23"/>
        </w:rPr>
        <w:t> </w:t>
      </w:r>
      <w:r>
        <w:rPr>
          <w:sz w:val="23"/>
        </w:rPr>
        <w:t>Middle Woodford Shale seems to fit this model much better (Molinares-Blanco, 2013; Connock et</w:t>
      </w:r>
      <w:r>
        <w:rPr>
          <w:spacing w:val="1"/>
          <w:sz w:val="23"/>
        </w:rPr>
        <w:t> </w:t>
      </w:r>
      <w:r>
        <w:rPr>
          <w:sz w:val="23"/>
        </w:rPr>
        <w:t>al., 2018). Stagnant waters would allow for the GSB to proliferate and remain relatively undisturbed</w:t>
      </w:r>
      <w:r>
        <w:rPr>
          <w:spacing w:val="-49"/>
          <w:sz w:val="23"/>
        </w:rPr>
        <w:t> </w:t>
      </w:r>
      <w:r>
        <w:rPr>
          <w:sz w:val="23"/>
        </w:rPr>
        <w:t>and</w:t>
      </w:r>
      <w:r>
        <w:rPr>
          <w:spacing w:val="-3"/>
          <w:sz w:val="23"/>
        </w:rPr>
        <w:t> </w:t>
      </w:r>
      <w:r>
        <w:rPr>
          <w:sz w:val="23"/>
        </w:rPr>
        <w:t>result in</w:t>
      </w:r>
      <w:r>
        <w:rPr>
          <w:spacing w:val="-1"/>
          <w:sz w:val="23"/>
        </w:rPr>
        <w:t> </w:t>
      </w:r>
      <w:r>
        <w:rPr>
          <w:sz w:val="23"/>
        </w:rPr>
        <w:t>the increased</w:t>
      </w:r>
      <w:r>
        <w:rPr>
          <w:spacing w:val="-3"/>
          <w:sz w:val="23"/>
        </w:rPr>
        <w:t> </w:t>
      </w:r>
      <w:r>
        <w:rPr>
          <w:sz w:val="23"/>
        </w:rPr>
        <w:t>concentrations</w:t>
      </w:r>
      <w:r>
        <w:rPr>
          <w:spacing w:val="-2"/>
          <w:sz w:val="23"/>
        </w:rPr>
        <w:t> </w:t>
      </w:r>
      <w:r>
        <w:rPr>
          <w:sz w:val="23"/>
        </w:rPr>
        <w:t>of</w:t>
      </w:r>
      <w:r>
        <w:rPr>
          <w:spacing w:val="-1"/>
          <w:sz w:val="23"/>
        </w:rPr>
        <w:t> </w:t>
      </w:r>
      <w:r>
        <w:rPr>
          <w:sz w:val="23"/>
        </w:rPr>
        <w:t>isorenieratane(</w:t>
      </w:r>
      <w:r>
        <w:rPr>
          <w:b/>
          <w:sz w:val="23"/>
        </w:rPr>
        <w:t>I</w:t>
      </w:r>
      <w:r>
        <w:rPr>
          <w:sz w:val="23"/>
        </w:rPr>
        <w:t>)</w:t>
      </w:r>
      <w:r>
        <w:rPr>
          <w:spacing w:val="-4"/>
          <w:sz w:val="23"/>
        </w:rPr>
        <w:t> </w:t>
      </w:r>
      <w:r>
        <w:rPr>
          <w:sz w:val="23"/>
        </w:rPr>
        <w:t>and</w:t>
      </w:r>
      <w:r>
        <w:rPr>
          <w:spacing w:val="-3"/>
          <w:sz w:val="23"/>
        </w:rPr>
        <w:t> </w:t>
      </w:r>
      <w:r>
        <w:rPr>
          <w:sz w:val="23"/>
        </w:rPr>
        <w:t>paleorenieratane(</w:t>
      </w:r>
      <w:r>
        <w:rPr>
          <w:b/>
          <w:sz w:val="23"/>
        </w:rPr>
        <w:t>II</w:t>
      </w:r>
      <w:r>
        <w:rPr>
          <w:sz w:val="23"/>
        </w:rPr>
        <w:t>)</w:t>
      </w:r>
      <w:r>
        <w:rPr>
          <w:spacing w:val="-4"/>
          <w:sz w:val="23"/>
        </w:rPr>
        <w:t> </w:t>
      </w:r>
      <w:r>
        <w:rPr>
          <w:sz w:val="23"/>
        </w:rPr>
        <w:t>that</w:t>
      </w:r>
      <w:r>
        <w:rPr>
          <w:spacing w:val="-3"/>
          <w:sz w:val="23"/>
        </w:rPr>
        <w:t> </w:t>
      </w:r>
      <w:r>
        <w:rPr>
          <w:sz w:val="23"/>
        </w:rPr>
        <w:t>is</w:t>
      </w:r>
      <w:r>
        <w:rPr>
          <w:spacing w:val="-2"/>
          <w:sz w:val="23"/>
        </w:rPr>
        <w:t> </w:t>
      </w:r>
      <w:r>
        <w:rPr>
          <w:sz w:val="23"/>
        </w:rPr>
        <w:t>seen.</w:t>
      </w:r>
    </w:p>
    <w:p>
      <w:pPr>
        <w:pStyle w:val="BodyText"/>
        <w:spacing w:line="480" w:lineRule="auto" w:before="161"/>
        <w:ind w:left="120" w:right="728" w:firstLine="706"/>
      </w:pPr>
      <w:r>
        <w:rPr/>
        <w:t>The</w:t>
      </w:r>
      <w:r>
        <w:rPr>
          <w:spacing w:val="-3"/>
        </w:rPr>
        <w:t> </w:t>
      </w:r>
      <w:r>
        <w:rPr/>
        <w:t>Lower</w:t>
      </w:r>
      <w:r>
        <w:rPr>
          <w:spacing w:val="-2"/>
        </w:rPr>
        <w:t> </w:t>
      </w:r>
      <w:r>
        <w:rPr/>
        <w:t>Woodford</w:t>
      </w:r>
      <w:r>
        <w:rPr>
          <w:spacing w:val="-2"/>
        </w:rPr>
        <w:t> </w:t>
      </w:r>
      <w:r>
        <w:rPr/>
        <w:t>Shale</w:t>
      </w:r>
      <w:r>
        <w:rPr>
          <w:spacing w:val="-3"/>
        </w:rPr>
        <w:t> </w:t>
      </w:r>
      <w:r>
        <w:rPr/>
        <w:t>is</w:t>
      </w:r>
      <w:r>
        <w:rPr>
          <w:spacing w:val="-2"/>
        </w:rPr>
        <w:t> </w:t>
      </w:r>
      <w:r>
        <w:rPr/>
        <w:t>characterized</w:t>
      </w:r>
      <w:r>
        <w:rPr>
          <w:spacing w:val="-2"/>
        </w:rPr>
        <w:t> </w:t>
      </w:r>
      <w:r>
        <w:rPr/>
        <w:t>by</w:t>
      </w:r>
      <w:r>
        <w:rPr>
          <w:spacing w:val="-5"/>
        </w:rPr>
        <w:t> </w:t>
      </w:r>
      <w:r>
        <w:rPr/>
        <w:t>episodic</w:t>
      </w:r>
      <w:r>
        <w:rPr>
          <w:spacing w:val="-3"/>
        </w:rPr>
        <w:t> </w:t>
      </w:r>
      <w:r>
        <w:rPr/>
        <w:t>PZE</w:t>
      </w:r>
      <w:r>
        <w:rPr>
          <w:spacing w:val="-2"/>
        </w:rPr>
        <w:t> </w:t>
      </w:r>
      <w:r>
        <w:rPr/>
        <w:t>(Connock</w:t>
      </w:r>
      <w:r>
        <w:rPr>
          <w:spacing w:val="-3"/>
        </w:rPr>
        <w:t> </w:t>
      </w:r>
      <w:r>
        <w:rPr/>
        <w:t>et</w:t>
      </w:r>
      <w:r>
        <w:rPr>
          <w:spacing w:val="1"/>
        </w:rPr>
        <w:t> </w:t>
      </w:r>
      <w:r>
        <w:rPr/>
        <w:t>al.,</w:t>
      </w:r>
      <w:r>
        <w:rPr>
          <w:spacing w:val="-2"/>
        </w:rPr>
        <w:t> </w:t>
      </w:r>
      <w:r>
        <w:rPr/>
        <w:t>2018),</w:t>
      </w:r>
      <w:r>
        <w:rPr>
          <w:spacing w:val="-2"/>
        </w:rPr>
        <w:t> </w:t>
      </w:r>
      <w:r>
        <w:rPr/>
        <w:t>seen</w:t>
      </w:r>
      <w:r>
        <w:rPr>
          <w:spacing w:val="-51"/>
        </w:rPr>
        <w:t> </w:t>
      </w:r>
      <w:r>
        <w:rPr/>
        <w:t>by fluctuating carotenoid concentrations. As previously mentioned, the increases in</w:t>
      </w:r>
      <w:r>
        <w:rPr>
          <w:spacing w:val="1"/>
        </w:rPr>
        <w:t> </w:t>
      </w:r>
      <w:r>
        <w:rPr/>
        <w:t>concentration</w:t>
      </w:r>
      <w:r>
        <w:rPr>
          <w:spacing w:val="-4"/>
        </w:rPr>
        <w:t> </w:t>
      </w:r>
      <w:r>
        <w:rPr/>
        <w:t>correspond</w:t>
      </w:r>
      <w:r>
        <w:rPr>
          <w:spacing w:val="-3"/>
        </w:rPr>
        <w:t> </w:t>
      </w:r>
      <w:r>
        <w:rPr/>
        <w:t>to a</w:t>
      </w:r>
      <w:r>
        <w:rPr>
          <w:spacing w:val="-4"/>
        </w:rPr>
        <w:t> </w:t>
      </w:r>
      <w:r>
        <w:rPr/>
        <w:t>regressive</w:t>
      </w:r>
      <w:r>
        <w:rPr>
          <w:spacing w:val="-4"/>
        </w:rPr>
        <w:t> </w:t>
      </w:r>
      <w:r>
        <w:rPr/>
        <w:t>hemicycle</w:t>
      </w:r>
      <w:r>
        <w:rPr>
          <w:spacing w:val="1"/>
        </w:rPr>
        <w:t> </w:t>
      </w:r>
      <w:r>
        <w:rPr/>
        <w:t>followed</w:t>
      </w:r>
      <w:r>
        <w:rPr>
          <w:spacing w:val="-4"/>
        </w:rPr>
        <w:t> </w:t>
      </w:r>
      <w:r>
        <w:rPr/>
        <w:t>by</w:t>
      </w:r>
      <w:r>
        <w:rPr>
          <w:spacing w:val="-1"/>
        </w:rPr>
        <w:t> </w:t>
      </w:r>
      <w:r>
        <w:rPr/>
        <w:t>a</w:t>
      </w:r>
      <w:r>
        <w:rPr>
          <w:spacing w:val="-4"/>
        </w:rPr>
        <w:t> </w:t>
      </w:r>
      <w:r>
        <w:rPr/>
        <w:t>transgressive</w:t>
      </w:r>
      <w:r>
        <w:rPr>
          <w:spacing w:val="-2"/>
        </w:rPr>
        <w:t> </w:t>
      </w:r>
      <w:r>
        <w:rPr/>
        <w:t>hemicycle.</w:t>
      </w:r>
      <w:r>
        <w:rPr>
          <w:spacing w:val="-3"/>
        </w:rPr>
        <w:t> </w:t>
      </w:r>
      <w:r>
        <w:rPr/>
        <w:t>The</w:t>
      </w:r>
    </w:p>
    <w:p>
      <w:pPr>
        <w:spacing w:after="0" w:line="480" w:lineRule="auto"/>
        <w:sectPr>
          <w:pgSz w:w="12240" w:h="15840"/>
          <w:pgMar w:header="0" w:footer="1014" w:top="1440" w:bottom="1200" w:left="1320" w:right="820"/>
        </w:sectPr>
      </w:pPr>
    </w:p>
    <w:p>
      <w:pPr>
        <w:pStyle w:val="BodyText"/>
        <w:spacing w:line="480" w:lineRule="auto" w:before="39"/>
        <w:ind w:left="120" w:right="660"/>
      </w:pPr>
      <w:r>
        <w:rPr/>
        <w:t>Lower Woodford Shale begins in an anoxic environment based on the metalloporphyrins, then</w:t>
      </w:r>
      <w:r>
        <w:rPr>
          <w:spacing w:val="1"/>
        </w:rPr>
        <w:t> </w:t>
      </w:r>
      <w:r>
        <w:rPr/>
        <w:t>becomes oxygenated with a few spikes of anoxia. Based on the primary productivity indicators</w:t>
      </w:r>
      <w:r>
        <w:rPr>
          <w:spacing w:val="1"/>
        </w:rPr>
        <w:t> </w:t>
      </w:r>
      <w:r>
        <w:rPr/>
        <w:t>such as the MTTCs and total porphyrins, the productivity remains low. A small spike is seen in</w:t>
      </w:r>
      <w:r>
        <w:rPr>
          <w:spacing w:val="1"/>
        </w:rPr>
        <w:t> </w:t>
      </w:r>
      <w:r>
        <w:rPr/>
        <w:t>the</w:t>
      </w:r>
      <w:r>
        <w:rPr>
          <w:spacing w:val="-4"/>
        </w:rPr>
        <w:t> </w:t>
      </w:r>
      <w:r>
        <w:rPr/>
        <w:t>porphyrins</w:t>
      </w:r>
      <w:r>
        <w:rPr>
          <w:spacing w:val="-4"/>
        </w:rPr>
        <w:t> </w:t>
      </w:r>
      <w:r>
        <w:rPr/>
        <w:t>right</w:t>
      </w:r>
      <w:r>
        <w:rPr>
          <w:spacing w:val="-3"/>
        </w:rPr>
        <w:t> </w:t>
      </w:r>
      <w:r>
        <w:rPr/>
        <w:t>before</w:t>
      </w:r>
      <w:r>
        <w:rPr>
          <w:spacing w:val="-3"/>
        </w:rPr>
        <w:t> </w:t>
      </w:r>
      <w:r>
        <w:rPr/>
        <w:t>the Lower/Middle</w:t>
      </w:r>
      <w:r>
        <w:rPr>
          <w:spacing w:val="-3"/>
        </w:rPr>
        <w:t> </w:t>
      </w:r>
      <w:r>
        <w:rPr/>
        <w:t>Woodford</w:t>
      </w:r>
      <w:r>
        <w:rPr>
          <w:spacing w:val="1"/>
        </w:rPr>
        <w:t> </w:t>
      </w:r>
      <w:r>
        <w:rPr/>
        <w:t>Shale</w:t>
      </w:r>
      <w:r>
        <w:rPr>
          <w:spacing w:val="-4"/>
        </w:rPr>
        <w:t> </w:t>
      </w:r>
      <w:r>
        <w:rPr/>
        <w:t>boundary,</w:t>
      </w:r>
      <w:r>
        <w:rPr>
          <w:spacing w:val="-4"/>
        </w:rPr>
        <w:t> </w:t>
      </w:r>
      <w:r>
        <w:rPr/>
        <w:t>which</w:t>
      </w:r>
      <w:r>
        <w:rPr>
          <w:spacing w:val="-6"/>
        </w:rPr>
        <w:t> </w:t>
      </w:r>
      <w:r>
        <w:rPr/>
        <w:t>corresponds to</w:t>
      </w:r>
      <w:r>
        <w:rPr>
          <w:spacing w:val="-51"/>
        </w:rPr>
        <w:t> </w:t>
      </w:r>
      <w:r>
        <w:rPr/>
        <w:t>the peak of a small transgressive hemicycle. Based on the MTTCI, the salinity in the early Lower</w:t>
      </w:r>
      <w:r>
        <w:rPr>
          <w:spacing w:val="-52"/>
        </w:rPr>
        <w:t> </w:t>
      </w:r>
      <w:r>
        <w:rPr/>
        <w:t>Woodford Shale is moderately high but quickly decreases and remains relatively low through</w:t>
      </w:r>
      <w:r>
        <w:rPr>
          <w:spacing w:val="1"/>
        </w:rPr>
        <w:t> </w:t>
      </w:r>
      <w:r>
        <w:rPr/>
        <w:t>the</w:t>
      </w:r>
      <w:r>
        <w:rPr>
          <w:spacing w:val="-3"/>
        </w:rPr>
        <w:t> </w:t>
      </w:r>
      <w:r>
        <w:rPr/>
        <w:t>rest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2"/>
        </w:rPr>
        <w:t> </w:t>
      </w:r>
      <w:r>
        <w:rPr/>
        <w:t>Lower</w:t>
      </w:r>
      <w:r>
        <w:rPr>
          <w:spacing w:val="-1"/>
        </w:rPr>
        <w:t> </w:t>
      </w:r>
      <w:r>
        <w:rPr/>
        <w:t>Woodford</w:t>
      </w:r>
      <w:r>
        <w:rPr>
          <w:spacing w:val="-1"/>
        </w:rPr>
        <w:t> </w:t>
      </w:r>
      <w:r>
        <w:rPr/>
        <w:t>Shale.</w:t>
      </w:r>
    </w:p>
    <w:p>
      <w:pPr>
        <w:pStyle w:val="BodyText"/>
        <w:spacing w:line="480" w:lineRule="auto" w:before="161"/>
        <w:ind w:left="120" w:right="683" w:firstLine="706"/>
      </w:pPr>
      <w:r>
        <w:rPr/>
        <w:t>The early Middle Woodford Shale seems to have mixed bottom waters with little to no</w:t>
      </w:r>
      <w:r>
        <w:rPr>
          <w:spacing w:val="1"/>
        </w:rPr>
        <w:t> </w:t>
      </w:r>
      <w:r>
        <w:rPr/>
        <w:t>PZE, judging by the concentration of aromatic carotenoids being low. Based on the VO/Ni ratio,</w:t>
      </w:r>
      <w:r>
        <w:rPr>
          <w:spacing w:val="-52"/>
        </w:rPr>
        <w:t> </w:t>
      </w:r>
      <w:r>
        <w:rPr/>
        <w:t>there are a few isolated spikes of anoxia in the early Middle Woodford Shale. The environment</w:t>
      </w:r>
      <w:r>
        <w:rPr>
          <w:spacing w:val="-52"/>
        </w:rPr>
        <w:t> </w:t>
      </w:r>
      <w:r>
        <w:rPr/>
        <w:t>begins to see increased euxinia in the mid Middle Woodford Shale, evidenced by both the</w:t>
      </w:r>
      <w:r>
        <w:rPr>
          <w:spacing w:val="1"/>
        </w:rPr>
        <w:t> </w:t>
      </w:r>
      <w:r>
        <w:rPr/>
        <w:t>increase in aromatic carotenoids and the VO/Ni ratio. During much of the Middle Woodford</w:t>
      </w:r>
      <w:r>
        <w:rPr>
          <w:spacing w:val="1"/>
        </w:rPr>
        <w:t> </w:t>
      </w:r>
      <w:r>
        <w:rPr/>
        <w:t>Shale,</w:t>
      </w:r>
      <w:r>
        <w:rPr>
          <w:spacing w:val="-4"/>
        </w:rPr>
        <w:t> </w:t>
      </w:r>
      <w:r>
        <w:rPr/>
        <w:t>there</w:t>
      </w:r>
      <w:r>
        <w:rPr>
          <w:spacing w:val="1"/>
        </w:rPr>
        <w:t> </w:t>
      </w:r>
      <w:r>
        <w:rPr/>
        <w:t>is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general</w:t>
      </w:r>
      <w:r>
        <w:rPr>
          <w:spacing w:val="-5"/>
        </w:rPr>
        <w:t> </w:t>
      </w:r>
      <w:r>
        <w:rPr/>
        <w:t>regressive</w:t>
      </w:r>
      <w:r>
        <w:rPr>
          <w:spacing w:val="-3"/>
        </w:rPr>
        <w:t> </w:t>
      </w:r>
      <w:r>
        <w:rPr/>
        <w:t>cycle</w:t>
      </w:r>
      <w:r>
        <w:rPr>
          <w:spacing w:val="2"/>
        </w:rPr>
        <w:t> </w:t>
      </w:r>
      <w:r>
        <w:rPr/>
        <w:t>that</w:t>
      </w:r>
      <w:r>
        <w:rPr>
          <w:spacing w:val="-4"/>
        </w:rPr>
        <w:t> </w:t>
      </w:r>
      <w:r>
        <w:rPr/>
        <w:t>coincides</w:t>
      </w:r>
      <w:r>
        <w:rPr>
          <w:spacing w:val="-2"/>
        </w:rPr>
        <w:t> </w:t>
      </w:r>
      <w:r>
        <w:rPr/>
        <w:t>with</w:t>
      </w:r>
      <w:r>
        <w:rPr>
          <w:spacing w:val="-3"/>
        </w:rPr>
        <w:t> </w:t>
      </w:r>
      <w:r>
        <w:rPr/>
        <w:t>the</w:t>
      </w:r>
      <w:r>
        <w:rPr>
          <w:spacing w:val="1"/>
        </w:rPr>
        <w:t> </w:t>
      </w:r>
      <w:r>
        <w:rPr/>
        <w:t>increased</w:t>
      </w:r>
      <w:r>
        <w:rPr>
          <w:spacing w:val="-3"/>
        </w:rPr>
        <w:t> </w:t>
      </w:r>
      <w:r>
        <w:rPr/>
        <w:t>euxinia evidenced</w:t>
      </w:r>
      <w:r>
        <w:rPr>
          <w:spacing w:val="-3"/>
        </w:rPr>
        <w:t> </w:t>
      </w:r>
      <w:r>
        <w:rPr/>
        <w:t>by</w:t>
      </w:r>
      <w:r>
        <w:rPr>
          <w:spacing w:val="-51"/>
        </w:rPr>
        <w:t> </w:t>
      </w:r>
      <w:r>
        <w:rPr/>
        <w:t>the presence of GSB. This regressive cycle coincides with sustained PZE, ending with a</w:t>
      </w:r>
      <w:r>
        <w:rPr>
          <w:spacing w:val="1"/>
        </w:rPr>
        <w:t> </w:t>
      </w:r>
      <w:r>
        <w:rPr/>
        <w:t>significant</w:t>
      </w:r>
      <w:r>
        <w:rPr>
          <w:spacing w:val="-3"/>
        </w:rPr>
        <w:t> </w:t>
      </w:r>
      <w:r>
        <w:rPr/>
        <w:t>transgressive</w:t>
      </w:r>
      <w:r>
        <w:rPr>
          <w:spacing w:val="-5"/>
        </w:rPr>
        <w:t> </w:t>
      </w:r>
      <w:r>
        <w:rPr/>
        <w:t>hemicycle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end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 PZE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2"/>
        </w:rPr>
        <w:t> </w:t>
      </w:r>
      <w:r>
        <w:rPr/>
        <w:t>late</w:t>
      </w:r>
      <w:r>
        <w:rPr>
          <w:spacing w:val="2"/>
        </w:rPr>
        <w:t> </w:t>
      </w:r>
      <w:r>
        <w:rPr/>
        <w:t>Upper</w:t>
      </w:r>
      <w:r>
        <w:rPr>
          <w:spacing w:val="1"/>
        </w:rPr>
        <w:t> </w:t>
      </w:r>
      <w:r>
        <w:rPr/>
        <w:t>Woodford</w:t>
      </w:r>
      <w:r>
        <w:rPr>
          <w:spacing w:val="-2"/>
        </w:rPr>
        <w:t> </w:t>
      </w:r>
      <w:r>
        <w:rPr/>
        <w:t>Shale.</w:t>
      </w:r>
    </w:p>
    <w:p>
      <w:pPr>
        <w:pStyle w:val="BodyText"/>
        <w:spacing w:line="480" w:lineRule="auto"/>
        <w:ind w:left="120" w:right="636"/>
      </w:pPr>
      <w:r>
        <w:rPr/>
        <w:t>Inside the general regression, there are smaller transgressive hemicycles; at around 150 ft, a</w:t>
      </w:r>
      <w:r>
        <w:rPr>
          <w:spacing w:val="1"/>
        </w:rPr>
        <w:t> </w:t>
      </w:r>
      <w:r>
        <w:rPr/>
        <w:t>small</w:t>
      </w:r>
      <w:r>
        <w:rPr>
          <w:spacing w:val="-4"/>
        </w:rPr>
        <w:t> </w:t>
      </w:r>
      <w:r>
        <w:rPr/>
        <w:t>transgressive</w:t>
      </w:r>
      <w:r>
        <w:rPr>
          <w:spacing w:val="-4"/>
        </w:rPr>
        <w:t> </w:t>
      </w:r>
      <w:r>
        <w:rPr/>
        <w:t>hemicycle</w:t>
      </w:r>
      <w:r>
        <w:rPr>
          <w:spacing w:val="1"/>
        </w:rPr>
        <w:t> </w:t>
      </w:r>
      <w:r>
        <w:rPr/>
        <w:t>coincides</w:t>
      </w:r>
      <w:r>
        <w:rPr>
          <w:spacing w:val="-3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-4"/>
        </w:rPr>
        <w:t> </w:t>
      </w:r>
      <w:r>
        <w:rPr/>
        <w:t>increase in</w:t>
      </w:r>
      <w:r>
        <w:rPr>
          <w:spacing w:val="-4"/>
        </w:rPr>
        <w:t> </w:t>
      </w:r>
      <w:r>
        <w:rPr/>
        <w:t>nickel</w:t>
      </w:r>
      <w:r>
        <w:rPr>
          <w:spacing w:val="-3"/>
        </w:rPr>
        <w:t> </w:t>
      </w:r>
      <w:r>
        <w:rPr/>
        <w:t>porphyrin</w:t>
      </w:r>
      <w:r>
        <w:rPr>
          <w:spacing w:val="-3"/>
        </w:rPr>
        <w:t> </w:t>
      </w:r>
      <w:r>
        <w:rPr/>
        <w:t>preservation</w:t>
      </w:r>
      <w:r>
        <w:rPr>
          <w:spacing w:val="-5"/>
        </w:rPr>
        <w:t> </w:t>
      </w:r>
      <w:r>
        <w:rPr/>
        <w:t>and</w:t>
      </w:r>
      <w:r>
        <w:rPr>
          <w:spacing w:val="-3"/>
        </w:rPr>
        <w:t> </w:t>
      </w:r>
      <w:r>
        <w:rPr/>
        <w:t>a</w:t>
      </w:r>
      <w:r>
        <w:rPr>
          <w:spacing w:val="-51"/>
        </w:rPr>
        <w:t> </w:t>
      </w:r>
      <w:r>
        <w:rPr/>
        <w:t>change in lithology. The significance and cause of this anomaly in the nickel porphyrin</w:t>
      </w:r>
      <w:r>
        <w:rPr>
          <w:spacing w:val="1"/>
        </w:rPr>
        <w:t> </w:t>
      </w:r>
      <w:r>
        <w:rPr/>
        <w:t>concentration are as yet unknown. The sharp transgression at 130 ft, ending the general</w:t>
      </w:r>
      <w:r>
        <w:rPr>
          <w:spacing w:val="1"/>
        </w:rPr>
        <w:t> </w:t>
      </w:r>
      <w:r>
        <w:rPr/>
        <w:t>regression, also coincides with increased salinity indicated by the MTTCI ratio. This could mean</w:t>
      </w:r>
      <w:r>
        <w:rPr>
          <w:spacing w:val="1"/>
        </w:rPr>
        <w:t> </w:t>
      </w:r>
      <w:r>
        <w:rPr/>
        <w:t>that the transgression brought along the upwelling of deep saline water, which disturbed the</w:t>
      </w:r>
      <w:r>
        <w:rPr>
          <w:spacing w:val="1"/>
        </w:rPr>
        <w:t> </w:t>
      </w:r>
      <w:r>
        <w:rPr/>
        <w:t>water</w:t>
      </w:r>
      <w:r>
        <w:rPr>
          <w:spacing w:val="-4"/>
        </w:rPr>
        <w:t> </w:t>
      </w:r>
      <w:r>
        <w:rPr/>
        <w:t>stratification</w:t>
      </w:r>
      <w:r>
        <w:rPr>
          <w:spacing w:val="2"/>
        </w:rPr>
        <w:t> </w:t>
      </w:r>
      <w:r>
        <w:rPr/>
        <w:t>and</w:t>
      </w:r>
      <w:r>
        <w:rPr>
          <w:spacing w:val="-2"/>
        </w:rPr>
        <w:t> </w:t>
      </w:r>
      <w:r>
        <w:rPr/>
        <w:t>destroying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habitat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3"/>
        </w:rPr>
        <w:t> </w:t>
      </w:r>
      <w:r>
        <w:rPr/>
        <w:t>GSB.</w:t>
      </w:r>
      <w:r>
        <w:rPr>
          <w:spacing w:val="-5"/>
        </w:rPr>
        <w:t> </w:t>
      </w:r>
      <w:r>
        <w:rPr/>
        <w:t>According</w:t>
      </w:r>
      <w:r>
        <w:rPr>
          <w:spacing w:val="-2"/>
        </w:rPr>
        <w:t> </w:t>
      </w:r>
      <w:r>
        <w:rPr/>
        <w:t>to</w:t>
      </w:r>
      <w:r>
        <w:rPr>
          <w:spacing w:val="1"/>
        </w:rPr>
        <w:t> </w:t>
      </w:r>
      <w:r>
        <w:rPr/>
        <w:t>proxies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primary</w:t>
      </w:r>
    </w:p>
    <w:p>
      <w:pPr>
        <w:spacing w:after="0" w:line="480" w:lineRule="auto"/>
        <w:sectPr>
          <w:pgSz w:w="12240" w:h="15840"/>
          <w:pgMar w:header="0" w:footer="1014" w:top="1400" w:bottom="1200" w:left="1320" w:right="820"/>
        </w:sectPr>
      </w:pPr>
    </w:p>
    <w:p>
      <w:pPr>
        <w:pStyle w:val="BodyText"/>
        <w:spacing w:line="480" w:lineRule="auto" w:before="39"/>
        <w:ind w:left="120" w:right="660"/>
      </w:pPr>
      <w:r>
        <w:rPr/>
        <w:t>productivity</w:t>
      </w:r>
      <w:r>
        <w:rPr>
          <w:spacing w:val="-6"/>
        </w:rPr>
        <w:t> </w:t>
      </w:r>
      <w:r>
        <w:rPr/>
        <w:t>like</w:t>
      </w:r>
      <w:r>
        <w:rPr>
          <w:spacing w:val="2"/>
        </w:rPr>
        <w:t> </w:t>
      </w:r>
      <w:r>
        <w:rPr/>
        <w:t>the</w:t>
      </w:r>
      <w:r>
        <w:rPr>
          <w:spacing w:val="-4"/>
        </w:rPr>
        <w:t> </w:t>
      </w:r>
      <w:r>
        <w:rPr/>
        <w:t>porphyrins,</w:t>
      </w:r>
      <w:r>
        <w:rPr>
          <w:spacing w:val="-4"/>
        </w:rPr>
        <w:t> </w:t>
      </w:r>
      <w:r>
        <w:rPr/>
        <w:t>MTTCs,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TMPBQ,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Middle</w:t>
      </w:r>
      <w:r>
        <w:rPr>
          <w:spacing w:val="-3"/>
        </w:rPr>
        <w:t> </w:t>
      </w:r>
      <w:r>
        <w:rPr/>
        <w:t>Woodford</w:t>
      </w:r>
      <w:r>
        <w:rPr>
          <w:spacing w:val="1"/>
        </w:rPr>
        <w:t> </w:t>
      </w:r>
      <w:r>
        <w:rPr/>
        <w:t>Shale</w:t>
      </w:r>
      <w:r>
        <w:rPr>
          <w:spacing w:val="-2"/>
        </w:rPr>
        <w:t> </w:t>
      </w:r>
      <w:r>
        <w:rPr/>
        <w:t>begins</w:t>
      </w:r>
      <w:r>
        <w:rPr>
          <w:spacing w:val="-5"/>
        </w:rPr>
        <w:t> </w:t>
      </w:r>
      <w:r>
        <w:rPr/>
        <w:t>with</w:t>
      </w:r>
      <w:r>
        <w:rPr>
          <w:spacing w:val="-51"/>
        </w:rPr>
        <w:t> </w:t>
      </w:r>
      <w:r>
        <w:rPr/>
        <w:t>higher productivity which subsequently decreases. The concentration of these proxies then</w:t>
      </w:r>
      <w:r>
        <w:rPr>
          <w:spacing w:val="1"/>
        </w:rPr>
        <w:t> </w:t>
      </w:r>
      <w:r>
        <w:rPr/>
        <w:t>begins to rise and then fall around the same depths as the sustained PZE. This might indicate</w:t>
      </w:r>
      <w:r>
        <w:rPr>
          <w:spacing w:val="1"/>
        </w:rPr>
        <w:t> </w:t>
      </w:r>
      <w:r>
        <w:rPr/>
        <w:t>that</w:t>
      </w:r>
      <w:r>
        <w:rPr>
          <w:spacing w:val="-2"/>
        </w:rPr>
        <w:t> </w:t>
      </w:r>
      <w:r>
        <w:rPr/>
        <w:t>they</w:t>
      </w:r>
      <w:r>
        <w:rPr>
          <w:spacing w:val="-5"/>
        </w:rPr>
        <w:t> </w:t>
      </w:r>
      <w:r>
        <w:rPr/>
        <w:t>do</w:t>
      </w:r>
      <w:r>
        <w:rPr>
          <w:spacing w:val="-3"/>
        </w:rPr>
        <w:t> </w:t>
      </w:r>
      <w:r>
        <w:rPr/>
        <w:t>not</w:t>
      </w:r>
      <w:r>
        <w:rPr>
          <w:spacing w:val="2"/>
        </w:rPr>
        <w:t> </w:t>
      </w:r>
      <w:r>
        <w:rPr/>
        <w:t>show</w:t>
      </w:r>
      <w:r>
        <w:rPr>
          <w:spacing w:val="-2"/>
        </w:rPr>
        <w:t> </w:t>
      </w:r>
      <w:r>
        <w:rPr/>
        <w:t>an</w:t>
      </w:r>
      <w:r>
        <w:rPr>
          <w:spacing w:val="-3"/>
        </w:rPr>
        <w:t> </w:t>
      </w:r>
      <w:r>
        <w:rPr/>
        <w:t>increase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primary</w:t>
      </w:r>
      <w:r>
        <w:rPr>
          <w:spacing w:val="-4"/>
        </w:rPr>
        <w:t> </w:t>
      </w:r>
      <w:r>
        <w:rPr/>
        <w:t>productivity</w:t>
      </w:r>
      <w:r>
        <w:rPr>
          <w:spacing w:val="-1"/>
        </w:rPr>
        <w:t> </w:t>
      </w:r>
      <w:r>
        <w:rPr/>
        <w:t>but</w:t>
      </w:r>
      <w:r>
        <w:rPr>
          <w:spacing w:val="2"/>
        </w:rPr>
        <w:t> </w:t>
      </w:r>
      <w:r>
        <w:rPr/>
        <w:t>instead</w:t>
      </w:r>
      <w:r>
        <w:rPr>
          <w:spacing w:val="-2"/>
        </w:rPr>
        <w:t> </w:t>
      </w:r>
      <w:r>
        <w:rPr/>
        <w:t>show</w:t>
      </w:r>
      <w:r>
        <w:rPr>
          <w:spacing w:val="-3"/>
        </w:rPr>
        <w:t> </w:t>
      </w:r>
      <w:r>
        <w:rPr/>
        <w:t>increased</w:t>
      </w:r>
      <w:r>
        <w:rPr>
          <w:spacing w:val="-2"/>
        </w:rPr>
        <w:t> </w:t>
      </w:r>
      <w:r>
        <w:rPr/>
        <w:t>organic</w:t>
      </w:r>
      <w:r>
        <w:rPr>
          <w:spacing w:val="-51"/>
        </w:rPr>
        <w:t> </w:t>
      </w:r>
      <w:r>
        <w:rPr/>
        <w:t>matter</w:t>
      </w:r>
      <w:r>
        <w:rPr>
          <w:spacing w:val="-2"/>
        </w:rPr>
        <w:t> </w:t>
      </w:r>
      <w:r>
        <w:rPr/>
        <w:t>preservation.</w:t>
      </w:r>
    </w:p>
    <w:p>
      <w:pPr>
        <w:pStyle w:val="BodyText"/>
        <w:spacing w:line="480" w:lineRule="auto" w:before="159"/>
        <w:ind w:left="120" w:right="646" w:firstLine="706"/>
      </w:pPr>
      <w:r>
        <w:rPr/>
        <w:t>Oxygenation increases significantly, and stratification decreases in the Upper Woodford</w:t>
      </w:r>
      <w:r>
        <w:rPr>
          <w:spacing w:val="1"/>
        </w:rPr>
        <w:t> </w:t>
      </w:r>
      <w:r>
        <w:rPr/>
        <w:t>Shale. This increase in oxygenation is evidenced by the VO/Ni ratio decreasing and remaining</w:t>
      </w:r>
      <w:r>
        <w:rPr>
          <w:spacing w:val="1"/>
        </w:rPr>
        <w:t> </w:t>
      </w:r>
      <w:r>
        <w:rPr/>
        <w:t>low for most of the Upper Woodford Shale. The Upper Woodford Shale is also characterized by</w:t>
      </w:r>
      <w:r>
        <w:rPr>
          <w:spacing w:val="1"/>
        </w:rPr>
        <w:t> </w:t>
      </w:r>
      <w:r>
        <w:rPr/>
        <w:t>a large regression and overall is a HST likely as a result of Late Devonian glaciation; there are</w:t>
      </w:r>
      <w:r>
        <w:rPr>
          <w:spacing w:val="1"/>
        </w:rPr>
        <w:t> </w:t>
      </w:r>
      <w:r>
        <w:rPr/>
        <w:t>some small transgressive hemicycles, but they remain small before returning to a regressive</w:t>
      </w:r>
      <w:r>
        <w:rPr>
          <w:spacing w:val="1"/>
        </w:rPr>
        <w:t> </w:t>
      </w:r>
      <w:r>
        <w:rPr/>
        <w:t>hemicycle. Concentrations of isorenieratane and paleorenieratane remain low through the</w:t>
      </w:r>
      <w:r>
        <w:rPr>
          <w:spacing w:val="1"/>
        </w:rPr>
        <w:t> </w:t>
      </w:r>
      <w:r>
        <w:rPr/>
        <w:t>Upper Woodford Shale, with a small spike in the mid Upper Woodford Shale. The primary</w:t>
      </w:r>
      <w:r>
        <w:rPr>
          <w:spacing w:val="1"/>
        </w:rPr>
        <w:t> </w:t>
      </w:r>
      <w:r>
        <w:rPr/>
        <w:t>productivity proxies significantly increase in the Upper Woodford Shale, which also indicates</w:t>
      </w:r>
      <w:r>
        <w:rPr>
          <w:spacing w:val="1"/>
        </w:rPr>
        <w:t> </w:t>
      </w:r>
      <w:r>
        <w:rPr/>
        <w:t>that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oxygenation</w:t>
      </w:r>
      <w:r>
        <w:rPr>
          <w:spacing w:val="-2"/>
        </w:rPr>
        <w:t> </w:t>
      </w:r>
      <w:r>
        <w:rPr/>
        <w:t>has</w:t>
      </w:r>
      <w:r>
        <w:rPr>
          <w:spacing w:val="-5"/>
        </w:rPr>
        <w:t> </w:t>
      </w:r>
      <w:r>
        <w:rPr/>
        <w:t>increased. Salinity</w:t>
      </w:r>
      <w:r>
        <w:rPr>
          <w:spacing w:val="-3"/>
        </w:rPr>
        <w:t> </w:t>
      </w:r>
      <w:r>
        <w:rPr/>
        <w:t>drops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early</w:t>
      </w:r>
      <w:r>
        <w:rPr>
          <w:spacing w:val="-5"/>
        </w:rPr>
        <w:t> </w:t>
      </w:r>
      <w:r>
        <w:rPr/>
        <w:t>Upper</w:t>
      </w:r>
      <w:r>
        <w:rPr>
          <w:spacing w:val="-3"/>
        </w:rPr>
        <w:t> </w:t>
      </w:r>
      <w:r>
        <w:rPr/>
        <w:t>Woodford</w:t>
      </w:r>
      <w:r>
        <w:rPr>
          <w:spacing w:val="2"/>
        </w:rPr>
        <w:t> </w:t>
      </w:r>
      <w:r>
        <w:rPr/>
        <w:t>Shale</w:t>
      </w:r>
      <w:r>
        <w:rPr>
          <w:spacing w:val="-2"/>
        </w:rPr>
        <w:t> </w:t>
      </w:r>
      <w:r>
        <w:rPr/>
        <w:t>but</w:t>
      </w:r>
      <w:r>
        <w:rPr>
          <w:spacing w:val="1"/>
        </w:rPr>
        <w:t> </w:t>
      </w:r>
      <w:r>
        <w:rPr/>
        <w:t>sees</w:t>
      </w:r>
      <w:r>
        <w:rPr>
          <w:spacing w:val="-2"/>
        </w:rPr>
        <w:t> </w:t>
      </w:r>
      <w:r>
        <w:rPr/>
        <w:t>a</w:t>
      </w:r>
      <w:r>
        <w:rPr>
          <w:spacing w:val="-51"/>
        </w:rPr>
        <w:t> </w:t>
      </w:r>
      <w:r>
        <w:rPr/>
        <w:t>few spikes before dropping again. The Upper Woodford Shale also contains phosphate nodules</w:t>
      </w:r>
      <w:r>
        <w:rPr>
          <w:spacing w:val="1"/>
        </w:rPr>
        <w:t> </w:t>
      </w:r>
      <w:r>
        <w:rPr/>
        <w:t>(Molinares-Blanco, 2013), indicating an abundance of phosphorous in the water column,</w:t>
      </w:r>
      <w:r>
        <w:rPr>
          <w:spacing w:val="1"/>
        </w:rPr>
        <w:t> </w:t>
      </w:r>
      <w:r>
        <w:rPr/>
        <w:t>allowing primary productivity not to be limited by this resource. Although the increase in</w:t>
      </w:r>
      <w:r>
        <w:rPr>
          <w:spacing w:val="1"/>
        </w:rPr>
        <w:t> </w:t>
      </w:r>
      <w:r>
        <w:rPr/>
        <w:t>oxygenation, phosphate nodules, primary productivity evidence, and salinity suggests that</w:t>
      </w:r>
      <w:r>
        <w:rPr>
          <w:spacing w:val="1"/>
        </w:rPr>
        <w:t> </w:t>
      </w:r>
      <w:r>
        <w:rPr/>
        <w:t>upwelling</w:t>
      </w:r>
      <w:r>
        <w:rPr>
          <w:spacing w:val="-2"/>
        </w:rPr>
        <w:t> </w:t>
      </w:r>
      <w:r>
        <w:rPr/>
        <w:t>might</w:t>
      </w:r>
      <w:r>
        <w:rPr>
          <w:spacing w:val="2"/>
        </w:rPr>
        <w:t> </w:t>
      </w:r>
      <w:r>
        <w:rPr/>
        <w:t>be</w:t>
      </w:r>
      <w:r>
        <w:rPr>
          <w:spacing w:val="-2"/>
        </w:rPr>
        <w:t> </w:t>
      </w:r>
      <w:r>
        <w:rPr/>
        <w:t>present</w:t>
      </w:r>
      <w:r>
        <w:rPr>
          <w:spacing w:val="-2"/>
        </w:rPr>
        <w:t> </w:t>
      </w:r>
      <w:r>
        <w:rPr/>
        <w:t>in the</w:t>
      </w:r>
      <w:r>
        <w:rPr>
          <w:spacing w:val="3"/>
        </w:rPr>
        <w:t> </w:t>
      </w:r>
      <w:r>
        <w:rPr/>
        <w:t>Upper</w:t>
      </w:r>
      <w:r>
        <w:rPr>
          <w:spacing w:val="-4"/>
        </w:rPr>
        <w:t> </w:t>
      </w:r>
      <w:r>
        <w:rPr/>
        <w:t>Woodford</w:t>
      </w:r>
      <w:r>
        <w:rPr>
          <w:spacing w:val="3"/>
        </w:rPr>
        <w:t> </w:t>
      </w:r>
      <w:r>
        <w:rPr/>
        <w:t>Shale,</w:t>
      </w:r>
      <w:r>
        <w:rPr>
          <w:spacing w:val="-2"/>
        </w:rPr>
        <w:t> </w:t>
      </w:r>
      <w:r>
        <w:rPr/>
        <w:t>it</w:t>
      </w:r>
      <w:r>
        <w:rPr>
          <w:spacing w:val="-2"/>
        </w:rPr>
        <w:t> </w:t>
      </w:r>
      <w:r>
        <w:rPr/>
        <w:t>most</w:t>
      </w:r>
      <w:r>
        <w:rPr>
          <w:spacing w:val="-1"/>
        </w:rPr>
        <w:t> </w:t>
      </w:r>
      <w:r>
        <w:rPr/>
        <w:t>likely</w:t>
      </w:r>
      <w:r>
        <w:rPr>
          <w:spacing w:val="-2"/>
        </w:rPr>
        <w:t> </w:t>
      </w:r>
      <w:r>
        <w:rPr/>
        <w:t>is</w:t>
      </w:r>
      <w:r>
        <w:rPr>
          <w:spacing w:val="-4"/>
        </w:rPr>
        <w:t> </w:t>
      </w:r>
      <w:r>
        <w:rPr/>
        <w:t>not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case.</w:t>
      </w:r>
    </w:p>
    <w:p>
      <w:pPr>
        <w:pStyle w:val="BodyText"/>
        <w:spacing w:line="480" w:lineRule="auto"/>
        <w:ind w:left="120" w:right="660"/>
      </w:pPr>
      <w:r>
        <w:rPr/>
        <w:t>Phosphate</w:t>
      </w:r>
      <w:r>
        <w:rPr>
          <w:spacing w:val="-3"/>
        </w:rPr>
        <w:t> </w:t>
      </w:r>
      <w:r>
        <w:rPr/>
        <w:t>nodules</w:t>
      </w:r>
      <w:r>
        <w:rPr>
          <w:spacing w:val="-5"/>
        </w:rPr>
        <w:t> </w:t>
      </w:r>
      <w:r>
        <w:rPr/>
        <w:t>do</w:t>
      </w:r>
      <w:r>
        <w:rPr>
          <w:spacing w:val="-3"/>
        </w:rPr>
        <w:t> </w:t>
      </w:r>
      <w:r>
        <w:rPr/>
        <w:t>not</w:t>
      </w:r>
      <w:r>
        <w:rPr>
          <w:spacing w:val="2"/>
        </w:rPr>
        <w:t> </w:t>
      </w:r>
      <w:r>
        <w:rPr/>
        <w:t>appear</w:t>
      </w:r>
      <w:r>
        <w:rPr>
          <w:spacing w:val="-3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-2"/>
        </w:rPr>
        <w:t> </w:t>
      </w:r>
      <w:r>
        <w:rPr/>
        <w:t>triggered</w:t>
      </w:r>
      <w:r>
        <w:rPr>
          <w:spacing w:val="-3"/>
        </w:rPr>
        <w:t> </w:t>
      </w:r>
      <w:r>
        <w:rPr/>
        <w:t>by upwelling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Upper</w:t>
      </w:r>
      <w:r>
        <w:rPr>
          <w:spacing w:val="-2"/>
        </w:rPr>
        <w:t> </w:t>
      </w:r>
      <w:r>
        <w:rPr/>
        <w:t>Woodford</w:t>
      </w:r>
      <w:r>
        <w:rPr>
          <w:spacing w:val="-3"/>
        </w:rPr>
        <w:t> </w:t>
      </w:r>
      <w:r>
        <w:rPr/>
        <w:t>Shale,</w:t>
      </w:r>
      <w:r>
        <w:rPr>
          <w:spacing w:val="-51"/>
        </w:rPr>
        <w:t> </w:t>
      </w:r>
      <w:r>
        <w:rPr/>
        <w:t>and phosphate</w:t>
      </w:r>
      <w:r>
        <w:rPr>
          <w:spacing w:val="-3"/>
        </w:rPr>
        <w:t> </w:t>
      </w:r>
      <w:r>
        <w:rPr/>
        <w:t>is</w:t>
      </w:r>
      <w:r>
        <w:rPr>
          <w:spacing w:val="-2"/>
        </w:rPr>
        <w:t> </w:t>
      </w:r>
      <w:r>
        <w:rPr/>
        <w:t>not</w:t>
      </w:r>
      <w:r>
        <w:rPr>
          <w:spacing w:val="-3"/>
        </w:rPr>
        <w:t> </w:t>
      </w:r>
      <w:r>
        <w:rPr/>
        <w:t>necessarily</w:t>
      </w:r>
      <w:r>
        <w:rPr>
          <w:spacing w:val="-3"/>
        </w:rPr>
        <w:t> </w:t>
      </w:r>
      <w:r>
        <w:rPr/>
        <w:t>a</w:t>
      </w:r>
      <w:r>
        <w:rPr>
          <w:spacing w:val="1"/>
        </w:rPr>
        <w:t> </w:t>
      </w:r>
      <w:r>
        <w:rPr/>
        <w:t>reliable</w:t>
      </w:r>
      <w:r>
        <w:rPr>
          <w:spacing w:val="-2"/>
        </w:rPr>
        <w:t> </w:t>
      </w:r>
      <w:r>
        <w:rPr/>
        <w:t>indicator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upwelling</w:t>
      </w:r>
      <w:r>
        <w:rPr>
          <w:spacing w:val="-4"/>
        </w:rPr>
        <w:t> </w:t>
      </w:r>
      <w:r>
        <w:rPr/>
        <w:t>(O’Brien and</w:t>
      </w:r>
      <w:r>
        <w:rPr>
          <w:spacing w:val="-2"/>
        </w:rPr>
        <w:t> </w:t>
      </w:r>
      <w:r>
        <w:rPr/>
        <w:t>Veeh,</w:t>
      </w:r>
      <w:r>
        <w:rPr>
          <w:spacing w:val="-2"/>
        </w:rPr>
        <w:t> </w:t>
      </w:r>
      <w:r>
        <w:rPr/>
        <w:t>1983).</w:t>
      </w:r>
    </w:p>
    <w:p>
      <w:pPr>
        <w:spacing w:after="0" w:line="480" w:lineRule="auto"/>
        <w:sectPr>
          <w:footerReference w:type="default" r:id="rId62"/>
          <w:pgSz w:w="12240" w:h="15840"/>
          <w:pgMar w:footer="1014" w:header="0" w:top="1400" w:bottom="1200" w:left="1320" w:right="820"/>
        </w:sectPr>
      </w:pPr>
    </w:p>
    <w:p>
      <w:pPr>
        <w:pStyle w:val="Heading1"/>
        <w:ind w:right="3506"/>
      </w:pPr>
      <w:r>
        <w:rPr/>
        <w:t>CHAPTER</w:t>
      </w:r>
      <w:r>
        <w:rPr>
          <w:spacing w:val="-2"/>
        </w:rPr>
        <w:t> </w:t>
      </w:r>
      <w:r>
        <w:rPr/>
        <w:t>V</w:t>
      </w:r>
    </w:p>
    <w:p>
      <w:pPr>
        <w:pStyle w:val="BodyText"/>
        <w:rPr>
          <w:b/>
          <w:sz w:val="20"/>
        </w:rPr>
      </w:pPr>
    </w:p>
    <w:p>
      <w:pPr>
        <w:pStyle w:val="Heading2"/>
        <w:numPr>
          <w:ilvl w:val="0"/>
          <w:numId w:val="5"/>
        </w:numPr>
        <w:tabs>
          <w:tab w:pos="363" w:val="left" w:leader="none"/>
        </w:tabs>
        <w:spacing w:line="240" w:lineRule="auto" w:before="209" w:after="0"/>
        <w:ind w:left="362" w:right="0" w:hanging="243"/>
        <w:jc w:val="left"/>
      </w:pPr>
      <w:r>
        <w:rPr/>
        <w:t>Conclusions</w:t>
      </w:r>
    </w:p>
    <w:p>
      <w:pPr>
        <w:pStyle w:val="BodyText"/>
        <w:rPr>
          <w:b/>
        </w:rPr>
      </w:pPr>
    </w:p>
    <w:p>
      <w:pPr>
        <w:pStyle w:val="BodyText"/>
        <w:spacing w:line="480" w:lineRule="auto" w:before="161"/>
        <w:ind w:left="120" w:right="658" w:firstLine="706"/>
      </w:pPr>
      <w:r>
        <w:rPr/>
        <w:t>Based on the correlation of the isorenieratane/paleorenieratane ratio between the</w:t>
      </w:r>
      <w:r>
        <w:rPr>
          <w:spacing w:val="1"/>
        </w:rPr>
        <w:t> </w:t>
      </w:r>
      <w:r>
        <w:rPr/>
        <w:t>LCMS and the GCMS methods, the new faster LCMS method is viable for future</w:t>
      </w:r>
      <w:r>
        <w:rPr>
          <w:spacing w:val="1"/>
        </w:rPr>
        <w:t> </w:t>
      </w:r>
      <w:r>
        <w:rPr/>
        <w:t>characterization. This allows for the faster processing of black shale samples, which will provide</w:t>
      </w:r>
      <w:r>
        <w:rPr>
          <w:spacing w:val="-52"/>
        </w:rPr>
        <w:t> </w:t>
      </w:r>
      <w:r>
        <w:rPr/>
        <w:t>greater resolution for the biomarkers they contain. In addition, the LCMS method detects</w:t>
      </w:r>
      <w:r>
        <w:rPr>
          <w:spacing w:val="1"/>
        </w:rPr>
        <w:t> </w:t>
      </w:r>
      <w:r>
        <w:rPr/>
        <w:t>carotenoids</w:t>
      </w:r>
      <w:r>
        <w:rPr>
          <w:spacing w:val="-2"/>
        </w:rPr>
        <w:t> </w:t>
      </w:r>
      <w:r>
        <w:rPr/>
        <w:t>easier</w:t>
      </w:r>
      <w:r>
        <w:rPr>
          <w:spacing w:val="-2"/>
        </w:rPr>
        <w:t> </w:t>
      </w:r>
      <w:r>
        <w:rPr/>
        <w:t>than</w:t>
      </w:r>
      <w:r>
        <w:rPr>
          <w:spacing w:val="-4"/>
        </w:rPr>
        <w:t> </w:t>
      </w:r>
      <w:r>
        <w:rPr/>
        <w:t>GCMS</w:t>
      </w:r>
      <w:r>
        <w:rPr>
          <w:spacing w:val="-2"/>
        </w:rPr>
        <w:t> </w:t>
      </w:r>
      <w:r>
        <w:rPr/>
        <w:t>without</w:t>
      </w:r>
      <w:r>
        <w:rPr>
          <w:spacing w:val="-2"/>
        </w:rPr>
        <w:t> </w:t>
      </w:r>
      <w:r>
        <w:rPr/>
        <w:t>risking</w:t>
      </w:r>
      <w:r>
        <w:rPr>
          <w:spacing w:val="-4"/>
        </w:rPr>
        <w:t> </w:t>
      </w:r>
      <w:r>
        <w:rPr/>
        <w:t>damage</w:t>
      </w:r>
      <w:r>
        <w:rPr>
          <w:spacing w:val="-2"/>
        </w:rPr>
        <w:t> </w:t>
      </w:r>
      <w:r>
        <w:rPr/>
        <w:t>to the</w:t>
      </w:r>
      <w:r>
        <w:rPr>
          <w:spacing w:val="-2"/>
        </w:rPr>
        <w:t> </w:t>
      </w:r>
      <w:r>
        <w:rPr/>
        <w:t>instrument.</w:t>
      </w:r>
      <w:r>
        <w:rPr>
          <w:spacing w:val="-2"/>
        </w:rPr>
        <w:t> </w:t>
      </w:r>
      <w:r>
        <w:rPr/>
        <w:t>It</w:t>
      </w:r>
      <w:r>
        <w:rPr>
          <w:spacing w:val="-2"/>
        </w:rPr>
        <w:t> </w:t>
      </w:r>
      <w:r>
        <w:rPr/>
        <w:t>thusly</w:t>
      </w:r>
      <w:r>
        <w:rPr>
          <w:spacing w:val="-1"/>
        </w:rPr>
        <w:t> </w:t>
      </w:r>
      <w:r>
        <w:rPr/>
        <w:t>will</w:t>
      </w:r>
      <w:r>
        <w:rPr>
          <w:spacing w:val="-4"/>
        </w:rPr>
        <w:t> </w:t>
      </w:r>
      <w:r>
        <w:rPr/>
        <w:t>provide</w:t>
      </w:r>
      <w:r>
        <w:rPr>
          <w:spacing w:val="-2"/>
        </w:rPr>
        <w:t> </w:t>
      </w:r>
      <w:r>
        <w:rPr/>
        <w:t>a</w:t>
      </w:r>
      <w:r>
        <w:rPr>
          <w:spacing w:val="-51"/>
        </w:rPr>
        <w:t> </w:t>
      </w:r>
      <w:r>
        <w:rPr/>
        <w:t>method to</w:t>
      </w:r>
      <w:r>
        <w:rPr>
          <w:spacing w:val="-2"/>
        </w:rPr>
        <w:t> </w:t>
      </w:r>
      <w:r>
        <w:rPr/>
        <w:t>analyze</w:t>
      </w:r>
      <w:r>
        <w:rPr>
          <w:spacing w:val="-3"/>
        </w:rPr>
        <w:t> </w:t>
      </w:r>
      <w:r>
        <w:rPr/>
        <w:t>polar</w:t>
      </w:r>
      <w:r>
        <w:rPr>
          <w:spacing w:val="-4"/>
        </w:rPr>
        <w:t> </w:t>
      </w:r>
      <w:r>
        <w:rPr/>
        <w:t>biomarkers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previously</w:t>
      </w:r>
      <w:r>
        <w:rPr>
          <w:spacing w:val="-2"/>
        </w:rPr>
        <w:t> </w:t>
      </w:r>
      <w:r>
        <w:rPr/>
        <w:t>were</w:t>
      </w:r>
      <w:r>
        <w:rPr>
          <w:spacing w:val="-2"/>
        </w:rPr>
        <w:t> </w:t>
      </w:r>
      <w:r>
        <w:rPr/>
        <w:t>unable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/>
        <w:t>detected</w:t>
      </w:r>
      <w:r>
        <w:rPr>
          <w:spacing w:val="-2"/>
        </w:rPr>
        <w:t> </w:t>
      </w:r>
      <w:r>
        <w:rPr/>
        <w:t>using</w:t>
      </w:r>
      <w:r>
        <w:rPr>
          <w:spacing w:val="-2"/>
        </w:rPr>
        <w:t> </w:t>
      </w:r>
      <w:r>
        <w:rPr/>
        <w:t>GCMS.</w:t>
      </w:r>
    </w:p>
    <w:p>
      <w:pPr>
        <w:pStyle w:val="BodyText"/>
        <w:spacing w:line="480" w:lineRule="auto" w:before="159"/>
        <w:ind w:left="120" w:right="630" w:firstLine="706"/>
      </w:pPr>
      <w:r>
        <w:rPr/>
        <w:t>The metalloporphyrins provided an interesting and unexpected result. While they have</w:t>
      </w:r>
      <w:r>
        <w:rPr>
          <w:spacing w:val="1"/>
        </w:rPr>
        <w:t> </w:t>
      </w:r>
      <w:r>
        <w:rPr/>
        <w:t>been utilized as a proxy of the water column redox potential and thermal maturity in the past,</w:t>
      </w:r>
      <w:r>
        <w:rPr>
          <w:spacing w:val="1"/>
        </w:rPr>
        <w:t> </w:t>
      </w:r>
      <w:r>
        <w:rPr/>
        <w:t>they were also used as an indicator of primary productivity in this study. They showed that</w:t>
      </w:r>
      <w:r>
        <w:rPr>
          <w:spacing w:val="1"/>
        </w:rPr>
        <w:t> </w:t>
      </w:r>
      <w:r>
        <w:rPr/>
        <w:t>primary productivity increased in the middle of the Middle Woodford Shale and the Upper</w:t>
      </w:r>
      <w:r>
        <w:rPr>
          <w:spacing w:val="1"/>
        </w:rPr>
        <w:t> </w:t>
      </w:r>
      <w:r>
        <w:rPr/>
        <w:t>Woodford Shale. The results were interesting and unexpected when the binding metal species</w:t>
      </w:r>
      <w:r>
        <w:rPr>
          <w:spacing w:val="1"/>
        </w:rPr>
        <w:t> </w:t>
      </w:r>
      <w:r>
        <w:rPr/>
        <w:t>were</w:t>
      </w:r>
      <w:r>
        <w:rPr>
          <w:spacing w:val="-4"/>
        </w:rPr>
        <w:t> </w:t>
      </w:r>
      <w:r>
        <w:rPr/>
        <w:t>analyzed.</w:t>
      </w:r>
      <w:r>
        <w:rPr>
          <w:spacing w:val="-1"/>
        </w:rPr>
        <w:t> </w:t>
      </w:r>
      <w:r>
        <w:rPr/>
        <w:t>Previously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ratio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nickel</w:t>
      </w:r>
      <w:r>
        <w:rPr>
          <w:spacing w:val="-2"/>
        </w:rPr>
        <w:t> </w:t>
      </w:r>
      <w:r>
        <w:rPr/>
        <w:t>and vanadyl</w:t>
      </w:r>
      <w:r>
        <w:rPr>
          <w:spacing w:val="-2"/>
        </w:rPr>
        <w:t> </w:t>
      </w:r>
      <w:r>
        <w:rPr/>
        <w:t>coordinated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porphyrin</w:t>
      </w:r>
      <w:r>
        <w:rPr>
          <w:spacing w:val="-3"/>
        </w:rPr>
        <w:t> </w:t>
      </w:r>
      <w:r>
        <w:rPr/>
        <w:t>has</w:t>
      </w:r>
      <w:r>
        <w:rPr>
          <w:spacing w:val="-3"/>
        </w:rPr>
        <w:t> </w:t>
      </w:r>
      <w:r>
        <w:rPr/>
        <w:t>been</w:t>
      </w:r>
      <w:r>
        <w:rPr>
          <w:spacing w:val="-52"/>
        </w:rPr>
        <w:t> </w:t>
      </w:r>
      <w:r>
        <w:rPr/>
        <w:t>used to indicate the redox potential of the water column. When using this ratio, there was an</w:t>
      </w:r>
      <w:r>
        <w:rPr>
          <w:spacing w:val="1"/>
        </w:rPr>
        <w:t> </w:t>
      </w:r>
      <w:r>
        <w:rPr/>
        <w:t>anomaly in the Middle Woodford Shale that disagreed with other biomarkers such as</w:t>
      </w:r>
      <w:r>
        <w:rPr>
          <w:spacing w:val="1"/>
        </w:rPr>
        <w:t> </w:t>
      </w:r>
      <w:r>
        <w:rPr/>
        <w:t>isorenieratane. This prompted an in-depth look at the ratios of the chelated metals to the</w:t>
      </w:r>
      <w:r>
        <w:rPr>
          <w:spacing w:val="1"/>
        </w:rPr>
        <w:t> </w:t>
      </w:r>
      <w:r>
        <w:rPr/>
        <w:t>different porphyrins. It was found that the porphyrins have an affinity to which metal they</w:t>
      </w:r>
      <w:r>
        <w:rPr>
          <w:spacing w:val="1"/>
        </w:rPr>
        <w:t> </w:t>
      </w:r>
      <w:r>
        <w:rPr/>
        <w:t>coordinate, so the explanation as to why this was seen needed to be found. The most probable</w:t>
      </w:r>
      <w:r>
        <w:rPr>
          <w:spacing w:val="1"/>
        </w:rPr>
        <w:t> </w:t>
      </w:r>
      <w:r>
        <w:rPr/>
        <w:t>explanation is the coordination shape of the metal ions, one being square planar in the plane of</w:t>
      </w:r>
      <w:r>
        <w:rPr>
          <w:spacing w:val="-52"/>
        </w:rPr>
        <w:t> </w:t>
      </w:r>
      <w:r>
        <w:rPr/>
        <w:t>the</w:t>
      </w:r>
      <w:r>
        <w:rPr>
          <w:spacing w:val="-3"/>
        </w:rPr>
        <w:t> </w:t>
      </w:r>
      <w:r>
        <w:rPr/>
        <w:t>ring</w:t>
      </w:r>
      <w:r>
        <w:rPr>
          <w:spacing w:val="-1"/>
        </w:rPr>
        <w:t> </w:t>
      </w:r>
      <w:r>
        <w:rPr/>
        <w:t>and</w:t>
      </w:r>
      <w:r>
        <w:rPr>
          <w:spacing w:val="2"/>
        </w:rPr>
        <w:t> </w:t>
      </w:r>
      <w:r>
        <w:rPr/>
        <w:t>one</w:t>
      </w:r>
      <w:r>
        <w:rPr>
          <w:spacing w:val="-1"/>
        </w:rPr>
        <w:t> </w:t>
      </w:r>
      <w:r>
        <w:rPr/>
        <w:t>being</w:t>
      </w:r>
      <w:r>
        <w:rPr>
          <w:spacing w:val="-4"/>
        </w:rPr>
        <w:t> </w:t>
      </w:r>
      <w:r>
        <w:rPr/>
        <w:t>square</w:t>
      </w:r>
      <w:r>
        <w:rPr>
          <w:spacing w:val="-2"/>
        </w:rPr>
        <w:t> </w:t>
      </w:r>
      <w:r>
        <w:rPr/>
        <w:t>pyramidal</w:t>
      </w:r>
      <w:r>
        <w:rPr>
          <w:spacing w:val="-2"/>
        </w:rPr>
        <w:t> </w:t>
      </w:r>
      <w:r>
        <w:rPr/>
        <w:t>outside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plane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ring,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the rigidity</w:t>
      </w:r>
      <w:r>
        <w:rPr>
          <w:spacing w:val="-2"/>
        </w:rPr>
        <w:t> </w:t>
      </w:r>
      <w:r>
        <w:rPr/>
        <w:t>of</w:t>
      </w:r>
    </w:p>
    <w:p>
      <w:pPr>
        <w:spacing w:after="0" w:line="480" w:lineRule="auto"/>
        <w:sectPr>
          <w:footerReference w:type="default" r:id="rId63"/>
          <w:pgSz w:w="12240" w:h="15840"/>
          <w:pgMar w:footer="1014" w:header="0" w:top="1400" w:bottom="1200" w:left="1320" w:right="820"/>
          <w:pgNumType w:start="1"/>
        </w:sectPr>
      </w:pPr>
    </w:p>
    <w:p>
      <w:pPr>
        <w:pStyle w:val="BodyText"/>
        <w:spacing w:line="480" w:lineRule="auto" w:before="39"/>
        <w:ind w:left="120" w:right="630"/>
      </w:pPr>
      <w:r>
        <w:rPr/>
        <w:t>different porphyrin structures resulting in the difficulty of coordinating the Ni ion to porphyrins</w:t>
      </w:r>
      <w:r>
        <w:rPr>
          <w:spacing w:val="1"/>
        </w:rPr>
        <w:t> </w:t>
      </w:r>
      <w:r>
        <w:rPr/>
        <w:t>other</w:t>
      </w:r>
      <w:r>
        <w:rPr>
          <w:spacing w:val="-2"/>
        </w:rPr>
        <w:t> </w:t>
      </w:r>
      <w:r>
        <w:rPr/>
        <w:t>than</w:t>
      </w:r>
      <w:r>
        <w:rPr>
          <w:spacing w:val="-2"/>
        </w:rPr>
        <w:t> </w:t>
      </w:r>
      <w:r>
        <w:rPr/>
        <w:t>ETIO.</w:t>
      </w:r>
      <w:r>
        <w:rPr>
          <w:spacing w:val="-4"/>
        </w:rPr>
        <w:t> </w:t>
      </w:r>
      <w:r>
        <w:rPr/>
        <w:t>This</w:t>
      </w:r>
      <w:r>
        <w:rPr>
          <w:spacing w:val="-4"/>
        </w:rPr>
        <w:t> </w:t>
      </w:r>
      <w:r>
        <w:rPr/>
        <w:t>bias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also</w:t>
      </w:r>
      <w:r>
        <w:rPr>
          <w:spacing w:val="-2"/>
        </w:rPr>
        <w:t> </w:t>
      </w:r>
      <w:r>
        <w:rPr/>
        <w:t>observed</w:t>
      </w:r>
      <w:r>
        <w:rPr>
          <w:spacing w:val="-2"/>
        </w:rPr>
        <w:t> </w:t>
      </w:r>
      <w:r>
        <w:rPr/>
        <w:t>by</w:t>
      </w:r>
      <w:r>
        <w:rPr>
          <w:spacing w:val="-2"/>
        </w:rPr>
        <w:t> </w:t>
      </w:r>
      <w:r>
        <w:rPr/>
        <w:t>Connock</w:t>
      </w:r>
      <w:r>
        <w:rPr>
          <w:spacing w:val="-2"/>
        </w:rPr>
        <w:t> </w:t>
      </w:r>
      <w:r>
        <w:rPr/>
        <w:t>(2021)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another</w:t>
      </w:r>
      <w:r>
        <w:rPr>
          <w:spacing w:val="-3"/>
        </w:rPr>
        <w:t> </w:t>
      </w:r>
      <w:r>
        <w:rPr/>
        <w:t>black</w:t>
      </w:r>
      <w:r>
        <w:rPr>
          <w:spacing w:val="-2"/>
        </w:rPr>
        <w:t> </w:t>
      </w:r>
      <w:r>
        <w:rPr/>
        <w:t>shale</w:t>
      </w:r>
      <w:r>
        <w:rPr>
          <w:spacing w:val="-1"/>
        </w:rPr>
        <w:t> </w:t>
      </w:r>
      <w:r>
        <w:rPr/>
        <w:t>core</w:t>
      </w:r>
      <w:r>
        <w:rPr>
          <w:spacing w:val="-1"/>
        </w:rPr>
        <w:t> </w:t>
      </w:r>
      <w:r>
        <w:rPr/>
        <w:t>from</w:t>
      </w:r>
      <w:r>
        <w:rPr>
          <w:spacing w:val="-1"/>
        </w:rPr>
        <w:t> </w:t>
      </w:r>
      <w:r>
        <w:rPr/>
        <w:t>a</w:t>
      </w:r>
      <w:r>
        <w:rPr>
          <w:spacing w:val="-52"/>
        </w:rPr>
        <w:t> </w:t>
      </w:r>
      <w:r>
        <w:rPr/>
        <w:t>different time period using the same LCMS method, but has not been reported in previously</w:t>
      </w:r>
      <w:r>
        <w:rPr>
          <w:spacing w:val="1"/>
        </w:rPr>
        <w:t> </w:t>
      </w:r>
      <w:r>
        <w:rPr/>
        <w:t>published studies. This bias might discredit nickel and vanadyl metalloporphyrins from use as a</w:t>
      </w:r>
      <w:r>
        <w:rPr>
          <w:spacing w:val="1"/>
        </w:rPr>
        <w:t> </w:t>
      </w:r>
      <w:r>
        <w:rPr/>
        <w:t>proxy for redox potential in future studies unless more work can be done analyzing the metal</w:t>
      </w:r>
      <w:r>
        <w:rPr>
          <w:spacing w:val="1"/>
        </w:rPr>
        <w:t> </w:t>
      </w:r>
      <w:r>
        <w:rPr/>
        <w:t>porphyrin</w:t>
      </w:r>
      <w:r>
        <w:rPr>
          <w:spacing w:val="-3"/>
        </w:rPr>
        <w:t> </w:t>
      </w:r>
      <w:r>
        <w:rPr/>
        <w:t>chelation</w:t>
      </w:r>
      <w:r>
        <w:rPr>
          <w:spacing w:val="-1"/>
        </w:rPr>
        <w:t> </w:t>
      </w:r>
      <w:r>
        <w:rPr/>
        <w:t>bias</w:t>
      </w:r>
      <w:r>
        <w:rPr>
          <w:spacing w:val="-5"/>
        </w:rPr>
        <w:t> </w:t>
      </w:r>
      <w:r>
        <w:rPr/>
        <w:t>and</w:t>
      </w:r>
      <w:r>
        <w:rPr>
          <w:spacing w:val="3"/>
        </w:rPr>
        <w:t> </w:t>
      </w:r>
      <w:r>
        <w:rPr/>
        <w:t>its</w:t>
      </w:r>
      <w:r>
        <w:rPr>
          <w:spacing w:val="2"/>
        </w:rPr>
        <w:t> </w:t>
      </w:r>
      <w:r>
        <w:rPr/>
        <w:t>implications</w:t>
      </w:r>
      <w:r>
        <w:rPr>
          <w:spacing w:val="-4"/>
        </w:rPr>
        <w:t> </w:t>
      </w:r>
      <w:r>
        <w:rPr/>
        <w:t>for</w:t>
      </w:r>
      <w:r>
        <w:rPr>
          <w:spacing w:val="-3"/>
        </w:rPr>
        <w:t> </w:t>
      </w:r>
      <w:r>
        <w:rPr/>
        <w:t>its</w:t>
      </w:r>
      <w:r>
        <w:rPr>
          <w:spacing w:val="-2"/>
        </w:rPr>
        <w:t> </w:t>
      </w:r>
      <w:r>
        <w:rPr/>
        <w:t>use</w:t>
      </w:r>
      <w:r>
        <w:rPr>
          <w:spacing w:val="-1"/>
        </w:rPr>
        <w:t> </w:t>
      </w:r>
      <w:r>
        <w:rPr/>
        <w:t>as</w:t>
      </w:r>
      <w:r>
        <w:rPr>
          <w:spacing w:val="-3"/>
        </w:rPr>
        <w:t> </w:t>
      </w:r>
      <w:r>
        <w:rPr/>
        <w:t>a</w:t>
      </w:r>
      <w:r>
        <w:rPr>
          <w:spacing w:val="1"/>
        </w:rPr>
        <w:t> </w:t>
      </w:r>
      <w:r>
        <w:rPr/>
        <w:t>biomarker.</w:t>
      </w:r>
    </w:p>
    <w:p>
      <w:pPr>
        <w:pStyle w:val="BodyText"/>
        <w:spacing w:line="480" w:lineRule="auto" w:before="161"/>
        <w:ind w:left="120" w:right="660" w:firstLine="706"/>
      </w:pPr>
      <w:r>
        <w:rPr/>
        <w:t>The novel compound trimethylphytylbenzoquinone (TMPBQ) and</w:t>
      </w:r>
      <w:r>
        <w:rPr>
          <w:spacing w:val="1"/>
        </w:rPr>
        <w:t> </w:t>
      </w:r>
      <w:r>
        <w:rPr/>
        <w:t>methyltrimethyltridecylchromans (MTTCs) strongly correlate to one another in the Woodford</w:t>
      </w:r>
      <w:r>
        <w:rPr>
          <w:spacing w:val="1"/>
        </w:rPr>
        <w:t> </w:t>
      </w:r>
      <w:r>
        <w:rPr/>
        <w:t>Shale, indicating they are likely from the same source. Based on that assessment and the</w:t>
      </w:r>
      <w:r>
        <w:rPr>
          <w:spacing w:val="1"/>
        </w:rPr>
        <w:t> </w:t>
      </w:r>
      <w:r>
        <w:rPr/>
        <w:t>similarity in structure between them, it is likely that the MTTCs are a degradation product of</w:t>
      </w:r>
      <w:r>
        <w:rPr>
          <w:spacing w:val="1"/>
        </w:rPr>
        <w:t> </w:t>
      </w:r>
      <w:r>
        <w:rPr/>
        <w:t>TMPBQ, but a compound-specific isotopic comparison would be needed to confirm this</w:t>
      </w:r>
      <w:r>
        <w:rPr>
          <w:spacing w:val="1"/>
        </w:rPr>
        <w:t> </w:t>
      </w:r>
      <w:r>
        <w:rPr/>
        <w:t>hypothesis. Since TMPBQ is part of the α-tocopherol quinone recycling system, it can be</w:t>
      </w:r>
      <w:r>
        <w:rPr>
          <w:spacing w:val="1"/>
        </w:rPr>
        <w:t> </w:t>
      </w:r>
      <w:r>
        <w:rPr/>
        <w:t>inferred that it relates to environmental stressors. Because of this, it indicates that the</w:t>
      </w:r>
      <w:r>
        <w:rPr>
          <w:spacing w:val="1"/>
        </w:rPr>
        <w:t> </w:t>
      </w:r>
      <w:r>
        <w:rPr/>
        <w:t>chemocline was shallowing in the Middle Woodford Shale, which pushed these phytoplankton</w:t>
      </w:r>
      <w:r>
        <w:rPr>
          <w:spacing w:val="-52"/>
        </w:rPr>
        <w:t> </w:t>
      </w:r>
      <w:r>
        <w:rPr/>
        <w:t>higher in the water column exposing them to more intense light conditions. In the Upper</w:t>
      </w:r>
      <w:r>
        <w:rPr>
          <w:spacing w:val="1"/>
        </w:rPr>
        <w:t> </w:t>
      </w:r>
      <w:r>
        <w:rPr/>
        <w:t>Woodford Shale, the oxygenation of the water column resulted in much larger populations of</w:t>
      </w:r>
      <w:r>
        <w:rPr>
          <w:spacing w:val="1"/>
        </w:rPr>
        <w:t> </w:t>
      </w:r>
      <w:r>
        <w:rPr/>
        <w:t>phytoplankton</w:t>
      </w:r>
      <w:r>
        <w:rPr>
          <w:spacing w:val="-3"/>
        </w:rPr>
        <w:t> </w:t>
      </w:r>
      <w:r>
        <w:rPr/>
        <w:t>resulting</w:t>
      </w:r>
      <w:r>
        <w:rPr>
          <w:spacing w:val="-4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increase</w:t>
      </w:r>
      <w:r>
        <w:rPr>
          <w:spacing w:val="-3"/>
        </w:rPr>
        <w:t> </w:t>
      </w:r>
      <w:r>
        <w:rPr/>
        <w:t>seen</w:t>
      </w:r>
      <w:r>
        <w:rPr>
          <w:spacing w:val="-3"/>
        </w:rPr>
        <w:t> </w:t>
      </w:r>
      <w:r>
        <w:rPr/>
        <w:t>there.</w:t>
      </w:r>
      <w:r>
        <w:rPr>
          <w:spacing w:val="-2"/>
        </w:rPr>
        <w:t> </w:t>
      </w:r>
      <w:r>
        <w:rPr/>
        <w:t>Moreover,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TMPBQ/α-MTTC</w:t>
      </w:r>
      <w:r>
        <w:rPr>
          <w:spacing w:val="-3"/>
        </w:rPr>
        <w:t> </w:t>
      </w:r>
      <w:r>
        <w:rPr/>
        <w:t>ratio</w:t>
      </w:r>
      <w:r>
        <w:rPr>
          <w:spacing w:val="-3"/>
        </w:rPr>
        <w:t> </w:t>
      </w:r>
      <w:r>
        <w:rPr/>
        <w:t>might</w:t>
      </w:r>
      <w:r>
        <w:rPr>
          <w:spacing w:val="-52"/>
        </w:rPr>
        <w:t> </w:t>
      </w:r>
      <w:r>
        <w:rPr/>
        <w:t>help determine the organic matter preservation potential in the water column. Since MTTC is</w:t>
      </w:r>
      <w:r>
        <w:rPr>
          <w:spacing w:val="1"/>
        </w:rPr>
        <w:t> </w:t>
      </w:r>
      <w:r>
        <w:rPr/>
        <w:t>possibly a degradation product of TMPBQ, a high ratio would indicate high preservation, and a</w:t>
      </w:r>
      <w:r>
        <w:rPr>
          <w:spacing w:val="-52"/>
        </w:rPr>
        <w:t> </w:t>
      </w:r>
      <w:r>
        <w:rPr/>
        <w:t>low ratio would be low preservation. It shows that preservation increased in the Middle</w:t>
      </w:r>
      <w:r>
        <w:rPr>
          <w:spacing w:val="1"/>
        </w:rPr>
        <w:t> </w:t>
      </w:r>
      <w:r>
        <w:rPr/>
        <w:t>Woodford Shale coinciding with isorenieratane and then again in the early Upper Woodford</w:t>
      </w:r>
      <w:r>
        <w:rPr>
          <w:spacing w:val="1"/>
        </w:rPr>
        <w:t> </w:t>
      </w:r>
      <w:r>
        <w:rPr/>
        <w:t>Shale.</w:t>
      </w:r>
      <w:r>
        <w:rPr>
          <w:spacing w:val="-3"/>
        </w:rPr>
        <w:t> </w:t>
      </w:r>
      <w:r>
        <w:rPr/>
        <w:t>The TMPBQ</w:t>
      </w:r>
      <w:r>
        <w:rPr>
          <w:spacing w:val="-5"/>
        </w:rPr>
        <w:t> </w:t>
      </w:r>
      <w:r>
        <w:rPr/>
        <w:t>isomer</w:t>
      </w:r>
      <w:r>
        <w:rPr>
          <w:spacing w:val="-3"/>
        </w:rPr>
        <w:t> </w:t>
      </w:r>
      <w:r>
        <w:rPr/>
        <w:t>ratio</w:t>
      </w:r>
      <w:r>
        <w:rPr>
          <w:spacing w:val="1"/>
        </w:rPr>
        <w:t> </w:t>
      </w:r>
      <w:r>
        <w:rPr/>
        <w:t>might</w:t>
      </w:r>
      <w:r>
        <w:rPr>
          <w:spacing w:val="2"/>
        </w:rPr>
        <w:t> </w:t>
      </w:r>
      <w:r>
        <w:rPr/>
        <w:t>indicate</w:t>
      </w:r>
      <w:r>
        <w:rPr>
          <w:spacing w:val="-3"/>
        </w:rPr>
        <w:t> </w:t>
      </w:r>
      <w:r>
        <w:rPr/>
        <w:t>redox conditions,</w:t>
      </w:r>
      <w:r>
        <w:rPr>
          <w:spacing w:val="-2"/>
        </w:rPr>
        <w:t> </w:t>
      </w:r>
      <w:r>
        <w:rPr/>
        <w:t>while</w:t>
      </w:r>
      <w:r>
        <w:rPr>
          <w:spacing w:val="-4"/>
        </w:rPr>
        <w:t> </w:t>
      </w:r>
      <w:r>
        <w:rPr/>
        <w:t>the ratio</w:t>
      </w:r>
      <w:r>
        <w:rPr>
          <w:spacing w:val="1"/>
        </w:rPr>
        <w:t> </w:t>
      </w:r>
      <w:r>
        <w:rPr/>
        <w:t>calculated</w:t>
      </w:r>
    </w:p>
    <w:p>
      <w:pPr>
        <w:spacing w:after="0" w:line="480" w:lineRule="auto"/>
        <w:sectPr>
          <w:pgSz w:w="12240" w:h="15840"/>
          <w:pgMar w:header="0" w:footer="1014" w:top="1400" w:bottom="1200" w:left="1320" w:right="820"/>
        </w:sectPr>
      </w:pPr>
    </w:p>
    <w:p>
      <w:pPr>
        <w:pStyle w:val="BodyText"/>
        <w:spacing w:line="480" w:lineRule="auto" w:before="39"/>
        <w:ind w:left="120" w:right="694"/>
      </w:pPr>
      <w:r>
        <w:rPr/>
        <w:t>tentatively agreed with other redox proxies, the equation and lack of a first peak being</w:t>
      </w:r>
      <w:r>
        <w:rPr>
          <w:spacing w:val="1"/>
        </w:rPr>
        <w:t> </w:t>
      </w:r>
      <w:r>
        <w:rPr/>
        <w:t>detected in many samples resulted in very few data points which means a conclusion on this</w:t>
      </w:r>
      <w:r>
        <w:rPr>
          <w:spacing w:val="1"/>
        </w:rPr>
        <w:t> </w:t>
      </w:r>
      <w:r>
        <w:rPr/>
        <w:t>aspect is tentative at best. The MTTCI ratio showed that salinity remains relatively low in the</w:t>
      </w:r>
      <w:r>
        <w:rPr>
          <w:spacing w:val="1"/>
        </w:rPr>
        <w:t> </w:t>
      </w:r>
      <w:r>
        <w:rPr/>
        <w:t>Lower Woodford Shale and early Middle Woodford Shale. In the late Middle Woodford Shale,</w:t>
      </w:r>
      <w:r>
        <w:rPr>
          <w:spacing w:val="1"/>
        </w:rPr>
        <w:t> </w:t>
      </w:r>
      <w:r>
        <w:rPr/>
        <w:t>the salinity spikes before returning to the previous norm in the early Upper Woodford Shale</w:t>
      </w:r>
      <w:r>
        <w:rPr>
          <w:spacing w:val="1"/>
        </w:rPr>
        <w:t> </w:t>
      </w:r>
      <w:r>
        <w:rPr/>
        <w:t>and</w:t>
      </w:r>
      <w:r>
        <w:rPr>
          <w:spacing w:val="-2"/>
        </w:rPr>
        <w:t> </w:t>
      </w:r>
      <w:r>
        <w:rPr/>
        <w:t>then</w:t>
      </w:r>
      <w:r>
        <w:rPr>
          <w:spacing w:val="1"/>
        </w:rPr>
        <w:t> </w:t>
      </w:r>
      <w:r>
        <w:rPr/>
        <w:t>spiking</w:t>
      </w:r>
      <w:r>
        <w:rPr>
          <w:spacing w:val="-4"/>
        </w:rPr>
        <w:t> </w:t>
      </w:r>
      <w:r>
        <w:rPr/>
        <w:t>again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middle</w:t>
      </w:r>
      <w:r>
        <w:rPr>
          <w:spacing w:val="-4"/>
        </w:rPr>
        <w:t> </w:t>
      </w:r>
      <w:r>
        <w:rPr/>
        <w:t>Upper</w:t>
      </w:r>
      <w:r>
        <w:rPr>
          <w:spacing w:val="1"/>
        </w:rPr>
        <w:t> </w:t>
      </w:r>
      <w:r>
        <w:rPr/>
        <w:t>Woodford</w:t>
      </w:r>
      <w:r>
        <w:rPr>
          <w:spacing w:val="-5"/>
        </w:rPr>
        <w:t> </w:t>
      </w:r>
      <w:r>
        <w:rPr/>
        <w:t>Shale.</w:t>
      </w:r>
      <w:r>
        <w:rPr>
          <w:spacing w:val="-1"/>
        </w:rPr>
        <w:t> </w:t>
      </w:r>
      <w:r>
        <w:rPr/>
        <w:t>The salinity</w:t>
      </w:r>
      <w:r>
        <w:rPr>
          <w:spacing w:val="-1"/>
        </w:rPr>
        <w:t> </w:t>
      </w:r>
      <w:r>
        <w:rPr/>
        <w:t>increase</w:t>
      </w:r>
      <w:r>
        <w:rPr>
          <w:spacing w:val="-3"/>
        </w:rPr>
        <w:t> </w:t>
      </w:r>
      <w:r>
        <w:rPr/>
        <w:t>corresponds</w:t>
      </w:r>
      <w:r>
        <w:rPr>
          <w:spacing w:val="-52"/>
        </w:rPr>
        <w:t> </w:t>
      </w:r>
      <w:r>
        <w:rPr/>
        <w:t>with</w:t>
      </w:r>
      <w:r>
        <w:rPr>
          <w:spacing w:val="-2"/>
        </w:rPr>
        <w:t> </w:t>
      </w:r>
      <w:r>
        <w:rPr/>
        <w:t>the</w:t>
      </w:r>
      <w:r>
        <w:rPr>
          <w:spacing w:val="1"/>
        </w:rPr>
        <w:t> </w:t>
      </w:r>
      <w:r>
        <w:rPr/>
        <w:t>development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HST</w:t>
      </w:r>
      <w:r>
        <w:rPr>
          <w:spacing w:val="-1"/>
        </w:rPr>
        <w:t> </w:t>
      </w:r>
      <w:r>
        <w:rPr/>
        <w:t>and</w:t>
      </w:r>
      <w:r>
        <w:rPr>
          <w:spacing w:val="-3"/>
        </w:rPr>
        <w:t> </w:t>
      </w:r>
      <w:r>
        <w:rPr/>
        <w:t>the</w:t>
      </w:r>
      <w:r>
        <w:rPr>
          <w:spacing w:val="2"/>
        </w:rPr>
        <w:t> </w:t>
      </w:r>
      <w:r>
        <w:rPr/>
        <w:t>significant</w:t>
      </w:r>
      <w:r>
        <w:rPr>
          <w:spacing w:val="-2"/>
        </w:rPr>
        <w:t> </w:t>
      </w:r>
      <w:r>
        <w:rPr/>
        <w:t>decrease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all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biomarkers.</w:t>
      </w:r>
    </w:p>
    <w:p>
      <w:pPr>
        <w:pStyle w:val="BodyText"/>
        <w:spacing w:line="480" w:lineRule="auto" w:before="161"/>
        <w:ind w:left="120" w:right="647" w:firstLine="706"/>
      </w:pPr>
      <w:r>
        <w:rPr/>
        <w:t>Finding the location of the F/F boundary remains uncertain. Using carbon isotope</w:t>
      </w:r>
      <w:r>
        <w:rPr>
          <w:spacing w:val="1"/>
        </w:rPr>
        <w:t> </w:t>
      </w:r>
      <w:r>
        <w:rPr/>
        <w:t>excursions to locate the Kellwasser events suggests that the boundary might be later than</w:t>
      </w:r>
      <w:r>
        <w:rPr>
          <w:spacing w:val="1"/>
        </w:rPr>
        <w:t> </w:t>
      </w:r>
      <w:r>
        <w:rPr/>
        <w:t>previously</w:t>
      </w:r>
      <w:r>
        <w:rPr>
          <w:spacing w:val="-4"/>
        </w:rPr>
        <w:t> </w:t>
      </w:r>
      <w:r>
        <w:rPr/>
        <w:t>proposed.</w:t>
      </w:r>
      <w:r>
        <w:rPr>
          <w:spacing w:val="-2"/>
        </w:rPr>
        <w:t> </w:t>
      </w:r>
      <w:r>
        <w:rPr/>
        <w:t>This,</w:t>
      </w:r>
      <w:r>
        <w:rPr>
          <w:spacing w:val="-2"/>
        </w:rPr>
        <w:t> </w:t>
      </w:r>
      <w:r>
        <w:rPr/>
        <w:t>however,</w:t>
      </w:r>
      <w:r>
        <w:rPr>
          <w:spacing w:val="1"/>
        </w:rPr>
        <w:t> </w:t>
      </w:r>
      <w:r>
        <w:rPr/>
        <w:t>is</w:t>
      </w:r>
      <w:r>
        <w:rPr>
          <w:spacing w:val="-4"/>
        </w:rPr>
        <w:t> </w:t>
      </w:r>
      <w:r>
        <w:rPr/>
        <w:t>not</w:t>
      </w:r>
      <w:r>
        <w:rPr>
          <w:spacing w:val="-2"/>
        </w:rPr>
        <w:t> </w:t>
      </w:r>
      <w:r>
        <w:rPr/>
        <w:t>conclusive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there</w:t>
      </w:r>
      <w:r>
        <w:rPr>
          <w:spacing w:val="-3"/>
        </w:rPr>
        <w:t> </w:t>
      </w:r>
      <w:r>
        <w:rPr/>
        <w:t>were</w:t>
      </w:r>
      <w:r>
        <w:rPr>
          <w:spacing w:val="-3"/>
        </w:rPr>
        <w:t> </w:t>
      </w:r>
      <w:r>
        <w:rPr/>
        <w:t>few</w:t>
      </w:r>
      <w:r>
        <w:rPr>
          <w:spacing w:val="-3"/>
        </w:rPr>
        <w:t> </w:t>
      </w:r>
      <w:r>
        <w:rPr/>
        <w:t>samples</w:t>
      </w:r>
      <w:r>
        <w:rPr>
          <w:spacing w:val="-1"/>
        </w:rPr>
        <w:t> </w:t>
      </w:r>
      <w:r>
        <w:rPr/>
        <w:t>tested,</w:t>
      </w:r>
      <w:r>
        <w:rPr>
          <w:spacing w:val="-2"/>
        </w:rPr>
        <w:t> </w:t>
      </w:r>
      <w:r>
        <w:rPr/>
        <w:t>so</w:t>
      </w:r>
      <w:r>
        <w:rPr>
          <w:spacing w:val="-2"/>
        </w:rPr>
        <w:t> </w:t>
      </w:r>
      <w:r>
        <w:rPr/>
        <w:t>they</w:t>
      </w:r>
      <w:r>
        <w:rPr>
          <w:spacing w:val="-51"/>
        </w:rPr>
        <w:t> </w:t>
      </w:r>
      <w:r>
        <w:rPr/>
        <w:t>were included into the previously found data. Different measurement techniques could have</w:t>
      </w:r>
      <w:r>
        <w:rPr>
          <w:spacing w:val="1"/>
        </w:rPr>
        <w:t> </w:t>
      </w:r>
      <w:r>
        <w:rPr/>
        <w:t>manifested in skewed results. More testing will need to be done to more accurately use our</w:t>
      </w:r>
      <w:r>
        <w:rPr>
          <w:spacing w:val="1"/>
        </w:rPr>
        <w:t> </w:t>
      </w:r>
      <w:r>
        <w:rPr/>
        <w:t>samples with</w:t>
      </w:r>
      <w:r>
        <w:rPr>
          <w:spacing w:val="5"/>
        </w:rPr>
        <w:t> </w:t>
      </w:r>
      <w:r>
        <w:rPr/>
        <w:t>isotope data</w:t>
      </w:r>
      <w:r>
        <w:rPr>
          <w:spacing w:val="1"/>
        </w:rPr>
        <w:t> </w:t>
      </w:r>
      <w:r>
        <w:rPr/>
        <w:t>to find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boundaries.</w:t>
      </w:r>
      <w:r>
        <w:rPr>
          <w:spacing w:val="1"/>
        </w:rPr>
        <w:t> </w:t>
      </w:r>
      <w:r>
        <w:rPr/>
        <w:t>Biomarker</w:t>
      </w:r>
      <w:r>
        <w:rPr>
          <w:spacing w:val="5"/>
        </w:rPr>
        <w:t> </w:t>
      </w:r>
      <w:r>
        <w:rPr/>
        <w:t>results</w:t>
      </w:r>
      <w:r>
        <w:rPr>
          <w:spacing w:val="-2"/>
        </w:rPr>
        <w:t> </w:t>
      </w:r>
      <w:r>
        <w:rPr/>
        <w:t>found in this</w:t>
      </w:r>
      <w:r>
        <w:rPr>
          <w:spacing w:val="-1"/>
        </w:rPr>
        <w:t> </w:t>
      </w:r>
      <w:r>
        <w:rPr/>
        <w:t>study</w:t>
      </w:r>
      <w:r>
        <w:rPr>
          <w:spacing w:val="4"/>
        </w:rPr>
        <w:t> </w:t>
      </w:r>
      <w:r>
        <w:rPr/>
        <w:t>do</w:t>
      </w:r>
      <w:r>
        <w:rPr>
          <w:spacing w:val="1"/>
        </w:rPr>
        <w:t> </w:t>
      </w:r>
      <w:r>
        <w:rPr/>
        <w:t>seem to agree with the isotope data and boundary locations reported by Molinares-Blanco</w:t>
      </w:r>
      <w:r>
        <w:rPr>
          <w:spacing w:val="1"/>
        </w:rPr>
        <w:t> </w:t>
      </w:r>
      <w:r>
        <w:rPr/>
        <w:t>(2019).</w:t>
      </w:r>
      <w:r>
        <w:rPr>
          <w:spacing w:val="-3"/>
        </w:rPr>
        <w:t> </w:t>
      </w:r>
      <w:r>
        <w:rPr/>
        <w:t>Molinares-Blanco</w:t>
      </w:r>
      <w:r>
        <w:rPr>
          <w:spacing w:val="-1"/>
        </w:rPr>
        <w:t> </w:t>
      </w:r>
      <w:r>
        <w:rPr/>
        <w:t>(2019)</w:t>
      </w:r>
      <w:r>
        <w:rPr>
          <w:spacing w:val="-1"/>
        </w:rPr>
        <w:t> </w:t>
      </w:r>
      <w:r>
        <w:rPr/>
        <w:t>stated that</w:t>
      </w:r>
      <w:r>
        <w:rPr>
          <w:spacing w:val="1"/>
        </w:rPr>
        <w:t> </w:t>
      </w:r>
      <w:r>
        <w:rPr/>
        <w:t>the boundary is</w:t>
      </w:r>
      <w:r>
        <w:rPr>
          <w:spacing w:val="3"/>
        </w:rPr>
        <w:t> </w:t>
      </w:r>
      <w:r>
        <w:rPr/>
        <w:t>around</w:t>
      </w:r>
      <w:r>
        <w:rPr>
          <w:spacing w:val="2"/>
        </w:rPr>
        <w:t> </w:t>
      </w:r>
      <w:r>
        <w:rPr/>
        <w:t>130 ft</w:t>
      </w:r>
      <w:r>
        <w:rPr>
          <w:spacing w:val="1"/>
        </w:rPr>
        <w:t> </w:t>
      </w:r>
      <w:r>
        <w:rPr/>
        <w:t>which corresponds</w:t>
      </w:r>
      <w:r>
        <w:rPr>
          <w:spacing w:val="1"/>
        </w:rPr>
        <w:t> </w:t>
      </w:r>
      <w:r>
        <w:rPr/>
        <w:t>to when all measured biomarkers decrease in abundance. The D/C boundary is the top of the</w:t>
      </w:r>
      <w:r>
        <w:rPr>
          <w:spacing w:val="1"/>
        </w:rPr>
        <w:t> </w:t>
      </w:r>
      <w:r>
        <w:rPr/>
        <w:t>Woodford Shale, which seems to agree with the isotope data indicating a positive excursion at</w:t>
      </w:r>
      <w:r>
        <w:rPr>
          <w:spacing w:val="1"/>
        </w:rPr>
        <w:t> </w:t>
      </w:r>
      <w:r>
        <w:rPr/>
        <w:t>the</w:t>
      </w:r>
      <w:r>
        <w:rPr>
          <w:spacing w:val="-3"/>
        </w:rPr>
        <w:t> </w:t>
      </w:r>
      <w:r>
        <w:rPr/>
        <w:t>Woodford</w:t>
      </w:r>
      <w:r>
        <w:rPr>
          <w:spacing w:val="3"/>
        </w:rPr>
        <w:t> </w:t>
      </w:r>
      <w:r>
        <w:rPr/>
        <w:t>Shale</w:t>
      </w:r>
      <w:r>
        <w:rPr>
          <w:spacing w:val="-2"/>
        </w:rPr>
        <w:t> </w:t>
      </w:r>
      <w:r>
        <w:rPr/>
        <w:t>top.</w:t>
      </w:r>
    </w:p>
    <w:p>
      <w:pPr>
        <w:pStyle w:val="BodyText"/>
        <w:spacing w:line="480" w:lineRule="auto" w:before="152"/>
        <w:ind w:left="120" w:right="660" w:firstLine="706"/>
      </w:pPr>
      <w:r>
        <w:rPr/>
        <w:t>The stagnant circulation model best describes the environment of deposition. If there</w:t>
      </w:r>
      <w:r>
        <w:rPr>
          <w:spacing w:val="1"/>
        </w:rPr>
        <w:t> </w:t>
      </w:r>
      <w:r>
        <w:rPr/>
        <w:t>were upwelling occurring, there would be a lack of isorenieratane and paleorenieratane since</w:t>
      </w:r>
      <w:r>
        <w:rPr>
          <w:spacing w:val="1"/>
        </w:rPr>
        <w:t> </w:t>
      </w:r>
      <w:r>
        <w:rPr/>
        <w:t>modern</w:t>
      </w:r>
      <w:r>
        <w:rPr>
          <w:spacing w:val="1"/>
        </w:rPr>
        <w:t> </w:t>
      </w:r>
      <w:r>
        <w:rPr/>
        <w:t>analogs</w:t>
      </w:r>
      <w:r>
        <w:rPr>
          <w:spacing w:val="-6"/>
        </w:rPr>
        <w:t> </w:t>
      </w:r>
      <w:r>
        <w:rPr/>
        <w:t>do</w:t>
      </w:r>
      <w:r>
        <w:rPr>
          <w:spacing w:val="-3"/>
        </w:rPr>
        <w:t> </w:t>
      </w:r>
      <w:r>
        <w:rPr/>
        <w:t>not</w:t>
      </w:r>
      <w:r>
        <w:rPr>
          <w:spacing w:val="1"/>
        </w:rPr>
        <w:t> </w:t>
      </w:r>
      <w:r>
        <w:rPr/>
        <w:t>contain</w:t>
      </w:r>
      <w:r>
        <w:rPr>
          <w:spacing w:val="-2"/>
        </w:rPr>
        <w:t> </w:t>
      </w:r>
      <w:r>
        <w:rPr/>
        <w:t>GSB.</w:t>
      </w:r>
      <w:r>
        <w:rPr>
          <w:spacing w:val="-4"/>
        </w:rPr>
        <w:t> </w:t>
      </w:r>
      <w:r>
        <w:rPr/>
        <w:t>Stagnant</w:t>
      </w:r>
      <w:r>
        <w:rPr>
          <w:spacing w:val="-2"/>
        </w:rPr>
        <w:t> </w:t>
      </w:r>
      <w:r>
        <w:rPr/>
        <w:t>waters,</w:t>
      </w:r>
      <w:r>
        <w:rPr>
          <w:spacing w:val="-4"/>
        </w:rPr>
        <w:t> </w:t>
      </w:r>
      <w:r>
        <w:rPr/>
        <w:t>however,</w:t>
      </w:r>
      <w:r>
        <w:rPr>
          <w:spacing w:val="-2"/>
        </w:rPr>
        <w:t> </w:t>
      </w:r>
      <w:r>
        <w:rPr/>
        <w:t>would</w:t>
      </w:r>
      <w:r>
        <w:rPr>
          <w:spacing w:val="-4"/>
        </w:rPr>
        <w:t> </w:t>
      </w:r>
      <w:r>
        <w:rPr/>
        <w:t>allow</w:t>
      </w:r>
      <w:r>
        <w:rPr>
          <w:spacing w:val="1"/>
        </w:rPr>
        <w:t> </w:t>
      </w:r>
      <w:r>
        <w:rPr/>
        <w:t>for GSB</w:t>
      </w:r>
      <w:r>
        <w:rPr>
          <w:spacing w:val="-3"/>
        </w:rPr>
        <w:t> </w:t>
      </w:r>
      <w:r>
        <w:rPr/>
        <w:t>to</w:t>
      </w:r>
      <w:r>
        <w:rPr>
          <w:spacing w:val="-4"/>
        </w:rPr>
        <w:t> </w:t>
      </w:r>
      <w:r>
        <w:rPr/>
        <w:t>remain</w:t>
      </w:r>
      <w:r>
        <w:rPr>
          <w:spacing w:val="-51"/>
        </w:rPr>
        <w:t> </w:t>
      </w:r>
      <w:r>
        <w:rPr/>
        <w:t>undisturbed</w:t>
      </w:r>
      <w:r>
        <w:rPr>
          <w:spacing w:val="1"/>
        </w:rPr>
        <w:t> </w:t>
      </w:r>
      <w:r>
        <w:rPr/>
        <w:t>and</w:t>
      </w:r>
      <w:r>
        <w:rPr>
          <w:spacing w:val="-1"/>
        </w:rPr>
        <w:t> </w:t>
      </w:r>
      <w:r>
        <w:rPr/>
        <w:t>provide</w:t>
      </w:r>
      <w:r>
        <w:rPr>
          <w:spacing w:val="-3"/>
        </w:rPr>
        <w:t> </w:t>
      </w:r>
      <w:r>
        <w:rPr/>
        <w:t>sustained</w:t>
      </w:r>
      <w:r>
        <w:rPr>
          <w:spacing w:val="-3"/>
        </w:rPr>
        <w:t> </w:t>
      </w:r>
      <w:r>
        <w:rPr/>
        <w:t>strong</w:t>
      </w:r>
      <w:r>
        <w:rPr>
          <w:spacing w:val="-2"/>
        </w:rPr>
        <w:t> </w:t>
      </w:r>
      <w:r>
        <w:rPr/>
        <w:t>stratification required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GSB</w:t>
      </w:r>
      <w:r>
        <w:rPr>
          <w:spacing w:val="-5"/>
        </w:rPr>
        <w:t> </w:t>
      </w:r>
      <w:r>
        <w:rPr/>
        <w:t>to</w:t>
      </w:r>
      <w:r>
        <w:rPr>
          <w:spacing w:val="2"/>
        </w:rPr>
        <w:t> </w:t>
      </w:r>
      <w:r>
        <w:rPr/>
        <w:t>proliferate.</w:t>
      </w:r>
      <w:r>
        <w:rPr>
          <w:spacing w:val="-5"/>
        </w:rPr>
        <w:t> </w:t>
      </w:r>
      <w:r>
        <w:rPr/>
        <w:t>The</w:t>
      </w:r>
    </w:p>
    <w:p>
      <w:pPr>
        <w:spacing w:after="0" w:line="480" w:lineRule="auto"/>
        <w:sectPr>
          <w:pgSz w:w="12240" w:h="15840"/>
          <w:pgMar w:header="0" w:footer="1014" w:top="1400" w:bottom="1200" w:left="1320" w:right="820"/>
        </w:sectPr>
      </w:pPr>
    </w:p>
    <w:p>
      <w:pPr>
        <w:pStyle w:val="BodyText"/>
        <w:spacing w:line="480" w:lineRule="auto" w:before="39"/>
        <w:ind w:left="120" w:right="694"/>
      </w:pPr>
      <w:r>
        <w:rPr/>
        <w:t>Lower Woodford Shale has episodic PZA evidenced by the fluctuation in carotenoid</w:t>
      </w:r>
      <w:r>
        <w:rPr>
          <w:spacing w:val="1"/>
        </w:rPr>
        <w:t> </w:t>
      </w:r>
      <w:r>
        <w:rPr/>
        <w:t>concentrations with fluctuating oxygenation and low primary productivity. The Middle</w:t>
      </w:r>
      <w:r>
        <w:rPr>
          <w:spacing w:val="1"/>
        </w:rPr>
        <w:t> </w:t>
      </w:r>
      <w:r>
        <w:rPr/>
        <w:t>Woodford Shale begins with having mixed bottom waters with little to no PZE but becomes</w:t>
      </w:r>
      <w:r>
        <w:rPr>
          <w:spacing w:val="1"/>
        </w:rPr>
        <w:t> </w:t>
      </w:r>
      <w:r>
        <w:rPr/>
        <w:t>anoxic as time progresses. Eventually, there is sustained PZE where GSB grows in abundance,</w:t>
      </w:r>
      <w:r>
        <w:rPr>
          <w:spacing w:val="1"/>
        </w:rPr>
        <w:t> </w:t>
      </w:r>
      <w:r>
        <w:rPr/>
        <w:t>corresponding with a regressive hemicycle. Primary productivity seems to be high during the</w:t>
      </w:r>
      <w:r>
        <w:rPr>
          <w:spacing w:val="1"/>
        </w:rPr>
        <w:t> </w:t>
      </w:r>
      <w:r>
        <w:rPr/>
        <w:t>sustained PZE, but this might be due to the enhanced OM preservation potential of anoxic</w:t>
      </w:r>
      <w:r>
        <w:rPr>
          <w:spacing w:val="1"/>
        </w:rPr>
        <w:t> </w:t>
      </w:r>
      <w:r>
        <w:rPr/>
        <w:t>environments. The Upper Woodford Shale experienced an oxygenation increase and</w:t>
      </w:r>
      <w:r>
        <w:rPr>
          <w:spacing w:val="1"/>
        </w:rPr>
        <w:t> </w:t>
      </w:r>
      <w:r>
        <w:rPr/>
        <w:t>stratification decrease. A general regressive hemicycle characterizes the Upper Woodford</w:t>
      </w:r>
      <w:r>
        <w:rPr>
          <w:spacing w:val="1"/>
        </w:rPr>
        <w:t> </w:t>
      </w:r>
      <w:r>
        <w:rPr/>
        <w:t>Shale, but unlike in the Middle Woodford Shale, it does not correspond to anoxia and water</w:t>
      </w:r>
      <w:r>
        <w:rPr>
          <w:spacing w:val="1"/>
        </w:rPr>
        <w:t> </w:t>
      </w:r>
      <w:r>
        <w:rPr/>
        <w:t>column</w:t>
      </w:r>
      <w:r>
        <w:rPr>
          <w:spacing w:val="-4"/>
        </w:rPr>
        <w:t> </w:t>
      </w:r>
      <w:r>
        <w:rPr/>
        <w:t>stratification.</w:t>
      </w:r>
      <w:r>
        <w:rPr>
          <w:spacing w:val="-4"/>
        </w:rPr>
        <w:t> </w:t>
      </w:r>
      <w:r>
        <w:rPr/>
        <w:t>Primary</w:t>
      </w:r>
      <w:r>
        <w:rPr>
          <w:spacing w:val="-3"/>
        </w:rPr>
        <w:t> </w:t>
      </w:r>
      <w:r>
        <w:rPr/>
        <w:t>productivity</w:t>
      </w:r>
      <w:r>
        <w:rPr>
          <w:spacing w:val="-2"/>
        </w:rPr>
        <w:t> </w:t>
      </w:r>
      <w:r>
        <w:rPr/>
        <w:t>significantly</w:t>
      </w:r>
      <w:r>
        <w:rPr>
          <w:spacing w:val="-3"/>
        </w:rPr>
        <w:t> </w:t>
      </w:r>
      <w:r>
        <w:rPr/>
        <w:t>increases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Upper</w:t>
      </w:r>
      <w:r>
        <w:rPr>
          <w:spacing w:val="-5"/>
        </w:rPr>
        <w:t> </w:t>
      </w:r>
      <w:r>
        <w:rPr/>
        <w:t>Woodford Shale,</w:t>
      </w:r>
      <w:r>
        <w:rPr>
          <w:spacing w:val="-51"/>
        </w:rPr>
        <w:t> </w:t>
      </w:r>
      <w:r>
        <w:rPr/>
        <w:t>but</w:t>
      </w:r>
      <w:r>
        <w:rPr>
          <w:spacing w:val="-3"/>
        </w:rPr>
        <w:t> </w:t>
      </w:r>
      <w:r>
        <w:rPr/>
        <w:t>isorenieratane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paleorenieratane</w:t>
      </w:r>
      <w:r>
        <w:rPr>
          <w:spacing w:val="-2"/>
        </w:rPr>
        <w:t> </w:t>
      </w:r>
      <w:r>
        <w:rPr/>
        <w:t>remain</w:t>
      </w:r>
      <w:r>
        <w:rPr>
          <w:spacing w:val="3"/>
        </w:rPr>
        <w:t> </w:t>
      </w:r>
      <w:r>
        <w:rPr/>
        <w:t>low.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"/>
        <w:rPr>
          <w:sz w:val="28"/>
        </w:rPr>
      </w:pPr>
    </w:p>
    <w:p>
      <w:pPr>
        <w:pStyle w:val="Heading1"/>
        <w:spacing w:before="0"/>
        <w:ind w:right="3508"/>
      </w:pPr>
      <w:r>
        <w:rPr/>
        <w:t>FUTURE</w:t>
      </w:r>
      <w:r>
        <w:rPr>
          <w:spacing w:val="-1"/>
        </w:rPr>
        <w:t> </w:t>
      </w:r>
      <w:r>
        <w:rPr/>
        <w:t>WORK</w:t>
      </w:r>
    </w:p>
    <w:p>
      <w:pPr>
        <w:pStyle w:val="BodyText"/>
        <w:rPr>
          <w:b/>
        </w:rPr>
      </w:pPr>
    </w:p>
    <w:p>
      <w:pPr>
        <w:pStyle w:val="ListParagraph"/>
        <w:numPr>
          <w:ilvl w:val="0"/>
          <w:numId w:val="7"/>
        </w:numPr>
        <w:tabs>
          <w:tab w:pos="840" w:val="left" w:leader="none"/>
        </w:tabs>
        <w:spacing w:line="480" w:lineRule="auto" w:before="158" w:after="0"/>
        <w:ind w:left="840" w:right="770" w:hanging="360"/>
        <w:jc w:val="left"/>
        <w:rPr>
          <w:sz w:val="24"/>
        </w:rPr>
      </w:pPr>
      <w:r>
        <w:rPr>
          <w:sz w:val="24"/>
        </w:rPr>
        <w:t>Investigate the bias in formation between VO and Ni porphyrins. The bias found in this</w:t>
      </w:r>
      <w:r>
        <w:rPr>
          <w:spacing w:val="1"/>
          <w:sz w:val="24"/>
        </w:rPr>
        <w:t> </w:t>
      </w:r>
      <w:r>
        <w:rPr>
          <w:sz w:val="24"/>
        </w:rPr>
        <w:t>study between the metalloporphyrins might exclude them from future utilization</w:t>
      </w:r>
      <w:r>
        <w:rPr>
          <w:spacing w:val="1"/>
          <w:sz w:val="24"/>
        </w:rPr>
        <w:t> </w:t>
      </w:r>
      <w:r>
        <w:rPr>
          <w:sz w:val="24"/>
        </w:rPr>
        <w:t>without</w:t>
      </w:r>
      <w:r>
        <w:rPr>
          <w:spacing w:val="-1"/>
          <w:sz w:val="24"/>
        </w:rPr>
        <w:t> </w:t>
      </w:r>
      <w:r>
        <w:rPr>
          <w:sz w:val="24"/>
        </w:rPr>
        <w:t>further</w:t>
      </w:r>
      <w:r>
        <w:rPr>
          <w:spacing w:val="-3"/>
          <w:sz w:val="24"/>
        </w:rPr>
        <w:t> </w:t>
      </w:r>
      <w:r>
        <w:rPr>
          <w:sz w:val="24"/>
        </w:rPr>
        <w:t>investigation</w:t>
      </w:r>
      <w:r>
        <w:rPr>
          <w:spacing w:val="-3"/>
          <w:sz w:val="24"/>
        </w:rPr>
        <w:t> </w:t>
      </w:r>
      <w:r>
        <w:rPr>
          <w:sz w:val="24"/>
        </w:rPr>
        <w:t>on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mechanism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metal</w:t>
      </w:r>
      <w:r>
        <w:rPr>
          <w:spacing w:val="-3"/>
          <w:sz w:val="24"/>
        </w:rPr>
        <w:t> </w:t>
      </w:r>
      <w:r>
        <w:rPr>
          <w:sz w:val="24"/>
        </w:rPr>
        <w:t>chelation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fossil</w:t>
      </w:r>
      <w:r>
        <w:rPr>
          <w:spacing w:val="-4"/>
          <w:sz w:val="24"/>
        </w:rPr>
        <w:t> </w:t>
      </w:r>
      <w:r>
        <w:rPr>
          <w:sz w:val="24"/>
        </w:rPr>
        <w:t>porphyrins.</w:t>
      </w:r>
      <w:r>
        <w:rPr>
          <w:spacing w:val="-51"/>
          <w:sz w:val="24"/>
        </w:rPr>
        <w:t> </w:t>
      </w:r>
      <w:r>
        <w:rPr>
          <w:sz w:val="24"/>
        </w:rPr>
        <w:t>Getting standards of free porphyrins and under laboratory conditions testing their</w:t>
      </w:r>
      <w:r>
        <w:rPr>
          <w:spacing w:val="1"/>
          <w:sz w:val="24"/>
        </w:rPr>
        <w:t> </w:t>
      </w:r>
      <w:r>
        <w:rPr>
          <w:sz w:val="24"/>
        </w:rPr>
        <w:t>coordination with the metals should provide insight into what causes this bias. X-ray</w:t>
      </w:r>
      <w:r>
        <w:rPr>
          <w:spacing w:val="1"/>
          <w:sz w:val="24"/>
        </w:rPr>
        <w:t> </w:t>
      </w:r>
      <w:r>
        <w:rPr>
          <w:sz w:val="24"/>
        </w:rPr>
        <w:t>crystallography</w:t>
      </w:r>
      <w:r>
        <w:rPr>
          <w:spacing w:val="-3"/>
          <w:sz w:val="24"/>
        </w:rPr>
        <w:t> </w:t>
      </w:r>
      <w:r>
        <w:rPr>
          <w:sz w:val="24"/>
        </w:rPr>
        <w:t>can</w:t>
      </w:r>
      <w:r>
        <w:rPr>
          <w:spacing w:val="-2"/>
          <w:sz w:val="24"/>
        </w:rPr>
        <w:t> </w:t>
      </w:r>
      <w:r>
        <w:rPr>
          <w:sz w:val="24"/>
        </w:rPr>
        <w:t>also</w:t>
      </w:r>
      <w:r>
        <w:rPr>
          <w:spacing w:val="-2"/>
          <w:sz w:val="24"/>
        </w:rPr>
        <w:t> </w:t>
      </w:r>
      <w:r>
        <w:rPr>
          <w:sz w:val="24"/>
        </w:rPr>
        <w:t>be used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show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3D</w:t>
      </w:r>
      <w:r>
        <w:rPr>
          <w:spacing w:val="-2"/>
          <w:sz w:val="24"/>
        </w:rPr>
        <w:t> </w:t>
      </w:r>
      <w:r>
        <w:rPr>
          <w:sz w:val="24"/>
        </w:rPr>
        <w:t>structure of</w:t>
      </w:r>
      <w:r>
        <w:rPr>
          <w:spacing w:val="-2"/>
          <w:sz w:val="24"/>
        </w:rPr>
        <w:t> </w:t>
      </w:r>
      <w:r>
        <w:rPr>
          <w:sz w:val="24"/>
        </w:rPr>
        <w:t>these</w:t>
      </w:r>
      <w:r>
        <w:rPr>
          <w:spacing w:val="-2"/>
          <w:sz w:val="24"/>
        </w:rPr>
        <w:t> </w:t>
      </w:r>
      <w:r>
        <w:rPr>
          <w:sz w:val="24"/>
        </w:rPr>
        <w:t>metalloporphyrins</w:t>
      </w:r>
    </w:p>
    <w:p>
      <w:pPr>
        <w:spacing w:after="0" w:line="480" w:lineRule="auto"/>
        <w:jc w:val="left"/>
        <w:rPr>
          <w:sz w:val="24"/>
        </w:rPr>
        <w:sectPr>
          <w:pgSz w:w="12240" w:h="15840"/>
          <w:pgMar w:header="0" w:footer="1014" w:top="1400" w:bottom="1200" w:left="1320" w:right="820"/>
        </w:sectPr>
      </w:pPr>
    </w:p>
    <w:p>
      <w:pPr>
        <w:pStyle w:val="BodyText"/>
        <w:spacing w:line="480" w:lineRule="auto" w:before="39"/>
        <w:ind w:left="840" w:right="660"/>
      </w:pPr>
      <w:r>
        <w:rPr/>
        <w:t>which</w:t>
      </w:r>
      <w:r>
        <w:rPr>
          <w:spacing w:val="-3"/>
        </w:rPr>
        <w:t> </w:t>
      </w:r>
      <w:r>
        <w:rPr/>
        <w:t>might</w:t>
      </w:r>
      <w:r>
        <w:rPr>
          <w:spacing w:val="-2"/>
        </w:rPr>
        <w:t> </w:t>
      </w:r>
      <w:r>
        <w:rPr/>
        <w:t>further</w:t>
      </w:r>
      <w:r>
        <w:rPr>
          <w:spacing w:val="-4"/>
        </w:rPr>
        <w:t> </w:t>
      </w:r>
      <w:r>
        <w:rPr/>
        <w:t>offer</w:t>
      </w:r>
      <w:r>
        <w:rPr>
          <w:spacing w:val="-2"/>
        </w:rPr>
        <w:t> </w:t>
      </w:r>
      <w:r>
        <w:rPr/>
        <w:t>an</w:t>
      </w:r>
      <w:r>
        <w:rPr>
          <w:spacing w:val="-3"/>
        </w:rPr>
        <w:t> </w:t>
      </w:r>
      <w:r>
        <w:rPr/>
        <w:t>explanation</w:t>
      </w:r>
      <w:r>
        <w:rPr>
          <w:spacing w:val="2"/>
        </w:rPr>
        <w:t> </w:t>
      </w:r>
      <w:r>
        <w:rPr/>
        <w:t>as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the</w:t>
      </w:r>
      <w:r>
        <w:rPr>
          <w:spacing w:val="2"/>
        </w:rPr>
        <w:t> </w:t>
      </w:r>
      <w:r>
        <w:rPr/>
        <w:t>cause</w:t>
      </w:r>
      <w:r>
        <w:rPr>
          <w:spacing w:val="-3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-3"/>
        </w:rPr>
        <w:t> </w:t>
      </w:r>
      <w:r>
        <w:rPr/>
        <w:t>bias.</w:t>
      </w:r>
      <w:r>
        <w:rPr>
          <w:spacing w:val="-3"/>
        </w:rPr>
        <w:t> </w:t>
      </w:r>
      <w:r>
        <w:rPr/>
        <w:t>Another</w:t>
      </w:r>
      <w:r>
        <w:rPr>
          <w:spacing w:val="-2"/>
        </w:rPr>
        <w:t> </w:t>
      </w:r>
      <w:r>
        <w:rPr/>
        <w:t>structural</w:t>
      </w:r>
      <w:r>
        <w:rPr>
          <w:spacing w:val="-51"/>
        </w:rPr>
        <w:t> </w:t>
      </w:r>
      <w:r>
        <w:rPr/>
        <w:t>characterization method that could be used would be Non-contact Atomic Force</w:t>
      </w:r>
      <w:r>
        <w:rPr>
          <w:spacing w:val="1"/>
        </w:rPr>
        <w:t> </w:t>
      </w:r>
      <w:r>
        <w:rPr/>
        <w:t>Microscopy</w:t>
      </w:r>
      <w:r>
        <w:rPr>
          <w:spacing w:val="-3"/>
        </w:rPr>
        <w:t> </w:t>
      </w:r>
      <w:r>
        <w:rPr/>
        <w:t>similar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one</w:t>
      </w:r>
      <w:r>
        <w:rPr>
          <w:spacing w:val="-1"/>
        </w:rPr>
        <w:t> </w:t>
      </w:r>
      <w:r>
        <w:rPr/>
        <w:t>used</w:t>
      </w:r>
      <w:r>
        <w:rPr>
          <w:spacing w:val="3"/>
        </w:rPr>
        <w:t> </w:t>
      </w:r>
      <w:r>
        <w:rPr/>
        <w:t>in</w:t>
      </w:r>
      <w:r>
        <w:rPr>
          <w:spacing w:val="-2"/>
        </w:rPr>
        <w:t> </w:t>
      </w:r>
      <w:r>
        <w:rPr/>
        <w:t>Zhang</w:t>
      </w:r>
      <w:r>
        <w:rPr>
          <w:spacing w:val="-1"/>
        </w:rPr>
        <w:t> </w:t>
      </w:r>
      <w:r>
        <w:rPr/>
        <w:t>et.</w:t>
      </w:r>
      <w:r>
        <w:rPr>
          <w:spacing w:val="1"/>
        </w:rPr>
        <w:t> </w:t>
      </w:r>
      <w:r>
        <w:rPr/>
        <w:t>al</w:t>
      </w:r>
      <w:r>
        <w:rPr>
          <w:spacing w:val="-1"/>
        </w:rPr>
        <w:t> </w:t>
      </w:r>
      <w:r>
        <w:rPr/>
        <w:t>(2019).</w:t>
      </w:r>
    </w:p>
    <w:p>
      <w:pPr>
        <w:pStyle w:val="ListParagraph"/>
        <w:numPr>
          <w:ilvl w:val="0"/>
          <w:numId w:val="7"/>
        </w:numPr>
        <w:tabs>
          <w:tab w:pos="840" w:val="left" w:leader="none"/>
        </w:tabs>
        <w:spacing w:line="480" w:lineRule="auto" w:before="0" w:after="0"/>
        <w:ind w:left="840" w:right="632" w:hanging="360"/>
        <w:jc w:val="left"/>
        <w:rPr>
          <w:sz w:val="24"/>
        </w:rPr>
      </w:pPr>
      <w:r>
        <w:rPr>
          <w:sz w:val="24"/>
        </w:rPr>
        <w:t>Test if GSB can survive in sulfide conditions low enough that would allow for Ni to be</w:t>
      </w:r>
      <w:r>
        <w:rPr>
          <w:spacing w:val="1"/>
          <w:sz w:val="24"/>
        </w:rPr>
        <w:t> </w:t>
      </w:r>
      <w:r>
        <w:rPr>
          <w:sz w:val="24"/>
        </w:rPr>
        <w:t>present</w:t>
      </w:r>
      <w:r>
        <w:rPr>
          <w:spacing w:val="1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large</w:t>
      </w:r>
      <w:r>
        <w:rPr>
          <w:spacing w:val="-3"/>
          <w:sz w:val="24"/>
        </w:rPr>
        <w:t> </w:t>
      </w:r>
      <w:r>
        <w:rPr>
          <w:sz w:val="24"/>
        </w:rPr>
        <w:t>enough</w:t>
      </w:r>
      <w:r>
        <w:rPr>
          <w:spacing w:val="-4"/>
          <w:sz w:val="24"/>
        </w:rPr>
        <w:t> </w:t>
      </w:r>
      <w:r>
        <w:rPr>
          <w:sz w:val="24"/>
        </w:rPr>
        <w:t>concentrations</w:t>
      </w:r>
      <w:r>
        <w:rPr>
          <w:spacing w:val="-3"/>
          <w:sz w:val="24"/>
        </w:rPr>
        <w:t> </w:t>
      </w:r>
      <w:r>
        <w:rPr>
          <w:sz w:val="24"/>
        </w:rPr>
        <w:t>to allow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formation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2"/>
          <w:sz w:val="24"/>
        </w:rPr>
        <w:t> </w:t>
      </w:r>
      <w:r>
        <w:rPr>
          <w:sz w:val="24"/>
        </w:rPr>
        <w:t>Ni</w:t>
      </w:r>
      <w:r>
        <w:rPr>
          <w:spacing w:val="-5"/>
          <w:sz w:val="24"/>
        </w:rPr>
        <w:t> </w:t>
      </w:r>
      <w:r>
        <w:rPr>
          <w:sz w:val="24"/>
        </w:rPr>
        <w:t>porphyrins.</w:t>
      </w:r>
      <w:r>
        <w:rPr>
          <w:spacing w:val="-3"/>
          <w:sz w:val="24"/>
        </w:rPr>
        <w:t> </w:t>
      </w:r>
      <w:r>
        <w:rPr>
          <w:sz w:val="24"/>
        </w:rPr>
        <w:t>Ni</w:t>
      </w:r>
      <w:r>
        <w:rPr>
          <w:spacing w:val="-2"/>
          <w:sz w:val="24"/>
        </w:rPr>
        <w:t> </w:t>
      </w:r>
      <w:r>
        <w:rPr>
          <w:sz w:val="24"/>
        </w:rPr>
        <w:t>being</w:t>
      </w:r>
      <w:r>
        <w:rPr>
          <w:spacing w:val="-51"/>
          <w:sz w:val="24"/>
        </w:rPr>
        <w:t> </w:t>
      </w:r>
      <w:r>
        <w:rPr>
          <w:sz w:val="24"/>
        </w:rPr>
        <w:t>high between the depths of 155-133 ft suggests there is low sulfide in the water</w:t>
      </w:r>
      <w:r>
        <w:rPr>
          <w:spacing w:val="1"/>
          <w:sz w:val="24"/>
        </w:rPr>
        <w:t> </w:t>
      </w:r>
      <w:r>
        <w:rPr>
          <w:sz w:val="24"/>
        </w:rPr>
        <w:t>preventing</w:t>
      </w:r>
      <w:r>
        <w:rPr>
          <w:spacing w:val="-2"/>
          <w:sz w:val="24"/>
        </w:rPr>
        <w:t> </w:t>
      </w:r>
      <w:r>
        <w:rPr>
          <w:sz w:val="24"/>
        </w:rPr>
        <w:t>nickel</w:t>
      </w:r>
      <w:r>
        <w:rPr>
          <w:spacing w:val="3"/>
          <w:sz w:val="24"/>
        </w:rPr>
        <w:t> </w:t>
      </w:r>
      <w:r>
        <w:rPr>
          <w:sz w:val="24"/>
        </w:rPr>
        <w:t>sulfide</w:t>
      </w:r>
      <w:r>
        <w:rPr>
          <w:spacing w:val="-1"/>
          <w:sz w:val="24"/>
        </w:rPr>
        <w:t> </w:t>
      </w:r>
      <w:r>
        <w:rPr>
          <w:sz w:val="24"/>
        </w:rPr>
        <w:t>from</w:t>
      </w:r>
      <w:r>
        <w:rPr>
          <w:spacing w:val="-1"/>
          <w:sz w:val="24"/>
        </w:rPr>
        <w:t> </w:t>
      </w:r>
      <w:r>
        <w:rPr>
          <w:sz w:val="24"/>
        </w:rPr>
        <w:t>forming. It</w:t>
      </w:r>
      <w:r>
        <w:rPr>
          <w:spacing w:val="-1"/>
          <w:sz w:val="24"/>
        </w:rPr>
        <w:t> </w:t>
      </w:r>
      <w:r>
        <w:rPr>
          <w:sz w:val="24"/>
        </w:rPr>
        <w:t>is important to</w:t>
      </w:r>
      <w:r>
        <w:rPr>
          <w:spacing w:val="4"/>
          <w:sz w:val="24"/>
        </w:rPr>
        <w:t> </w:t>
      </w:r>
      <w:r>
        <w:rPr>
          <w:sz w:val="24"/>
        </w:rPr>
        <w:t>know</w:t>
      </w:r>
      <w:r>
        <w:rPr>
          <w:spacing w:val="4"/>
          <w:sz w:val="24"/>
        </w:rPr>
        <w:t> </w:t>
      </w:r>
      <w:r>
        <w:rPr>
          <w:sz w:val="24"/>
        </w:rPr>
        <w:t>if GSB</w:t>
      </w:r>
      <w:r>
        <w:rPr>
          <w:spacing w:val="1"/>
          <w:sz w:val="24"/>
        </w:rPr>
        <w:t> </w:t>
      </w:r>
      <w:r>
        <w:rPr>
          <w:sz w:val="24"/>
        </w:rPr>
        <w:t>can</w:t>
      </w:r>
      <w:r>
        <w:rPr>
          <w:spacing w:val="-1"/>
          <w:sz w:val="24"/>
        </w:rPr>
        <w:t> </w:t>
      </w:r>
      <w:r>
        <w:rPr>
          <w:sz w:val="24"/>
        </w:rPr>
        <w:t>continue to</w:t>
      </w:r>
      <w:r>
        <w:rPr>
          <w:spacing w:val="1"/>
          <w:sz w:val="24"/>
        </w:rPr>
        <w:t> </w:t>
      </w:r>
      <w:r>
        <w:rPr>
          <w:sz w:val="24"/>
        </w:rPr>
        <w:t>live in low sulfide environments low enough for Ni to continue to exist in order to</w:t>
      </w:r>
      <w:r>
        <w:rPr>
          <w:spacing w:val="1"/>
          <w:sz w:val="24"/>
        </w:rPr>
        <w:t> </w:t>
      </w:r>
      <w:r>
        <w:rPr>
          <w:sz w:val="24"/>
        </w:rPr>
        <w:t>explain the high Ni between these depths that occur along with high carotenoid</w:t>
      </w:r>
      <w:r>
        <w:rPr>
          <w:spacing w:val="1"/>
          <w:sz w:val="24"/>
        </w:rPr>
        <w:t> </w:t>
      </w:r>
      <w:r>
        <w:rPr>
          <w:sz w:val="24"/>
        </w:rPr>
        <w:t>concentrations.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test</w:t>
      </w:r>
      <w:r>
        <w:rPr>
          <w:spacing w:val="-4"/>
          <w:sz w:val="24"/>
        </w:rPr>
        <w:t> </w:t>
      </w:r>
      <w:r>
        <w:rPr>
          <w:sz w:val="24"/>
        </w:rPr>
        <w:t>this</w:t>
      </w:r>
      <w:r>
        <w:rPr>
          <w:spacing w:val="-3"/>
          <w:sz w:val="24"/>
        </w:rPr>
        <w:t> </w:t>
      </w:r>
      <w:r>
        <w:rPr>
          <w:sz w:val="24"/>
        </w:rPr>
        <w:t>laboratory</w:t>
      </w:r>
      <w:r>
        <w:rPr>
          <w:spacing w:val="-2"/>
          <w:sz w:val="24"/>
        </w:rPr>
        <w:t> </w:t>
      </w:r>
      <w:r>
        <w:rPr>
          <w:sz w:val="24"/>
        </w:rPr>
        <w:t>growth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GSB</w:t>
      </w:r>
      <w:r>
        <w:rPr>
          <w:spacing w:val="-4"/>
          <w:sz w:val="24"/>
        </w:rPr>
        <w:t> </w:t>
      </w:r>
      <w:r>
        <w:rPr>
          <w:sz w:val="24"/>
        </w:rPr>
        <w:t>might</w:t>
      </w:r>
      <w:r>
        <w:rPr>
          <w:spacing w:val="-3"/>
          <w:sz w:val="24"/>
        </w:rPr>
        <w:t> </w:t>
      </w:r>
      <w:r>
        <w:rPr>
          <w:sz w:val="24"/>
        </w:rPr>
        <w:t>be</w:t>
      </w:r>
      <w:r>
        <w:rPr>
          <w:spacing w:val="-2"/>
          <w:sz w:val="24"/>
        </w:rPr>
        <w:t> </w:t>
      </w:r>
      <w:r>
        <w:rPr>
          <w:sz w:val="24"/>
        </w:rPr>
        <w:t>required</w:t>
      </w:r>
      <w:r>
        <w:rPr>
          <w:spacing w:val="-4"/>
          <w:sz w:val="24"/>
        </w:rPr>
        <w:t> </w:t>
      </w:r>
      <w:r>
        <w:rPr>
          <w:sz w:val="24"/>
        </w:rPr>
        <w:t>testing</w:t>
      </w:r>
      <w:r>
        <w:rPr>
          <w:spacing w:val="-2"/>
          <w:sz w:val="24"/>
        </w:rPr>
        <w:t> </w:t>
      </w:r>
      <w:r>
        <w:rPr>
          <w:sz w:val="24"/>
        </w:rPr>
        <w:t>different</w:t>
      </w:r>
      <w:r>
        <w:rPr>
          <w:spacing w:val="-51"/>
          <w:sz w:val="24"/>
        </w:rPr>
        <w:t> </w:t>
      </w:r>
      <w:r>
        <w:rPr>
          <w:sz w:val="24"/>
        </w:rPr>
        <w:t>concentrations of sulfide. The lowest concentrations would then need to be compared</w:t>
      </w:r>
      <w:r>
        <w:rPr>
          <w:spacing w:val="1"/>
          <w:sz w:val="24"/>
        </w:rPr>
        <w:t> </w:t>
      </w:r>
      <w:r>
        <w:rPr>
          <w:sz w:val="24"/>
        </w:rPr>
        <w:t>to the highest concentrations of sulfide in which nickel does not precipitate out as nickel</w:t>
      </w:r>
      <w:r>
        <w:rPr>
          <w:spacing w:val="-52"/>
          <w:sz w:val="24"/>
        </w:rPr>
        <w:t> </w:t>
      </w:r>
      <w:r>
        <w:rPr>
          <w:sz w:val="24"/>
        </w:rPr>
        <w:t>sulfide.</w:t>
      </w:r>
    </w:p>
    <w:p>
      <w:pPr>
        <w:pStyle w:val="ListParagraph"/>
        <w:numPr>
          <w:ilvl w:val="0"/>
          <w:numId w:val="7"/>
        </w:numPr>
        <w:tabs>
          <w:tab w:pos="840" w:val="left" w:leader="none"/>
        </w:tabs>
        <w:spacing w:line="480" w:lineRule="auto" w:before="1" w:after="0"/>
        <w:ind w:left="840" w:right="934" w:hanging="360"/>
        <w:jc w:val="left"/>
        <w:rPr>
          <w:sz w:val="24"/>
        </w:rPr>
      </w:pPr>
      <w:r>
        <w:rPr>
          <w:sz w:val="24"/>
        </w:rPr>
        <w:t>More</w:t>
      </w:r>
      <w:r>
        <w:rPr>
          <w:spacing w:val="-4"/>
          <w:sz w:val="24"/>
        </w:rPr>
        <w:t> </w:t>
      </w:r>
      <w:r>
        <w:rPr>
          <w:sz w:val="24"/>
        </w:rPr>
        <w:t>research</w:t>
      </w:r>
      <w:r>
        <w:rPr>
          <w:spacing w:val="-3"/>
          <w:sz w:val="24"/>
        </w:rPr>
        <w:t> </w:t>
      </w:r>
      <w:r>
        <w:rPr>
          <w:sz w:val="24"/>
        </w:rPr>
        <w:t>needs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be done on</w:t>
      </w:r>
      <w:r>
        <w:rPr>
          <w:spacing w:val="2"/>
          <w:sz w:val="24"/>
        </w:rPr>
        <w:t> </w:t>
      </w:r>
      <w:r>
        <w:rPr>
          <w:sz w:val="24"/>
        </w:rPr>
        <w:t>TMPBQ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what</w:t>
      </w:r>
      <w:r>
        <w:rPr>
          <w:spacing w:val="1"/>
          <w:sz w:val="24"/>
        </w:rPr>
        <w:t> </w:t>
      </w:r>
      <w:r>
        <w:rPr>
          <w:sz w:val="24"/>
        </w:rPr>
        <w:t>it</w:t>
      </w:r>
      <w:r>
        <w:rPr>
          <w:spacing w:val="-2"/>
          <w:sz w:val="24"/>
        </w:rPr>
        <w:t> </w:t>
      </w:r>
      <w:r>
        <w:rPr>
          <w:sz w:val="24"/>
        </w:rPr>
        <w:t>could</w:t>
      </w:r>
      <w:r>
        <w:rPr>
          <w:spacing w:val="-1"/>
          <w:sz w:val="24"/>
        </w:rPr>
        <w:t> </w:t>
      </w:r>
      <w:r>
        <w:rPr>
          <w:sz w:val="24"/>
        </w:rPr>
        <w:t>possibly</w:t>
      </w:r>
      <w:r>
        <w:rPr>
          <w:spacing w:val="-3"/>
          <w:sz w:val="24"/>
        </w:rPr>
        <w:t> </w:t>
      </w:r>
      <w:r>
        <w:rPr>
          <w:sz w:val="24"/>
        </w:rPr>
        <w:t>indicate about</w:t>
      </w:r>
      <w:r>
        <w:rPr>
          <w:spacing w:val="-52"/>
          <w:sz w:val="24"/>
        </w:rPr>
        <w:t> </w:t>
      </w:r>
      <w:r>
        <w:rPr>
          <w:sz w:val="24"/>
        </w:rPr>
        <w:t>the environment of deposition. This would start with compound specific isotope</w:t>
      </w:r>
      <w:r>
        <w:rPr>
          <w:spacing w:val="1"/>
          <w:sz w:val="24"/>
        </w:rPr>
        <w:t> </w:t>
      </w:r>
      <w:r>
        <w:rPr>
          <w:sz w:val="24"/>
        </w:rPr>
        <w:t>measurements of TMPBQ and of MTTCs to determine if they are likely from the same</w:t>
      </w:r>
      <w:r>
        <w:rPr>
          <w:spacing w:val="-52"/>
          <w:sz w:val="24"/>
        </w:rPr>
        <w:t> </w:t>
      </w:r>
      <w:r>
        <w:rPr>
          <w:sz w:val="24"/>
        </w:rPr>
        <w:t>source.</w:t>
      </w:r>
    </w:p>
    <w:p>
      <w:pPr>
        <w:pStyle w:val="ListParagraph"/>
        <w:numPr>
          <w:ilvl w:val="0"/>
          <w:numId w:val="7"/>
        </w:numPr>
        <w:tabs>
          <w:tab w:pos="840" w:val="left" w:leader="none"/>
        </w:tabs>
        <w:spacing w:line="480" w:lineRule="auto" w:before="0" w:after="0"/>
        <w:ind w:left="840" w:right="886" w:hanging="360"/>
        <w:jc w:val="left"/>
        <w:rPr>
          <w:sz w:val="24"/>
        </w:rPr>
      </w:pPr>
      <w:r>
        <w:rPr>
          <w:sz w:val="24"/>
        </w:rPr>
        <w:t>Testing the rest of our samples for their organic carbon isotope ratios. The rest of the</w:t>
      </w:r>
      <w:r>
        <w:rPr>
          <w:spacing w:val="1"/>
          <w:sz w:val="24"/>
        </w:rPr>
        <w:t> </w:t>
      </w:r>
      <w:r>
        <w:rPr>
          <w:sz w:val="24"/>
        </w:rPr>
        <w:t>samples being tested with the same method would be beneficial in determining the</w:t>
      </w:r>
      <w:r>
        <w:rPr>
          <w:spacing w:val="1"/>
          <w:sz w:val="24"/>
        </w:rPr>
        <w:t> </w:t>
      </w:r>
      <w:r>
        <w:rPr>
          <w:sz w:val="24"/>
        </w:rPr>
        <w:t>location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positive</w:t>
      </w:r>
      <w:r>
        <w:rPr>
          <w:spacing w:val="-2"/>
          <w:sz w:val="24"/>
        </w:rPr>
        <w:t> </w:t>
      </w:r>
      <w:r>
        <w:rPr>
          <w:sz w:val="24"/>
        </w:rPr>
        <w:t>excursions</w:t>
      </w:r>
      <w:r>
        <w:rPr>
          <w:spacing w:val="-2"/>
          <w:sz w:val="24"/>
        </w:rPr>
        <w:t> </w:t>
      </w:r>
      <w:r>
        <w:rPr>
          <w:sz w:val="24"/>
        </w:rPr>
        <w:t>which</w:t>
      </w:r>
      <w:r>
        <w:rPr>
          <w:spacing w:val="-5"/>
          <w:sz w:val="24"/>
        </w:rPr>
        <w:t> </w:t>
      </w:r>
      <w:r>
        <w:rPr>
          <w:sz w:val="24"/>
        </w:rPr>
        <w:t>would</w:t>
      </w:r>
      <w:r>
        <w:rPr>
          <w:spacing w:val="-1"/>
          <w:sz w:val="24"/>
        </w:rPr>
        <w:t> </w:t>
      </w:r>
      <w:r>
        <w:rPr>
          <w:sz w:val="24"/>
        </w:rPr>
        <w:t>indicate the</w:t>
      </w:r>
      <w:r>
        <w:rPr>
          <w:spacing w:val="-2"/>
          <w:sz w:val="24"/>
        </w:rPr>
        <w:t> </w:t>
      </w:r>
      <w:r>
        <w:rPr>
          <w:sz w:val="24"/>
        </w:rPr>
        <w:t>locations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F/F</w:t>
      </w:r>
      <w:r>
        <w:rPr>
          <w:spacing w:val="-2"/>
          <w:sz w:val="24"/>
        </w:rPr>
        <w:t> </w:t>
      </w:r>
      <w:r>
        <w:rPr>
          <w:sz w:val="24"/>
        </w:rPr>
        <w:t>boundary</w:t>
      </w:r>
      <w:r>
        <w:rPr>
          <w:spacing w:val="-51"/>
          <w:sz w:val="24"/>
        </w:rPr>
        <w:t> </w:t>
      </w:r>
      <w:r>
        <w:rPr>
          <w:sz w:val="24"/>
        </w:rPr>
        <w:t>and the Kellwasser events. While the Molinares-Blanco (2019) isotope data seems to</w:t>
      </w:r>
      <w:r>
        <w:rPr>
          <w:spacing w:val="1"/>
          <w:sz w:val="24"/>
        </w:rPr>
        <w:t> </w:t>
      </w:r>
      <w:r>
        <w:rPr>
          <w:sz w:val="24"/>
        </w:rPr>
        <w:t>indicate</w:t>
      </w:r>
      <w:r>
        <w:rPr>
          <w:spacing w:val="-2"/>
          <w:sz w:val="24"/>
        </w:rPr>
        <w:t> </w:t>
      </w:r>
      <w:r>
        <w:rPr>
          <w:sz w:val="24"/>
        </w:rPr>
        <w:t>where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boundary</w:t>
      </w:r>
      <w:r>
        <w:rPr>
          <w:spacing w:val="-1"/>
          <w:sz w:val="24"/>
        </w:rPr>
        <w:t> </w:t>
      </w:r>
      <w:r>
        <w:rPr>
          <w:sz w:val="24"/>
        </w:rPr>
        <w:t>is</w:t>
      </w:r>
      <w:r>
        <w:rPr>
          <w:spacing w:val="-2"/>
          <w:sz w:val="24"/>
        </w:rPr>
        <w:t> </w:t>
      </w:r>
      <w:r>
        <w:rPr>
          <w:sz w:val="24"/>
        </w:rPr>
        <w:t>our</w:t>
      </w:r>
      <w:r>
        <w:rPr>
          <w:spacing w:val="-2"/>
          <w:sz w:val="24"/>
        </w:rPr>
        <w:t> </w:t>
      </w:r>
      <w:r>
        <w:rPr>
          <w:sz w:val="24"/>
        </w:rPr>
        <w:t>data</w:t>
      </w:r>
      <w:r>
        <w:rPr>
          <w:spacing w:val="-2"/>
          <w:sz w:val="24"/>
        </w:rPr>
        <w:t> </w:t>
      </w:r>
      <w:r>
        <w:rPr>
          <w:sz w:val="24"/>
        </w:rPr>
        <w:t>seems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disagree.</w:t>
      </w:r>
      <w:r>
        <w:rPr>
          <w:spacing w:val="-4"/>
          <w:sz w:val="24"/>
        </w:rPr>
        <w:t> </w:t>
      </w:r>
      <w:r>
        <w:rPr>
          <w:sz w:val="24"/>
        </w:rPr>
        <w:t>Further</w:t>
      </w:r>
      <w:r>
        <w:rPr>
          <w:spacing w:val="-2"/>
          <w:sz w:val="24"/>
        </w:rPr>
        <w:t> </w:t>
      </w:r>
      <w:r>
        <w:rPr>
          <w:sz w:val="24"/>
        </w:rPr>
        <w:t>testing</w:t>
      </w:r>
      <w:r>
        <w:rPr>
          <w:spacing w:val="-1"/>
          <w:sz w:val="24"/>
        </w:rPr>
        <w:t> </w:t>
      </w:r>
      <w:r>
        <w:rPr>
          <w:sz w:val="24"/>
        </w:rPr>
        <w:t>should be</w:t>
      </w:r>
    </w:p>
    <w:p>
      <w:pPr>
        <w:spacing w:after="0" w:line="480" w:lineRule="auto"/>
        <w:jc w:val="left"/>
        <w:rPr>
          <w:sz w:val="24"/>
        </w:rPr>
        <w:sectPr>
          <w:pgSz w:w="12240" w:h="15840"/>
          <w:pgMar w:header="0" w:footer="1014" w:top="1400" w:bottom="1200" w:left="1320" w:right="820"/>
        </w:sectPr>
      </w:pPr>
    </w:p>
    <w:p>
      <w:pPr>
        <w:pStyle w:val="BodyText"/>
        <w:spacing w:line="480" w:lineRule="auto" w:before="39"/>
        <w:ind w:left="840" w:right="660"/>
      </w:pPr>
      <w:r>
        <w:rPr/>
        <w:t>done to determine if it is something in the testing causing the isotope data to disagree</w:t>
      </w:r>
      <w:r>
        <w:rPr>
          <w:spacing w:val="-52"/>
        </w:rPr>
        <w:t> </w:t>
      </w:r>
      <w:r>
        <w:rPr/>
        <w:t>or</w:t>
      </w:r>
      <w:r>
        <w:rPr>
          <w:spacing w:val="-3"/>
        </w:rPr>
        <w:t> </w:t>
      </w:r>
      <w:r>
        <w:rPr/>
        <w:t>if</w:t>
      </w:r>
      <w:r>
        <w:rPr>
          <w:spacing w:val="-4"/>
        </w:rPr>
        <w:t> </w:t>
      </w:r>
      <w:r>
        <w:rPr/>
        <w:t>the location</w:t>
      </w:r>
      <w:r>
        <w:rPr>
          <w:spacing w:val="1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boundary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indeed</w:t>
      </w:r>
      <w:r>
        <w:rPr>
          <w:spacing w:val="-4"/>
        </w:rPr>
        <w:t> </w:t>
      </w:r>
      <w:r>
        <w:rPr/>
        <w:t>at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different</w:t>
      </w:r>
      <w:r>
        <w:rPr>
          <w:spacing w:val="2"/>
        </w:rPr>
        <w:t> </w:t>
      </w:r>
      <w:r>
        <w:rPr/>
        <w:t>depth.</w:t>
      </w:r>
      <w:r>
        <w:rPr>
          <w:spacing w:val="-3"/>
        </w:rPr>
        <w:t> </w:t>
      </w:r>
      <w:r>
        <w:rPr/>
        <w:t>Combining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isotope</w:t>
      </w:r>
      <w:r>
        <w:rPr>
          <w:spacing w:val="-51"/>
        </w:rPr>
        <w:t> </w:t>
      </w:r>
      <w:r>
        <w:rPr/>
        <w:t>data with the biomarker data from this study should provide strong evidence for the</w:t>
      </w:r>
      <w:r>
        <w:rPr>
          <w:spacing w:val="1"/>
        </w:rPr>
        <w:t> </w:t>
      </w:r>
      <w:r>
        <w:rPr/>
        <w:t>actual</w:t>
      </w:r>
      <w:r>
        <w:rPr>
          <w:spacing w:val="-2"/>
        </w:rPr>
        <w:t> </w:t>
      </w:r>
      <w:r>
        <w:rPr/>
        <w:t>depth.</w:t>
      </w:r>
    </w:p>
    <w:p>
      <w:pPr>
        <w:spacing w:after="0" w:line="480" w:lineRule="auto"/>
        <w:sectPr>
          <w:pgSz w:w="12240" w:h="15840"/>
          <w:pgMar w:header="0" w:footer="1014" w:top="1400" w:bottom="1200" w:left="1320" w:right="820"/>
        </w:sectPr>
      </w:pPr>
    </w:p>
    <w:p>
      <w:pPr>
        <w:pStyle w:val="Heading1"/>
      </w:pPr>
      <w:r>
        <w:rPr/>
        <w:t>BIBLIOGRAPHY</w:t>
      </w:r>
    </w:p>
    <w:p>
      <w:pPr>
        <w:pStyle w:val="BodyText"/>
        <w:spacing w:before="182"/>
        <w:ind w:left="120"/>
        <w:jc w:val="both"/>
      </w:pPr>
      <w:r>
        <w:rPr/>
        <w:t>Abousleiman,</w:t>
      </w:r>
      <w:r>
        <w:rPr>
          <w:spacing w:val="-4"/>
        </w:rPr>
        <w:t> </w:t>
      </w:r>
      <w:r>
        <w:rPr/>
        <w:t>Y.N.,</w:t>
      </w:r>
      <w:r>
        <w:rPr>
          <w:spacing w:val="-2"/>
        </w:rPr>
        <w:t> </w:t>
      </w:r>
      <w:r>
        <w:rPr/>
        <w:t>Tran,</w:t>
      </w:r>
      <w:r>
        <w:rPr>
          <w:spacing w:val="-2"/>
        </w:rPr>
        <w:t> </w:t>
      </w:r>
      <w:r>
        <w:rPr/>
        <w:t>M.H.,</w:t>
      </w:r>
      <w:r>
        <w:rPr>
          <w:spacing w:val="-3"/>
        </w:rPr>
        <w:t> </w:t>
      </w:r>
      <w:r>
        <w:rPr/>
        <w:t>Hoang,</w:t>
      </w:r>
      <w:r>
        <w:rPr>
          <w:spacing w:val="-1"/>
        </w:rPr>
        <w:t> </w:t>
      </w:r>
      <w:r>
        <w:rPr/>
        <w:t>S.,</w:t>
      </w:r>
      <w:r>
        <w:rPr>
          <w:spacing w:val="-1"/>
        </w:rPr>
        <w:t> </w:t>
      </w:r>
      <w:r>
        <w:rPr/>
        <w:t>Bobko, C.P.,</w:t>
      </w:r>
      <w:r>
        <w:rPr>
          <w:spacing w:val="-1"/>
        </w:rPr>
        <w:t> </w:t>
      </w:r>
      <w:r>
        <w:rPr/>
        <w:t>Ortega,</w:t>
      </w:r>
      <w:r>
        <w:rPr>
          <w:spacing w:val="-1"/>
        </w:rPr>
        <w:t> </w:t>
      </w:r>
      <w:r>
        <w:rPr/>
        <w:t>A.,</w:t>
      </w:r>
      <w:r>
        <w:rPr>
          <w:spacing w:val="-1"/>
        </w:rPr>
        <w:t> </w:t>
      </w:r>
      <w:r>
        <w:rPr/>
        <w:t>Ulm,</w:t>
      </w:r>
      <w:r>
        <w:rPr>
          <w:spacing w:val="-3"/>
        </w:rPr>
        <w:t> </w:t>
      </w:r>
      <w:r>
        <w:rPr/>
        <w:t>F.-J.,</w:t>
      </w:r>
      <w:r>
        <w:rPr>
          <w:spacing w:val="-3"/>
        </w:rPr>
        <w:t> </w:t>
      </w:r>
      <w:r>
        <w:rPr/>
        <w:t>2007.</w:t>
      </w:r>
    </w:p>
    <w:p>
      <w:pPr>
        <w:pStyle w:val="BodyText"/>
        <w:ind w:left="840" w:right="851"/>
        <w:jc w:val="both"/>
      </w:pPr>
      <w:r>
        <w:rPr/>
        <w:t>Geomechanics</w:t>
      </w:r>
      <w:r>
        <w:rPr>
          <w:spacing w:val="-3"/>
        </w:rPr>
        <w:t> </w:t>
      </w:r>
      <w:r>
        <w:rPr/>
        <w:t>Field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Laboratory</w:t>
      </w:r>
      <w:r>
        <w:rPr>
          <w:spacing w:val="-2"/>
        </w:rPr>
        <w:t> </w:t>
      </w:r>
      <w:r>
        <w:rPr/>
        <w:t>Characterization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Woodford</w:t>
      </w:r>
      <w:r>
        <w:rPr>
          <w:spacing w:val="-3"/>
        </w:rPr>
        <w:t> </w:t>
      </w:r>
      <w:r>
        <w:rPr/>
        <w:t>Shale:</w:t>
      </w:r>
      <w:r>
        <w:rPr>
          <w:spacing w:val="-3"/>
        </w:rPr>
        <w:t> </w:t>
      </w:r>
      <w:r>
        <w:rPr/>
        <w:t>The Next</w:t>
      </w:r>
      <w:r>
        <w:rPr>
          <w:spacing w:val="-52"/>
        </w:rPr>
        <w:t> </w:t>
      </w:r>
      <w:r>
        <w:rPr/>
        <w:t>Gas</w:t>
      </w:r>
      <w:r>
        <w:rPr>
          <w:spacing w:val="-2"/>
        </w:rPr>
        <w:t> </w:t>
      </w:r>
      <w:r>
        <w:rPr/>
        <w:t>Play.</w:t>
      </w:r>
      <w:r>
        <w:rPr>
          <w:spacing w:val="-3"/>
        </w:rPr>
        <w:t> </w:t>
      </w:r>
      <w:r>
        <w:rPr/>
        <w:t>Presented</w:t>
      </w:r>
      <w:r>
        <w:rPr>
          <w:spacing w:val="-3"/>
        </w:rPr>
        <w:t> </w:t>
      </w:r>
      <w:r>
        <w:rPr/>
        <w:t>at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SPE</w:t>
      </w:r>
      <w:r>
        <w:rPr>
          <w:spacing w:val="-4"/>
        </w:rPr>
        <w:t> </w:t>
      </w:r>
      <w:r>
        <w:rPr/>
        <w:t>Annual</w:t>
      </w:r>
      <w:r>
        <w:rPr>
          <w:spacing w:val="-3"/>
        </w:rPr>
        <w:t> </w:t>
      </w:r>
      <w:r>
        <w:rPr/>
        <w:t>Technical</w:t>
      </w:r>
      <w:r>
        <w:rPr>
          <w:spacing w:val="-2"/>
        </w:rPr>
        <w:t> </w:t>
      </w:r>
      <w:r>
        <w:rPr/>
        <w:t>Conference</w:t>
      </w:r>
      <w:r>
        <w:rPr>
          <w:spacing w:val="-3"/>
        </w:rPr>
        <w:t> </w:t>
      </w:r>
      <w:r>
        <w:rPr/>
        <w:t>and</w:t>
      </w:r>
      <w:r>
        <w:rPr>
          <w:spacing w:val="2"/>
        </w:rPr>
        <w:t> </w:t>
      </w:r>
      <w:r>
        <w:rPr/>
        <w:t>Exhibition,</w:t>
      </w:r>
      <w:r>
        <w:rPr>
          <w:spacing w:val="-2"/>
        </w:rPr>
        <w:t> </w:t>
      </w:r>
      <w:r>
        <w:rPr/>
        <w:t>OnePetro.</w:t>
      </w:r>
      <w:r>
        <w:rPr>
          <w:spacing w:val="-52"/>
        </w:rPr>
        <w:t> </w:t>
      </w:r>
      <w:r>
        <w:rPr/>
        <w:t>doi:10.2118/110120-MS</w:t>
      </w:r>
    </w:p>
    <w:p>
      <w:pPr>
        <w:pStyle w:val="BodyText"/>
        <w:spacing w:before="2"/>
      </w:pPr>
    </w:p>
    <w:p>
      <w:pPr>
        <w:pStyle w:val="BodyText"/>
        <w:ind w:left="840" w:right="660" w:hanging="720"/>
      </w:pPr>
      <w:r>
        <w:rPr/>
        <w:t>Aderoju, T., Bend, S., 2018. Reconstructing the palaeoecosystem and palaeodepositional</w:t>
      </w:r>
      <w:r>
        <w:rPr>
          <w:spacing w:val="1"/>
        </w:rPr>
        <w:t> </w:t>
      </w:r>
      <w:r>
        <w:rPr/>
        <w:t>environment</w:t>
      </w:r>
      <w:r>
        <w:rPr>
          <w:spacing w:val="-5"/>
        </w:rPr>
        <w:t> </w:t>
      </w:r>
      <w:r>
        <w:rPr/>
        <w:t>within</w:t>
      </w:r>
      <w:r>
        <w:rPr>
          <w:spacing w:val="-4"/>
        </w:rPr>
        <w:t> </w:t>
      </w:r>
      <w:r>
        <w:rPr/>
        <w:t>the</w:t>
      </w:r>
      <w:r>
        <w:rPr>
          <w:spacing w:val="-1"/>
        </w:rPr>
        <w:t> </w:t>
      </w:r>
      <w:r>
        <w:rPr/>
        <w:t>Upper</w:t>
      </w:r>
      <w:r>
        <w:rPr>
          <w:spacing w:val="-6"/>
        </w:rPr>
        <w:t> </w:t>
      </w:r>
      <w:r>
        <w:rPr/>
        <w:t>Devonian–Lower</w:t>
      </w:r>
      <w:r>
        <w:rPr>
          <w:spacing w:val="-4"/>
        </w:rPr>
        <w:t> </w:t>
      </w:r>
      <w:r>
        <w:rPr/>
        <w:t>Mississippian</w:t>
      </w:r>
      <w:r>
        <w:rPr>
          <w:spacing w:val="-3"/>
        </w:rPr>
        <w:t> </w:t>
      </w:r>
      <w:r>
        <w:rPr/>
        <w:t>Bakken Formation:</w:t>
      </w:r>
      <w:r>
        <w:rPr>
          <w:spacing w:val="-3"/>
        </w:rPr>
        <w:t> </w:t>
      </w:r>
      <w:r>
        <w:rPr/>
        <w:t>A</w:t>
      </w:r>
      <w:r>
        <w:rPr>
          <w:spacing w:val="-51"/>
        </w:rPr>
        <w:t> </w:t>
      </w:r>
      <w:r>
        <w:rPr/>
        <w:t>biomarker approach.</w:t>
      </w:r>
      <w:r>
        <w:rPr>
          <w:spacing w:val="-1"/>
        </w:rPr>
        <w:t> </w:t>
      </w:r>
      <w:r>
        <w:rPr/>
        <w:t>Organic</w:t>
      </w:r>
      <w:r>
        <w:rPr>
          <w:spacing w:val="-2"/>
        </w:rPr>
        <w:t> </w:t>
      </w:r>
      <w:r>
        <w:rPr/>
        <w:t>Geochemistry</w:t>
      </w:r>
      <w:r>
        <w:rPr>
          <w:spacing w:val="-2"/>
        </w:rPr>
        <w:t> </w:t>
      </w:r>
      <w:r>
        <w:rPr/>
        <w:t>119,</w:t>
      </w:r>
      <w:r>
        <w:rPr>
          <w:spacing w:val="-2"/>
        </w:rPr>
        <w:t> </w:t>
      </w:r>
      <w:r>
        <w:rPr/>
        <w:t>91–100.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spacing w:before="1"/>
        <w:ind w:left="840" w:right="660" w:hanging="720"/>
      </w:pPr>
      <w:r>
        <w:rPr/>
        <w:t>Algeo, T.J., Berner, R.A., Maynard, J.B., Scheckler, S.E., 1995. Late Devonian Oceanic Anoxic</w:t>
      </w:r>
      <w:r>
        <w:rPr>
          <w:spacing w:val="1"/>
        </w:rPr>
        <w:t> </w:t>
      </w:r>
      <w:r>
        <w:rPr/>
        <w:t>Events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Biotic</w:t>
      </w:r>
      <w:r>
        <w:rPr>
          <w:spacing w:val="-3"/>
        </w:rPr>
        <w:t> </w:t>
      </w:r>
      <w:r>
        <w:rPr/>
        <w:t>Crises:</w:t>
      </w:r>
      <w:r>
        <w:rPr>
          <w:spacing w:val="-3"/>
        </w:rPr>
        <w:t> </w:t>
      </w:r>
      <w:r>
        <w:rPr/>
        <w:t>“Rooted”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Evolution</w:t>
      </w:r>
      <w:r>
        <w:rPr>
          <w:spacing w:val="2"/>
        </w:rPr>
        <w:t> </w:t>
      </w:r>
      <w:r>
        <w:rPr/>
        <w:t>of</w:t>
      </w:r>
      <w:r>
        <w:rPr>
          <w:spacing w:val="-1"/>
        </w:rPr>
        <w:t> </w:t>
      </w:r>
      <w:r>
        <w:rPr/>
        <w:t>Vascular</w:t>
      </w:r>
      <w:r>
        <w:rPr>
          <w:spacing w:val="-2"/>
        </w:rPr>
        <w:t> </w:t>
      </w:r>
      <w:r>
        <w:rPr/>
        <w:t>Land</w:t>
      </w:r>
      <w:r>
        <w:rPr>
          <w:spacing w:val="-2"/>
        </w:rPr>
        <w:t> </w:t>
      </w:r>
      <w:r>
        <w:rPr/>
        <w:t>Plants?</w:t>
      </w:r>
      <w:r>
        <w:rPr>
          <w:spacing w:val="-2"/>
        </w:rPr>
        <w:t> </w:t>
      </w:r>
      <w:r>
        <w:rPr/>
        <w:t>GSA</w:t>
      </w:r>
      <w:r>
        <w:rPr>
          <w:spacing w:val="-2"/>
        </w:rPr>
        <w:t> </w:t>
      </w:r>
      <w:r>
        <w:rPr/>
        <w:t>TODAY</w:t>
      </w:r>
      <w:r>
        <w:rPr>
          <w:spacing w:val="-51"/>
        </w:rPr>
        <w:t> </w:t>
      </w:r>
      <w:r>
        <w:rPr/>
        <w:t>24.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840" w:right="917" w:hanging="720"/>
      </w:pPr>
      <w:r>
        <w:rPr/>
        <w:t>Algeo, T.J., Scheckler, S.E., Beerling, D.J., Chaloner, W.G., Woodward, F.I., 1998. Terrestrial-</w:t>
      </w:r>
      <w:r>
        <w:rPr>
          <w:spacing w:val="-52"/>
        </w:rPr>
        <w:t> </w:t>
      </w:r>
      <w:r>
        <w:rPr/>
        <w:t>marine</w:t>
      </w:r>
      <w:r>
        <w:rPr>
          <w:spacing w:val="-5"/>
        </w:rPr>
        <w:t> </w:t>
      </w:r>
      <w:r>
        <w:rPr/>
        <w:t>teleconnections in</w:t>
      </w:r>
      <w:r>
        <w:rPr>
          <w:spacing w:val="1"/>
        </w:rPr>
        <w:t> </w:t>
      </w:r>
      <w:r>
        <w:rPr/>
        <w:t>the</w:t>
      </w:r>
      <w:r>
        <w:rPr>
          <w:spacing w:val="-3"/>
        </w:rPr>
        <w:t> </w:t>
      </w:r>
      <w:r>
        <w:rPr/>
        <w:t>Devonian:</w:t>
      </w:r>
      <w:r>
        <w:rPr>
          <w:spacing w:val="-3"/>
        </w:rPr>
        <w:t> </w:t>
      </w:r>
      <w:r>
        <w:rPr/>
        <w:t>links</w:t>
      </w:r>
      <w:r>
        <w:rPr>
          <w:spacing w:val="-4"/>
        </w:rPr>
        <w:t> </w:t>
      </w:r>
      <w:r>
        <w:rPr/>
        <w:t>between</w:t>
      </w:r>
      <w:r>
        <w:rPr>
          <w:spacing w:val="-4"/>
        </w:rPr>
        <w:t> </w:t>
      </w:r>
      <w:r>
        <w:rPr/>
        <w:t>the</w:t>
      </w:r>
      <w:r>
        <w:rPr>
          <w:spacing w:val="-1"/>
        </w:rPr>
        <w:t> </w:t>
      </w:r>
      <w:r>
        <w:rPr/>
        <w:t>evolution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land</w:t>
      </w:r>
      <w:r>
        <w:rPr>
          <w:spacing w:val="-1"/>
        </w:rPr>
        <w:t> </w:t>
      </w:r>
      <w:r>
        <w:rPr/>
        <w:t>plants,</w:t>
      </w:r>
      <w:r>
        <w:rPr>
          <w:spacing w:val="-51"/>
        </w:rPr>
        <w:t> </w:t>
      </w:r>
      <w:r>
        <w:rPr/>
        <w:t>weathering processes, and marine anoxic events. Philosophical Transactions of the</w:t>
      </w:r>
      <w:r>
        <w:rPr>
          <w:spacing w:val="1"/>
        </w:rPr>
        <w:t> </w:t>
      </w:r>
      <w:r>
        <w:rPr/>
        <w:t>Royal</w:t>
      </w:r>
      <w:r>
        <w:rPr>
          <w:spacing w:val="-2"/>
        </w:rPr>
        <w:t> </w:t>
      </w:r>
      <w:r>
        <w:rPr/>
        <w:t>Society</w:t>
      </w:r>
      <w:r>
        <w:rPr>
          <w:spacing w:val="1"/>
        </w:rPr>
        <w:t> </w:t>
      </w:r>
      <w:r>
        <w:rPr/>
        <w:t>of</w:t>
      </w:r>
      <w:r>
        <w:rPr>
          <w:spacing w:val="2"/>
        </w:rPr>
        <w:t> </w:t>
      </w:r>
      <w:r>
        <w:rPr/>
        <w:t>London.</w:t>
      </w:r>
      <w:r>
        <w:rPr>
          <w:spacing w:val="-2"/>
        </w:rPr>
        <w:t> </w:t>
      </w:r>
      <w:r>
        <w:rPr/>
        <w:t>Series</w:t>
      </w:r>
      <w:r>
        <w:rPr>
          <w:spacing w:val="2"/>
        </w:rPr>
        <w:t> </w:t>
      </w:r>
      <w:r>
        <w:rPr/>
        <w:t>B:</w:t>
      </w:r>
      <w:r>
        <w:rPr>
          <w:spacing w:val="-2"/>
        </w:rPr>
        <w:t> </w:t>
      </w:r>
      <w:r>
        <w:rPr/>
        <w:t>Biological Sciences</w:t>
      </w:r>
      <w:r>
        <w:rPr>
          <w:spacing w:val="-2"/>
        </w:rPr>
        <w:t> </w:t>
      </w:r>
      <w:r>
        <w:rPr/>
        <w:t>353,</w:t>
      </w:r>
      <w:r>
        <w:rPr>
          <w:spacing w:val="-3"/>
        </w:rPr>
        <w:t> </w:t>
      </w:r>
      <w:r>
        <w:rPr/>
        <w:t>113–130.</w:t>
      </w:r>
    </w:p>
    <w:p>
      <w:pPr>
        <w:pStyle w:val="BodyText"/>
        <w:spacing w:before="1"/>
      </w:pPr>
    </w:p>
    <w:p>
      <w:pPr>
        <w:pStyle w:val="BodyText"/>
        <w:spacing w:before="1"/>
        <w:ind w:left="840" w:right="660" w:hanging="720"/>
      </w:pPr>
      <w:r>
        <w:rPr/>
        <w:t>Baker,</w:t>
      </w:r>
      <w:r>
        <w:rPr>
          <w:spacing w:val="-2"/>
        </w:rPr>
        <w:t> </w:t>
      </w:r>
      <w:r>
        <w:rPr/>
        <w:t>E.W.,</w:t>
      </w:r>
      <w:r>
        <w:rPr>
          <w:spacing w:val="-4"/>
        </w:rPr>
        <w:t> </w:t>
      </w:r>
      <w:r>
        <w:rPr/>
        <w:t>Louda,</w:t>
      </w:r>
      <w:r>
        <w:rPr>
          <w:spacing w:val="-4"/>
        </w:rPr>
        <w:t> </w:t>
      </w:r>
      <w:r>
        <w:rPr/>
        <w:t>J.W.,</w:t>
      </w:r>
      <w:r>
        <w:rPr>
          <w:spacing w:val="-4"/>
        </w:rPr>
        <w:t> </w:t>
      </w:r>
      <w:r>
        <w:rPr/>
        <w:t>1983.</w:t>
      </w:r>
      <w:r>
        <w:rPr>
          <w:spacing w:val="-2"/>
        </w:rPr>
        <w:t> </w:t>
      </w:r>
      <w:r>
        <w:rPr/>
        <w:t>Thermal</w:t>
      </w:r>
      <w:r>
        <w:rPr>
          <w:spacing w:val="-4"/>
        </w:rPr>
        <w:t> </w:t>
      </w:r>
      <w:r>
        <w:rPr/>
        <w:t>Aspects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Chlorophyll</w:t>
      </w:r>
      <w:r>
        <w:rPr>
          <w:spacing w:val="-2"/>
        </w:rPr>
        <w:t> </w:t>
      </w:r>
      <w:r>
        <w:rPr/>
        <w:t>Geochemistry.</w:t>
      </w:r>
      <w:r>
        <w:rPr>
          <w:spacing w:val="-1"/>
        </w:rPr>
        <w:t> </w:t>
      </w:r>
      <w:r>
        <w:rPr/>
        <w:t>Advances</w:t>
      </w:r>
      <w:r>
        <w:rPr>
          <w:spacing w:val="-4"/>
        </w:rPr>
        <w:t> </w:t>
      </w:r>
      <w:r>
        <w:rPr/>
        <w:t>in</w:t>
      </w:r>
      <w:r>
        <w:rPr>
          <w:spacing w:val="-51"/>
        </w:rPr>
        <w:t> </w:t>
      </w:r>
      <w:r>
        <w:rPr/>
        <w:t>Organic Geochemistry</w:t>
      </w:r>
      <w:r>
        <w:rPr>
          <w:spacing w:val="-2"/>
        </w:rPr>
        <w:t> </w:t>
      </w:r>
      <w:r>
        <w:rPr/>
        <w:t>(Edited</w:t>
      </w:r>
      <w:r>
        <w:rPr>
          <w:spacing w:val="-2"/>
        </w:rPr>
        <w:t> </w:t>
      </w:r>
      <w:r>
        <w:rPr/>
        <w:t>by</w:t>
      </w:r>
      <w:r>
        <w:rPr>
          <w:spacing w:val="-3"/>
        </w:rPr>
        <w:t> </w:t>
      </w:r>
      <w:r>
        <w:rPr/>
        <w:t>Bjorøy</w:t>
      </w:r>
      <w:r>
        <w:rPr>
          <w:spacing w:val="1"/>
        </w:rPr>
        <w:t> </w:t>
      </w:r>
      <w:r>
        <w:rPr/>
        <w:t>M.</w:t>
      </w:r>
      <w:r>
        <w:rPr>
          <w:spacing w:val="-1"/>
        </w:rPr>
        <w:t> </w:t>
      </w:r>
      <w:r>
        <w:rPr/>
        <w:t>et</w:t>
      </w:r>
      <w:r>
        <w:rPr>
          <w:spacing w:val="-2"/>
        </w:rPr>
        <w:t> </w:t>
      </w:r>
      <w:r>
        <w:rPr/>
        <w:t>al)</w:t>
      </w:r>
      <w:r>
        <w:rPr>
          <w:spacing w:val="-3"/>
        </w:rPr>
        <w:t> </w:t>
      </w:r>
      <w:r>
        <w:rPr/>
        <w:t>Chichester,</w:t>
      </w:r>
      <w:r>
        <w:rPr>
          <w:spacing w:val="-4"/>
        </w:rPr>
        <w:t> </w:t>
      </w:r>
      <w:r>
        <w:rPr/>
        <w:t>Wiley 401–421.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840" w:right="1401" w:hanging="720"/>
      </w:pPr>
      <w:r>
        <w:rPr/>
        <w:t>Barwise, A.J.G.,</w:t>
      </w:r>
      <w:r>
        <w:rPr>
          <w:spacing w:val="-1"/>
        </w:rPr>
        <w:t> </w:t>
      </w:r>
      <w:r>
        <w:rPr/>
        <w:t>Roberts,</w:t>
      </w:r>
      <w:r>
        <w:rPr>
          <w:spacing w:val="-3"/>
        </w:rPr>
        <w:t> </w:t>
      </w:r>
      <w:r>
        <w:rPr/>
        <w:t>J.,</w:t>
      </w:r>
      <w:r>
        <w:rPr>
          <w:spacing w:val="-2"/>
        </w:rPr>
        <w:t> </w:t>
      </w:r>
      <w:r>
        <w:rPr/>
        <w:t>1984.</w:t>
      </w:r>
      <w:r>
        <w:rPr>
          <w:spacing w:val="-2"/>
        </w:rPr>
        <w:t> </w:t>
      </w:r>
      <w:r>
        <w:rPr/>
        <w:t>Diagenetic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catagenetic</w:t>
      </w:r>
      <w:r>
        <w:rPr>
          <w:spacing w:val="-2"/>
        </w:rPr>
        <w:t> </w:t>
      </w:r>
      <w:r>
        <w:rPr/>
        <w:t>pathways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porphyrins</w:t>
      </w:r>
      <w:r>
        <w:rPr>
          <w:spacing w:val="1"/>
        </w:rPr>
        <w:t> </w:t>
      </w:r>
      <w:r>
        <w:rPr/>
        <w:t>in</w:t>
      </w:r>
      <w:r>
        <w:rPr>
          <w:spacing w:val="-51"/>
        </w:rPr>
        <w:t> </w:t>
      </w:r>
      <w:r>
        <w:rPr/>
        <w:t>sediments.</w:t>
      </w:r>
      <w:r>
        <w:rPr>
          <w:spacing w:val="-3"/>
        </w:rPr>
        <w:t> </w:t>
      </w:r>
      <w:r>
        <w:rPr/>
        <w:t>Organic</w:t>
      </w:r>
      <w:r>
        <w:rPr>
          <w:spacing w:val="-4"/>
        </w:rPr>
        <w:t> </w:t>
      </w:r>
      <w:r>
        <w:rPr/>
        <w:t>Geochemistry</w:t>
      </w:r>
      <w:r>
        <w:rPr>
          <w:spacing w:val="-2"/>
        </w:rPr>
        <w:t> </w:t>
      </w:r>
      <w:r>
        <w:rPr/>
        <w:t>6, 167–176.</w:t>
      </w:r>
    </w:p>
    <w:p>
      <w:pPr>
        <w:pStyle w:val="BodyText"/>
      </w:pPr>
    </w:p>
    <w:p>
      <w:pPr>
        <w:pStyle w:val="BodyText"/>
        <w:ind w:left="840" w:right="660" w:hanging="720"/>
      </w:pPr>
      <w:r>
        <w:rPr/>
        <w:t>Bergquist,</w:t>
      </w:r>
      <w:r>
        <w:rPr>
          <w:spacing w:val="-4"/>
        </w:rPr>
        <w:t> </w:t>
      </w:r>
      <w:r>
        <w:rPr/>
        <w:t>B.A.,</w:t>
      </w:r>
      <w:r>
        <w:rPr>
          <w:spacing w:val="-2"/>
        </w:rPr>
        <w:t> </w:t>
      </w:r>
      <w:r>
        <w:rPr/>
        <w:t>2017.</w:t>
      </w:r>
      <w:r>
        <w:rPr>
          <w:spacing w:val="-2"/>
        </w:rPr>
        <w:t> </w:t>
      </w:r>
      <w:r>
        <w:rPr/>
        <w:t>Mercury,</w:t>
      </w:r>
      <w:r>
        <w:rPr>
          <w:spacing w:val="-2"/>
        </w:rPr>
        <w:t> </w:t>
      </w:r>
      <w:r>
        <w:rPr/>
        <w:t>volcanism,</w:t>
      </w:r>
      <w:r>
        <w:rPr>
          <w:spacing w:val="-4"/>
        </w:rPr>
        <w:t> </w:t>
      </w:r>
      <w:r>
        <w:rPr/>
        <w:t>and</w:t>
      </w:r>
      <w:r>
        <w:rPr>
          <w:spacing w:val="2"/>
        </w:rPr>
        <w:t> </w:t>
      </w:r>
      <w:r>
        <w:rPr/>
        <w:t>mass</w:t>
      </w:r>
      <w:r>
        <w:rPr>
          <w:spacing w:val="-2"/>
        </w:rPr>
        <w:t> </w:t>
      </w:r>
      <w:r>
        <w:rPr/>
        <w:t>extinctions.</w:t>
      </w:r>
      <w:r>
        <w:rPr>
          <w:spacing w:val="-5"/>
        </w:rPr>
        <w:t> </w:t>
      </w:r>
      <w:r>
        <w:rPr/>
        <w:t>Proceedings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 National</w:t>
      </w:r>
      <w:r>
        <w:rPr>
          <w:spacing w:val="-51"/>
        </w:rPr>
        <w:t> </w:t>
      </w:r>
      <w:r>
        <w:rPr/>
        <w:t>Academy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Sciences</w:t>
      </w:r>
      <w:r>
        <w:rPr>
          <w:spacing w:val="-1"/>
        </w:rPr>
        <w:t> </w:t>
      </w:r>
      <w:r>
        <w:rPr/>
        <w:t>114,</w:t>
      </w:r>
      <w:r>
        <w:rPr>
          <w:spacing w:val="-1"/>
        </w:rPr>
        <w:t> </w:t>
      </w:r>
      <w:r>
        <w:rPr/>
        <w:t>8675–8677.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840" w:right="660" w:hanging="720"/>
      </w:pPr>
      <w:r>
        <w:rPr/>
        <w:t>Biebl,</w:t>
      </w:r>
      <w:r>
        <w:rPr>
          <w:spacing w:val="1"/>
        </w:rPr>
        <w:t> </w:t>
      </w:r>
      <w:r>
        <w:rPr/>
        <w:t>H.,</w:t>
      </w:r>
      <w:r>
        <w:rPr>
          <w:spacing w:val="-2"/>
        </w:rPr>
        <w:t> </w:t>
      </w:r>
      <w:r>
        <w:rPr/>
        <w:t>Pfennig,</w:t>
      </w:r>
      <w:r>
        <w:rPr>
          <w:spacing w:val="-3"/>
        </w:rPr>
        <w:t> </w:t>
      </w:r>
      <w:r>
        <w:rPr/>
        <w:t>N.,</w:t>
      </w:r>
      <w:r>
        <w:rPr>
          <w:spacing w:val="-3"/>
        </w:rPr>
        <w:t> </w:t>
      </w:r>
      <w:r>
        <w:rPr/>
        <w:t>1978.</w:t>
      </w:r>
      <w:r>
        <w:rPr>
          <w:spacing w:val="-2"/>
        </w:rPr>
        <w:t> </w:t>
      </w:r>
      <w:r>
        <w:rPr/>
        <w:t>Growth</w:t>
      </w:r>
      <w:r>
        <w:rPr>
          <w:spacing w:val="-2"/>
        </w:rPr>
        <w:t> </w:t>
      </w:r>
      <w:r>
        <w:rPr/>
        <w:t>yields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green</w:t>
      </w:r>
      <w:r>
        <w:rPr>
          <w:spacing w:val="2"/>
        </w:rPr>
        <w:t> </w:t>
      </w:r>
      <w:r>
        <w:rPr/>
        <w:t>sulfur</w:t>
      </w:r>
      <w:r>
        <w:rPr>
          <w:spacing w:val="-4"/>
        </w:rPr>
        <w:t> </w:t>
      </w:r>
      <w:r>
        <w:rPr/>
        <w:t>bacteria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mixed</w:t>
      </w:r>
      <w:r>
        <w:rPr>
          <w:spacing w:val="2"/>
        </w:rPr>
        <w:t> </w:t>
      </w:r>
      <w:r>
        <w:rPr/>
        <w:t>cultures</w:t>
      </w:r>
      <w:r>
        <w:rPr>
          <w:spacing w:val="-5"/>
        </w:rPr>
        <w:t> </w:t>
      </w:r>
      <w:r>
        <w:rPr/>
        <w:t>with</w:t>
      </w:r>
      <w:r>
        <w:rPr>
          <w:spacing w:val="-3"/>
        </w:rPr>
        <w:t> </w:t>
      </w:r>
      <w:r>
        <w:rPr/>
        <w:t>sulfur</w:t>
      </w:r>
      <w:r>
        <w:rPr>
          <w:spacing w:val="-51"/>
        </w:rPr>
        <w:t> </w:t>
      </w:r>
      <w:r>
        <w:rPr/>
        <w:t>and</w:t>
      </w:r>
      <w:r>
        <w:rPr>
          <w:spacing w:val="2"/>
        </w:rPr>
        <w:t> </w:t>
      </w:r>
      <w:r>
        <w:rPr/>
        <w:t>sulfate</w:t>
      </w:r>
      <w:r>
        <w:rPr>
          <w:spacing w:val="-1"/>
        </w:rPr>
        <w:t> </w:t>
      </w:r>
      <w:r>
        <w:rPr/>
        <w:t>reducing</w:t>
      </w:r>
      <w:r>
        <w:rPr>
          <w:spacing w:val="-3"/>
        </w:rPr>
        <w:t> </w:t>
      </w:r>
      <w:r>
        <w:rPr/>
        <w:t>bacteria.</w:t>
      </w:r>
      <w:r>
        <w:rPr>
          <w:spacing w:val="-1"/>
        </w:rPr>
        <w:t> </w:t>
      </w:r>
      <w:r>
        <w:rPr/>
        <w:t>Archives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Microbiology</w:t>
      </w:r>
      <w:r>
        <w:rPr>
          <w:spacing w:val="-2"/>
        </w:rPr>
        <w:t> </w:t>
      </w:r>
      <w:r>
        <w:rPr/>
        <w:t>117,</w:t>
      </w:r>
      <w:r>
        <w:rPr>
          <w:spacing w:val="-1"/>
        </w:rPr>
        <w:t> </w:t>
      </w:r>
      <w:r>
        <w:rPr/>
        <w:t>9–16.</w:t>
      </w:r>
    </w:p>
    <w:p>
      <w:pPr>
        <w:pStyle w:val="BodyText"/>
        <w:spacing w:before="2"/>
      </w:pPr>
    </w:p>
    <w:p>
      <w:pPr>
        <w:pStyle w:val="BodyText"/>
        <w:ind w:left="840" w:right="744" w:hanging="720"/>
      </w:pPr>
      <w:r>
        <w:rPr/>
        <w:t>Brocks, J.J., Schaeffer, P., 2008. Okenane, a biomarker for purple sulfur bacteria</w:t>
      </w:r>
      <w:r>
        <w:rPr>
          <w:spacing w:val="1"/>
        </w:rPr>
        <w:t> </w:t>
      </w:r>
      <w:r>
        <w:rPr/>
        <w:t>(Chromatiaceae),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other</w:t>
      </w:r>
      <w:r>
        <w:rPr>
          <w:spacing w:val="-3"/>
        </w:rPr>
        <w:t> </w:t>
      </w:r>
      <w:r>
        <w:rPr/>
        <w:t>new</w:t>
      </w:r>
      <w:r>
        <w:rPr>
          <w:spacing w:val="-2"/>
        </w:rPr>
        <w:t> </w:t>
      </w:r>
      <w:r>
        <w:rPr/>
        <w:t>carotenoid</w:t>
      </w:r>
      <w:r>
        <w:rPr>
          <w:spacing w:val="-2"/>
        </w:rPr>
        <w:t> </w:t>
      </w:r>
      <w:r>
        <w:rPr/>
        <w:t>derivatives</w:t>
      </w:r>
      <w:r>
        <w:rPr>
          <w:spacing w:val="-2"/>
        </w:rPr>
        <w:t> </w:t>
      </w:r>
      <w:r>
        <w:rPr/>
        <w:t>from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1640Ma</w:t>
      </w:r>
      <w:r>
        <w:rPr>
          <w:spacing w:val="-2"/>
        </w:rPr>
        <w:t> </w:t>
      </w:r>
      <w:r>
        <w:rPr/>
        <w:t>Barney</w:t>
      </w:r>
      <w:r>
        <w:rPr>
          <w:spacing w:val="-2"/>
        </w:rPr>
        <w:t> </w:t>
      </w:r>
      <w:r>
        <w:rPr/>
        <w:t>Creek</w:t>
      </w:r>
      <w:r>
        <w:rPr>
          <w:spacing w:val="-52"/>
        </w:rPr>
        <w:t> </w:t>
      </w:r>
      <w:r>
        <w:rPr/>
        <w:t>Formation. Geochimica</w:t>
      </w:r>
      <w:r>
        <w:rPr>
          <w:spacing w:val="-1"/>
        </w:rPr>
        <w:t> </w:t>
      </w:r>
      <w:r>
        <w:rPr/>
        <w:t>et</w:t>
      </w:r>
      <w:r>
        <w:rPr>
          <w:spacing w:val="-1"/>
        </w:rPr>
        <w:t> </w:t>
      </w:r>
      <w:r>
        <w:rPr/>
        <w:t>Cosmochimica</w:t>
      </w:r>
      <w:r>
        <w:rPr>
          <w:spacing w:val="-3"/>
        </w:rPr>
        <w:t> </w:t>
      </w:r>
      <w:r>
        <w:rPr/>
        <w:t>Acta</w:t>
      </w:r>
      <w:r>
        <w:rPr>
          <w:spacing w:val="-2"/>
        </w:rPr>
        <w:t> </w:t>
      </w:r>
      <w:r>
        <w:rPr/>
        <w:t>72,</w:t>
      </w:r>
      <w:r>
        <w:rPr>
          <w:spacing w:val="-4"/>
        </w:rPr>
        <w:t> </w:t>
      </w:r>
      <w:r>
        <w:rPr/>
        <w:t>1396–1414.</w:t>
      </w:r>
    </w:p>
    <w:p>
      <w:pPr>
        <w:pStyle w:val="BodyText"/>
      </w:pPr>
    </w:p>
    <w:p>
      <w:pPr>
        <w:pStyle w:val="BodyText"/>
        <w:ind w:left="840" w:right="660" w:hanging="720"/>
      </w:pPr>
      <w:r>
        <w:rPr/>
        <w:t>Brocks,</w:t>
      </w:r>
      <w:r>
        <w:rPr>
          <w:spacing w:val="-3"/>
        </w:rPr>
        <w:t> </w:t>
      </w:r>
      <w:r>
        <w:rPr/>
        <w:t>J.J.,</w:t>
      </w:r>
      <w:r>
        <w:rPr>
          <w:spacing w:val="-3"/>
        </w:rPr>
        <w:t> </w:t>
      </w:r>
      <w:r>
        <w:rPr/>
        <w:t>Summons,</w:t>
      </w:r>
      <w:r>
        <w:rPr>
          <w:spacing w:val="-5"/>
        </w:rPr>
        <w:t> </w:t>
      </w:r>
      <w:r>
        <w:rPr/>
        <w:t>R.E.,</w:t>
      </w:r>
      <w:r>
        <w:rPr>
          <w:spacing w:val="-3"/>
        </w:rPr>
        <w:t> </w:t>
      </w:r>
      <w:r>
        <w:rPr/>
        <w:t>2005.</w:t>
      </w:r>
      <w:r>
        <w:rPr>
          <w:spacing w:val="-2"/>
        </w:rPr>
        <w:t> </w:t>
      </w:r>
      <w:r>
        <w:rPr/>
        <w:t>Sedimentary</w:t>
      </w:r>
      <w:r>
        <w:rPr>
          <w:spacing w:val="-3"/>
        </w:rPr>
        <w:t> </w:t>
      </w:r>
      <w:r>
        <w:rPr/>
        <w:t>Hydrocarbons,</w:t>
      </w:r>
      <w:r>
        <w:rPr>
          <w:spacing w:val="-3"/>
        </w:rPr>
        <w:t> </w:t>
      </w:r>
      <w:r>
        <w:rPr/>
        <w:t>Biomarkers</w:t>
      </w:r>
      <w:r>
        <w:rPr>
          <w:spacing w:val="-2"/>
        </w:rPr>
        <w:t> </w:t>
      </w:r>
      <w:r>
        <w:rPr/>
        <w:t>for</w:t>
      </w:r>
      <w:r>
        <w:rPr>
          <w:spacing w:val="-3"/>
        </w:rPr>
        <w:t> </w:t>
      </w:r>
      <w:r>
        <w:rPr/>
        <w:t>Early</w:t>
      </w:r>
      <w:r>
        <w:rPr>
          <w:spacing w:val="-3"/>
        </w:rPr>
        <w:t> </w:t>
      </w:r>
      <w:r>
        <w:rPr/>
        <w:t>Life,</w:t>
      </w:r>
      <w:r>
        <w:rPr>
          <w:spacing w:val="-2"/>
        </w:rPr>
        <w:t> </w:t>
      </w:r>
      <w:r>
        <w:rPr/>
        <w:t>in:</w:t>
      </w:r>
      <w:r>
        <w:rPr>
          <w:spacing w:val="-52"/>
        </w:rPr>
        <w:t> </w:t>
      </w:r>
      <w:r>
        <w:rPr/>
        <w:t>Schlesinger,</w:t>
      </w:r>
      <w:r>
        <w:rPr>
          <w:spacing w:val="-1"/>
        </w:rPr>
        <w:t> </w:t>
      </w:r>
      <w:r>
        <w:rPr/>
        <w:t>W.H.</w:t>
      </w:r>
      <w:r>
        <w:rPr>
          <w:spacing w:val="-1"/>
        </w:rPr>
        <w:t> </w:t>
      </w:r>
      <w:r>
        <w:rPr/>
        <w:t>(Ed.),</w:t>
      </w:r>
      <w:r>
        <w:rPr>
          <w:spacing w:val="-1"/>
        </w:rPr>
        <w:t> </w:t>
      </w:r>
      <w:r>
        <w:rPr/>
        <w:t>Biogeochemistry.</w:t>
      </w:r>
      <w:r>
        <w:rPr>
          <w:spacing w:val="-2"/>
        </w:rPr>
        <w:t> </w:t>
      </w:r>
      <w:r>
        <w:rPr/>
        <w:t>Elsevier</w:t>
      </w:r>
      <w:r>
        <w:rPr>
          <w:spacing w:val="-4"/>
        </w:rPr>
        <w:t> </w:t>
      </w:r>
      <w:r>
        <w:rPr/>
        <w:t>Ltd, pp.</w:t>
      </w:r>
      <w:r>
        <w:rPr>
          <w:spacing w:val="-4"/>
        </w:rPr>
        <w:t> </w:t>
      </w:r>
      <w:r>
        <w:rPr/>
        <w:t>63–115.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840" w:right="1144" w:hanging="720"/>
      </w:pPr>
      <w:r>
        <w:rPr/>
        <w:t>Brune,</w:t>
      </w:r>
      <w:r>
        <w:rPr>
          <w:spacing w:val="-3"/>
        </w:rPr>
        <w:t> </w:t>
      </w:r>
      <w:r>
        <w:rPr/>
        <w:t>D.C.,</w:t>
      </w:r>
      <w:r>
        <w:rPr>
          <w:spacing w:val="-2"/>
        </w:rPr>
        <w:t> </w:t>
      </w:r>
      <w:r>
        <w:rPr/>
        <w:t>1989.</w:t>
      </w:r>
      <w:r>
        <w:rPr>
          <w:spacing w:val="-2"/>
        </w:rPr>
        <w:t> </w:t>
      </w:r>
      <w:r>
        <w:rPr/>
        <w:t>Sulfur</w:t>
      </w:r>
      <w:r>
        <w:rPr>
          <w:spacing w:val="-3"/>
        </w:rPr>
        <w:t> </w:t>
      </w:r>
      <w:r>
        <w:rPr/>
        <w:t>oxidation</w:t>
      </w:r>
      <w:r>
        <w:rPr>
          <w:spacing w:val="-3"/>
        </w:rPr>
        <w:t> </w:t>
      </w:r>
      <w:r>
        <w:rPr/>
        <w:t>by</w:t>
      </w:r>
      <w:r>
        <w:rPr>
          <w:spacing w:val="-3"/>
        </w:rPr>
        <w:t> </w:t>
      </w:r>
      <w:r>
        <w:rPr/>
        <w:t>phototrophic</w:t>
      </w:r>
      <w:r>
        <w:rPr>
          <w:spacing w:val="-1"/>
        </w:rPr>
        <w:t> </w:t>
      </w:r>
      <w:r>
        <w:rPr/>
        <w:t>bacteria.</w:t>
      </w:r>
      <w:r>
        <w:rPr>
          <w:spacing w:val="-5"/>
        </w:rPr>
        <w:t> </w:t>
      </w:r>
      <w:r>
        <w:rPr/>
        <w:t>Biochimica</w:t>
      </w:r>
      <w:r>
        <w:rPr>
          <w:spacing w:val="-2"/>
        </w:rPr>
        <w:t> </w:t>
      </w:r>
      <w:r>
        <w:rPr/>
        <w:t>et</w:t>
      </w:r>
      <w:r>
        <w:rPr>
          <w:spacing w:val="-3"/>
        </w:rPr>
        <w:t> </w:t>
      </w:r>
      <w:r>
        <w:rPr/>
        <w:t>Biophysica</w:t>
      </w:r>
      <w:r>
        <w:rPr>
          <w:spacing w:val="-2"/>
        </w:rPr>
        <w:t> </w:t>
      </w:r>
      <w:r>
        <w:rPr/>
        <w:t>Acta</w:t>
      </w:r>
      <w:r>
        <w:rPr>
          <w:spacing w:val="-51"/>
        </w:rPr>
        <w:t> </w:t>
      </w:r>
      <w:r>
        <w:rPr/>
        <w:t>(BBA) -</w:t>
      </w:r>
      <w:r>
        <w:rPr>
          <w:spacing w:val="-1"/>
        </w:rPr>
        <w:t> </w:t>
      </w:r>
      <w:r>
        <w:rPr/>
        <w:t>Bioenergetics</w:t>
      </w:r>
      <w:r>
        <w:rPr>
          <w:spacing w:val="-2"/>
        </w:rPr>
        <w:t> </w:t>
      </w:r>
      <w:r>
        <w:rPr/>
        <w:t>975,</w:t>
      </w:r>
      <w:r>
        <w:rPr>
          <w:spacing w:val="-1"/>
        </w:rPr>
        <w:t> </w:t>
      </w:r>
      <w:r>
        <w:rPr/>
        <w:t>189–221.</w:t>
      </w:r>
    </w:p>
    <w:p>
      <w:pPr>
        <w:spacing w:after="0"/>
        <w:sectPr>
          <w:pgSz w:w="12240" w:h="15840"/>
          <w:pgMar w:header="0" w:footer="1014" w:top="1400" w:bottom="1200" w:left="1320" w:right="820"/>
        </w:sectPr>
      </w:pPr>
    </w:p>
    <w:p>
      <w:pPr>
        <w:pStyle w:val="BodyText"/>
        <w:spacing w:before="39"/>
        <w:ind w:left="840" w:right="753" w:hanging="720"/>
      </w:pPr>
      <w:r>
        <w:rPr/>
        <w:t>Buckner, N., Slatt, R.M., Coffey, B., Davis, R.J., 2009. Stratigraphy of the Woodford Shale from</w:t>
      </w:r>
      <w:r>
        <w:rPr>
          <w:spacing w:val="1"/>
        </w:rPr>
        <w:t> </w:t>
      </w:r>
      <w:r>
        <w:rPr/>
        <w:t>Behind-Outcrop</w:t>
      </w:r>
      <w:r>
        <w:rPr>
          <w:spacing w:val="-3"/>
        </w:rPr>
        <w:t> </w:t>
      </w:r>
      <w:r>
        <w:rPr/>
        <w:t>Drilling,</w:t>
      </w:r>
      <w:r>
        <w:rPr>
          <w:spacing w:val="-4"/>
        </w:rPr>
        <w:t> </w:t>
      </w:r>
      <w:r>
        <w:rPr/>
        <w:t>Logging,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Coring.</w:t>
      </w:r>
      <w:r>
        <w:rPr>
          <w:spacing w:val="-3"/>
        </w:rPr>
        <w:t> </w:t>
      </w:r>
      <w:r>
        <w:rPr/>
        <w:t>AAPG</w:t>
      </w:r>
      <w:r>
        <w:rPr>
          <w:spacing w:val="-3"/>
        </w:rPr>
        <w:t> </w:t>
      </w:r>
      <w:r>
        <w:rPr/>
        <w:t>Search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Discovery</w:t>
      </w:r>
      <w:r>
        <w:rPr>
          <w:spacing w:val="-4"/>
        </w:rPr>
        <w:t> </w:t>
      </w:r>
      <w:r>
        <w:rPr/>
        <w:t>article #5014,</w:t>
      </w:r>
      <w:r>
        <w:rPr>
          <w:spacing w:val="-51"/>
        </w:rPr>
        <w:t> </w:t>
      </w:r>
      <w:r>
        <w:rPr/>
        <w:t>24.</w:t>
      </w:r>
    </w:p>
    <w:p>
      <w:pPr>
        <w:pStyle w:val="BodyText"/>
        <w:spacing w:before="12"/>
        <w:rPr>
          <w:sz w:val="23"/>
        </w:rPr>
      </w:pPr>
    </w:p>
    <w:p>
      <w:pPr>
        <w:pStyle w:val="BodyText"/>
        <w:ind w:left="840" w:right="660" w:hanging="720"/>
      </w:pPr>
      <w:r>
        <w:rPr/>
        <w:t>Cardott, B.J.,</w:t>
      </w:r>
      <w:r>
        <w:rPr>
          <w:spacing w:val="-4"/>
        </w:rPr>
        <w:t> </w:t>
      </w:r>
      <w:r>
        <w:rPr/>
        <w:t>2012. Thermal</w:t>
      </w:r>
      <w:r>
        <w:rPr>
          <w:spacing w:val="-2"/>
        </w:rPr>
        <w:t> </w:t>
      </w:r>
      <w:r>
        <w:rPr/>
        <w:t>maturity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Woodford</w:t>
      </w:r>
      <w:r>
        <w:rPr>
          <w:spacing w:val="-3"/>
        </w:rPr>
        <w:t> </w:t>
      </w:r>
      <w:r>
        <w:rPr/>
        <w:t>Shale</w:t>
      </w:r>
      <w:r>
        <w:rPr>
          <w:spacing w:val="-2"/>
        </w:rPr>
        <w:t> </w:t>
      </w:r>
      <w:r>
        <w:rPr/>
        <w:t>gas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oil</w:t>
      </w:r>
      <w:r>
        <w:rPr>
          <w:spacing w:val="-4"/>
        </w:rPr>
        <w:t> </w:t>
      </w:r>
      <w:r>
        <w:rPr/>
        <w:t>plays,</w:t>
      </w:r>
      <w:r>
        <w:rPr>
          <w:spacing w:val="-2"/>
        </w:rPr>
        <w:t> </w:t>
      </w:r>
      <w:r>
        <w:rPr/>
        <w:t>Oklahoma,</w:t>
      </w:r>
      <w:r>
        <w:rPr>
          <w:spacing w:val="-2"/>
        </w:rPr>
        <w:t> </w:t>
      </w:r>
      <w:r>
        <w:rPr/>
        <w:t>USA.</w:t>
      </w:r>
      <w:r>
        <w:rPr>
          <w:spacing w:val="-52"/>
        </w:rPr>
        <w:t> </w:t>
      </w:r>
      <w:r>
        <w:rPr/>
        <w:t>International Journal of Coal Geology, Shale Gas and Shale Oil Petrology and</w:t>
      </w:r>
      <w:r>
        <w:rPr>
          <w:spacing w:val="1"/>
        </w:rPr>
        <w:t> </w:t>
      </w:r>
      <w:r>
        <w:rPr/>
        <w:t>Petrophysics</w:t>
      </w:r>
      <w:r>
        <w:rPr>
          <w:spacing w:val="-3"/>
        </w:rPr>
        <w:t> </w:t>
      </w:r>
      <w:r>
        <w:rPr/>
        <w:t>103,</w:t>
      </w:r>
      <w:r>
        <w:rPr>
          <w:spacing w:val="-1"/>
        </w:rPr>
        <w:t> </w:t>
      </w:r>
      <w:r>
        <w:rPr/>
        <w:t>109–119.</w:t>
      </w:r>
    </w:p>
    <w:p>
      <w:pPr>
        <w:pStyle w:val="BodyText"/>
        <w:spacing w:before="1"/>
      </w:pPr>
    </w:p>
    <w:p>
      <w:pPr>
        <w:pStyle w:val="BodyText"/>
        <w:ind w:left="840" w:right="660" w:hanging="720"/>
      </w:pPr>
      <w:r>
        <w:rPr/>
        <w:t>Catuneanu, O., 2017. Chapter One - Sequence Stratigraphy: Guidelines for a Standard</w:t>
      </w:r>
      <w:r>
        <w:rPr>
          <w:spacing w:val="1"/>
        </w:rPr>
        <w:t> </w:t>
      </w:r>
      <w:r>
        <w:rPr/>
        <w:t>Methodology,</w:t>
      </w:r>
      <w:r>
        <w:rPr>
          <w:spacing w:val="-3"/>
        </w:rPr>
        <w:t> </w:t>
      </w:r>
      <w:r>
        <w:rPr/>
        <w:t>in:</w:t>
      </w:r>
      <w:r>
        <w:rPr>
          <w:spacing w:val="-1"/>
        </w:rPr>
        <w:t> </w:t>
      </w:r>
      <w:r>
        <w:rPr/>
        <w:t>Montenari,</w:t>
      </w:r>
      <w:r>
        <w:rPr>
          <w:spacing w:val="-3"/>
        </w:rPr>
        <w:t> </w:t>
      </w:r>
      <w:r>
        <w:rPr/>
        <w:t>M.</w:t>
      </w:r>
      <w:r>
        <w:rPr>
          <w:spacing w:val="-4"/>
        </w:rPr>
        <w:t> </w:t>
      </w:r>
      <w:r>
        <w:rPr/>
        <w:t>(Ed.),</w:t>
      </w:r>
      <w:r>
        <w:rPr>
          <w:spacing w:val="-3"/>
        </w:rPr>
        <w:t> </w:t>
      </w:r>
      <w:r>
        <w:rPr/>
        <w:t>Stratigraphy</w:t>
      </w:r>
      <w:r>
        <w:rPr>
          <w:spacing w:val="-3"/>
        </w:rPr>
        <w:t> </w:t>
      </w:r>
      <w:r>
        <w:rPr/>
        <w:t>&amp;</w:t>
      </w:r>
      <w:r>
        <w:rPr>
          <w:spacing w:val="-3"/>
        </w:rPr>
        <w:t> </w:t>
      </w:r>
      <w:r>
        <w:rPr/>
        <w:t>Timescales,</w:t>
      </w:r>
      <w:r>
        <w:rPr>
          <w:spacing w:val="-5"/>
        </w:rPr>
        <w:t> </w:t>
      </w:r>
      <w:r>
        <w:rPr/>
        <w:t>Advances</w:t>
      </w:r>
      <w:r>
        <w:rPr>
          <w:spacing w:val="-2"/>
        </w:rPr>
        <w:t> </w:t>
      </w:r>
      <w:r>
        <w:rPr/>
        <w:t>in</w:t>
      </w:r>
      <w:r>
        <w:rPr>
          <w:spacing w:val="1"/>
        </w:rPr>
        <w:t> </w:t>
      </w:r>
      <w:r>
        <w:rPr/>
        <w:t>Sequence</w:t>
      </w:r>
      <w:r>
        <w:rPr>
          <w:spacing w:val="-51"/>
        </w:rPr>
        <w:t> </w:t>
      </w:r>
      <w:r>
        <w:rPr/>
        <w:t>Stratigraphy.</w:t>
      </w:r>
      <w:r>
        <w:rPr>
          <w:spacing w:val="-2"/>
        </w:rPr>
        <w:t> </w:t>
      </w:r>
      <w:r>
        <w:rPr/>
        <w:t>Academic</w:t>
      </w:r>
      <w:r>
        <w:rPr>
          <w:spacing w:val="-4"/>
        </w:rPr>
        <w:t> </w:t>
      </w:r>
      <w:r>
        <w:rPr/>
        <w:t>Press,</w:t>
      </w:r>
      <w:r>
        <w:rPr>
          <w:spacing w:val="-1"/>
        </w:rPr>
        <w:t> </w:t>
      </w:r>
      <w:r>
        <w:rPr/>
        <w:t>pp.</w:t>
      </w:r>
      <w:r>
        <w:rPr>
          <w:spacing w:val="-4"/>
        </w:rPr>
        <w:t> </w:t>
      </w:r>
      <w:r>
        <w:rPr/>
        <w:t>1–57.</w:t>
      </w:r>
    </w:p>
    <w:p>
      <w:pPr>
        <w:pStyle w:val="BodyText"/>
      </w:pPr>
    </w:p>
    <w:p>
      <w:pPr>
        <w:pStyle w:val="BodyText"/>
        <w:ind w:left="840" w:right="660" w:hanging="720"/>
      </w:pPr>
      <w:r>
        <w:rPr/>
        <w:t>Chan,</w:t>
      </w:r>
      <w:r>
        <w:rPr>
          <w:spacing w:val="-2"/>
        </w:rPr>
        <w:t> </w:t>
      </w:r>
      <w:r>
        <w:rPr/>
        <w:t>M.A.,</w:t>
      </w:r>
      <w:r>
        <w:rPr>
          <w:spacing w:val="-3"/>
        </w:rPr>
        <w:t> </w:t>
      </w:r>
      <w:r>
        <w:rPr/>
        <w:t>Archer,</w:t>
      </w:r>
      <w:r>
        <w:rPr>
          <w:spacing w:val="-3"/>
        </w:rPr>
        <w:t> </w:t>
      </w:r>
      <w:r>
        <w:rPr/>
        <w:t>A.W.,</w:t>
      </w:r>
      <w:r>
        <w:rPr>
          <w:spacing w:val="-2"/>
        </w:rPr>
        <w:t> </w:t>
      </w:r>
      <w:r>
        <w:rPr/>
        <w:t>2003.</w:t>
      </w:r>
      <w:r>
        <w:rPr>
          <w:spacing w:val="-3"/>
        </w:rPr>
        <w:t> </w:t>
      </w:r>
      <w:r>
        <w:rPr/>
        <w:t>Extreme</w:t>
      </w:r>
      <w:r>
        <w:rPr>
          <w:spacing w:val="-4"/>
        </w:rPr>
        <w:t> </w:t>
      </w:r>
      <w:r>
        <w:rPr/>
        <w:t>Depositional</w:t>
      </w:r>
      <w:r>
        <w:rPr>
          <w:spacing w:val="-3"/>
        </w:rPr>
        <w:t> </w:t>
      </w:r>
      <w:r>
        <w:rPr/>
        <w:t>Environments:</w:t>
      </w:r>
      <w:r>
        <w:rPr>
          <w:spacing w:val="-3"/>
        </w:rPr>
        <w:t> </w:t>
      </w:r>
      <w:r>
        <w:rPr/>
        <w:t>Mega</w:t>
      </w:r>
      <w:r>
        <w:rPr>
          <w:spacing w:val="-3"/>
        </w:rPr>
        <w:t> </w:t>
      </w:r>
      <w:r>
        <w:rPr/>
        <w:t>End</w:t>
      </w:r>
      <w:r>
        <w:rPr>
          <w:spacing w:val="1"/>
        </w:rPr>
        <w:t> </w:t>
      </w:r>
      <w:r>
        <w:rPr/>
        <w:t>Members</w:t>
      </w:r>
      <w:r>
        <w:rPr>
          <w:spacing w:val="-3"/>
        </w:rPr>
        <w:t> </w:t>
      </w:r>
      <w:r>
        <w:rPr/>
        <w:t>in</w:t>
      </w:r>
      <w:r>
        <w:rPr>
          <w:spacing w:val="-51"/>
        </w:rPr>
        <w:t> </w:t>
      </w:r>
      <w:r>
        <w:rPr/>
        <w:t>Geologic</w:t>
      </w:r>
      <w:r>
        <w:rPr>
          <w:spacing w:val="-3"/>
        </w:rPr>
        <w:t> </w:t>
      </w:r>
      <w:r>
        <w:rPr/>
        <w:t>Time.</w:t>
      </w:r>
      <w:r>
        <w:rPr>
          <w:spacing w:val="-4"/>
        </w:rPr>
        <w:t> </w:t>
      </w:r>
      <w:r>
        <w:rPr/>
        <w:t>Geological</w:t>
      </w:r>
      <w:r>
        <w:rPr>
          <w:spacing w:val="-1"/>
        </w:rPr>
        <w:t> </w:t>
      </w:r>
      <w:r>
        <w:rPr/>
        <w:t>Society of</w:t>
      </w:r>
      <w:r>
        <w:rPr>
          <w:spacing w:val="-2"/>
        </w:rPr>
        <w:t> </w:t>
      </w:r>
      <w:r>
        <w:rPr/>
        <w:t>America.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840" w:right="917" w:hanging="720"/>
      </w:pPr>
      <w:r>
        <w:rPr/>
        <w:t>Chen,</w:t>
      </w:r>
      <w:r>
        <w:rPr>
          <w:spacing w:val="-2"/>
        </w:rPr>
        <w:t> </w:t>
      </w:r>
      <w:r>
        <w:rPr/>
        <w:t>D.,</w:t>
      </w:r>
      <w:r>
        <w:rPr>
          <w:spacing w:val="-2"/>
        </w:rPr>
        <w:t> </w:t>
      </w:r>
      <w:r>
        <w:rPr/>
        <w:t>Qing,</w:t>
      </w:r>
      <w:r>
        <w:rPr>
          <w:spacing w:val="-4"/>
        </w:rPr>
        <w:t> </w:t>
      </w:r>
      <w:r>
        <w:rPr/>
        <w:t>H.,</w:t>
      </w:r>
      <w:r>
        <w:rPr>
          <w:spacing w:val="-2"/>
        </w:rPr>
        <w:t> </w:t>
      </w:r>
      <w:r>
        <w:rPr/>
        <w:t>Li,</w:t>
      </w:r>
      <w:r>
        <w:rPr>
          <w:spacing w:val="-2"/>
        </w:rPr>
        <w:t> </w:t>
      </w:r>
      <w:r>
        <w:rPr/>
        <w:t>R.,</w:t>
      </w:r>
      <w:r>
        <w:rPr>
          <w:spacing w:val="-4"/>
        </w:rPr>
        <w:t> </w:t>
      </w:r>
      <w:r>
        <w:rPr/>
        <w:t>2005.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Late</w:t>
      </w:r>
      <w:r>
        <w:rPr>
          <w:spacing w:val="2"/>
        </w:rPr>
        <w:t> </w:t>
      </w:r>
      <w:r>
        <w:rPr/>
        <w:t>Devonian</w:t>
      </w:r>
      <w:r>
        <w:rPr>
          <w:spacing w:val="-3"/>
        </w:rPr>
        <w:t> </w:t>
      </w:r>
      <w:r>
        <w:rPr/>
        <w:t>Frasnian–Famennian</w:t>
      </w:r>
      <w:r>
        <w:rPr>
          <w:spacing w:val="-3"/>
        </w:rPr>
        <w:t> </w:t>
      </w:r>
      <w:r>
        <w:rPr/>
        <w:t>(F/F)</w:t>
      </w:r>
      <w:r>
        <w:rPr>
          <w:spacing w:val="-2"/>
        </w:rPr>
        <w:t> </w:t>
      </w:r>
      <w:r>
        <w:rPr/>
        <w:t>biotic</w:t>
      </w:r>
      <w:r>
        <w:rPr>
          <w:spacing w:val="-3"/>
        </w:rPr>
        <w:t> </w:t>
      </w:r>
      <w:r>
        <w:rPr/>
        <w:t>crisis:</w:t>
      </w:r>
      <w:r>
        <w:rPr>
          <w:spacing w:val="-51"/>
        </w:rPr>
        <w:t> </w:t>
      </w:r>
      <w:r>
        <w:rPr/>
        <w:t>Insights from δ13Ccarb, δ13Corg and 87Sr/86Sr isotopic systematics. Earth and</w:t>
      </w:r>
      <w:r>
        <w:rPr>
          <w:spacing w:val="1"/>
        </w:rPr>
        <w:t> </w:t>
      </w:r>
      <w:r>
        <w:rPr/>
        <w:t>Planetary Science</w:t>
      </w:r>
      <w:r>
        <w:rPr>
          <w:spacing w:val="-1"/>
        </w:rPr>
        <w:t> </w:t>
      </w:r>
      <w:r>
        <w:rPr/>
        <w:t>Letters</w:t>
      </w:r>
      <w:r>
        <w:rPr>
          <w:spacing w:val="-3"/>
        </w:rPr>
        <w:t> </w:t>
      </w:r>
      <w:r>
        <w:rPr/>
        <w:t>235,</w:t>
      </w:r>
      <w:r>
        <w:rPr>
          <w:spacing w:val="-3"/>
        </w:rPr>
        <w:t> </w:t>
      </w:r>
      <w:r>
        <w:rPr/>
        <w:t>151–166.</w:t>
      </w:r>
    </w:p>
    <w:p>
      <w:pPr>
        <w:pStyle w:val="BodyText"/>
      </w:pPr>
    </w:p>
    <w:p>
      <w:pPr>
        <w:pStyle w:val="BodyText"/>
        <w:ind w:left="840" w:right="660" w:hanging="720"/>
      </w:pPr>
      <w:r>
        <w:rPr/>
        <w:t>Chen, J.H.,</w:t>
      </w:r>
      <w:r>
        <w:rPr>
          <w:spacing w:val="-2"/>
        </w:rPr>
        <w:t> </w:t>
      </w:r>
      <w:r>
        <w:rPr/>
        <w:t>Philp,</w:t>
      </w:r>
      <w:r>
        <w:rPr>
          <w:spacing w:val="-4"/>
        </w:rPr>
        <w:t> </w:t>
      </w:r>
      <w:r>
        <w:rPr/>
        <w:t>R.P.,</w:t>
      </w:r>
      <w:r>
        <w:rPr>
          <w:spacing w:val="-2"/>
        </w:rPr>
        <w:t> </w:t>
      </w:r>
      <w:r>
        <w:rPr/>
        <w:t>1991.</w:t>
      </w:r>
      <w:r>
        <w:rPr>
          <w:spacing w:val="-2"/>
        </w:rPr>
        <w:t> </w:t>
      </w:r>
      <w:r>
        <w:rPr/>
        <w:t>Porphyrin</w:t>
      </w:r>
      <w:r>
        <w:rPr>
          <w:spacing w:val="-2"/>
        </w:rPr>
        <w:t> </w:t>
      </w:r>
      <w:r>
        <w:rPr/>
        <w:t>distributions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crude</w:t>
      </w:r>
      <w:r>
        <w:rPr>
          <w:spacing w:val="-2"/>
        </w:rPr>
        <w:t> </w:t>
      </w:r>
      <w:r>
        <w:rPr/>
        <w:t>oils</w:t>
      </w:r>
      <w:r>
        <w:rPr>
          <w:spacing w:val="-4"/>
        </w:rPr>
        <w:t> </w:t>
      </w:r>
      <w:r>
        <w:rPr/>
        <w:t>from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Jianghan</w:t>
      </w:r>
      <w:r>
        <w:rPr>
          <w:spacing w:val="2"/>
        </w:rPr>
        <w:t> </w:t>
      </w:r>
      <w:r>
        <w:rPr/>
        <w:t>and</w:t>
      </w:r>
      <w:r>
        <w:rPr>
          <w:spacing w:val="2"/>
        </w:rPr>
        <w:t> </w:t>
      </w:r>
      <w:r>
        <w:rPr/>
        <w:t>Biyang</w:t>
      </w:r>
      <w:r>
        <w:rPr>
          <w:spacing w:val="-51"/>
        </w:rPr>
        <w:t> </w:t>
      </w:r>
      <w:r>
        <w:rPr/>
        <w:t>basins,</w:t>
      </w:r>
      <w:r>
        <w:rPr>
          <w:spacing w:val="-2"/>
        </w:rPr>
        <w:t> </w:t>
      </w:r>
      <w:r>
        <w:rPr/>
        <w:t>China.</w:t>
      </w:r>
      <w:r>
        <w:rPr>
          <w:spacing w:val="-2"/>
        </w:rPr>
        <w:t> </w:t>
      </w:r>
      <w:r>
        <w:rPr/>
        <w:t>Chemical</w:t>
      </w:r>
      <w:r>
        <w:rPr>
          <w:spacing w:val="-2"/>
        </w:rPr>
        <w:t> </w:t>
      </w:r>
      <w:r>
        <w:rPr/>
        <w:t>Geology</w:t>
      </w:r>
      <w:r>
        <w:rPr>
          <w:spacing w:val="-2"/>
        </w:rPr>
        <w:t> </w:t>
      </w:r>
      <w:r>
        <w:rPr/>
        <w:t>91,</w:t>
      </w:r>
      <w:r>
        <w:rPr>
          <w:spacing w:val="-3"/>
        </w:rPr>
        <w:t> </w:t>
      </w:r>
      <w:r>
        <w:rPr/>
        <w:t>139–151.</w:t>
      </w:r>
    </w:p>
    <w:p>
      <w:pPr>
        <w:pStyle w:val="BodyText"/>
        <w:spacing w:before="1"/>
      </w:pPr>
    </w:p>
    <w:p>
      <w:pPr>
        <w:pStyle w:val="BodyText"/>
        <w:spacing w:before="1"/>
        <w:ind w:left="840" w:right="660" w:hanging="720"/>
      </w:pPr>
      <w:r>
        <w:rPr/>
        <w:t>Chicarelli,</w:t>
      </w:r>
      <w:r>
        <w:rPr>
          <w:spacing w:val="-3"/>
        </w:rPr>
        <w:t> </w:t>
      </w:r>
      <w:r>
        <w:rPr/>
        <w:t>M.I.,</w:t>
      </w:r>
      <w:r>
        <w:rPr>
          <w:spacing w:val="-2"/>
        </w:rPr>
        <w:t> </w:t>
      </w:r>
      <w:r>
        <w:rPr/>
        <w:t>Wolff,</w:t>
      </w:r>
      <w:r>
        <w:rPr>
          <w:spacing w:val="-2"/>
        </w:rPr>
        <w:t> </w:t>
      </w:r>
      <w:r>
        <w:rPr/>
        <w:t>G.A.,</w:t>
      </w:r>
      <w:r>
        <w:rPr>
          <w:spacing w:val="-2"/>
        </w:rPr>
        <w:t> </w:t>
      </w:r>
      <w:r>
        <w:rPr/>
        <w:t>Murray,</w:t>
      </w:r>
      <w:r>
        <w:rPr>
          <w:spacing w:val="-2"/>
        </w:rPr>
        <w:t> </w:t>
      </w:r>
      <w:r>
        <w:rPr/>
        <w:t>M.,</w:t>
      </w:r>
      <w:r>
        <w:rPr>
          <w:spacing w:val="-4"/>
        </w:rPr>
        <w:t> </w:t>
      </w:r>
      <w:r>
        <w:rPr/>
        <w:t>Maxwell,</w:t>
      </w:r>
      <w:r>
        <w:rPr>
          <w:spacing w:val="-4"/>
        </w:rPr>
        <w:t> </w:t>
      </w:r>
      <w:r>
        <w:rPr/>
        <w:t>J.R.,</w:t>
      </w:r>
      <w:r>
        <w:rPr>
          <w:spacing w:val="-4"/>
        </w:rPr>
        <w:t> </w:t>
      </w:r>
      <w:r>
        <w:rPr/>
        <w:t>1984.</w:t>
      </w:r>
      <w:r>
        <w:rPr>
          <w:spacing w:val="-5"/>
        </w:rPr>
        <w:t> </w:t>
      </w:r>
      <w:r>
        <w:rPr/>
        <w:t>Porphyrins</w:t>
      </w:r>
      <w:r>
        <w:rPr>
          <w:spacing w:val="-2"/>
        </w:rPr>
        <w:t> </w:t>
      </w:r>
      <w:r>
        <w:rPr/>
        <w:t>with</w:t>
      </w:r>
      <w:r>
        <w:rPr>
          <w:spacing w:val="2"/>
        </w:rPr>
        <w:t> </w:t>
      </w:r>
      <w:r>
        <w:rPr/>
        <w:t>a</w:t>
      </w:r>
      <w:r>
        <w:rPr>
          <w:spacing w:val="-5"/>
        </w:rPr>
        <w:t> </w:t>
      </w:r>
      <w:r>
        <w:rPr/>
        <w:t>novel</w:t>
      </w:r>
      <w:r>
        <w:rPr>
          <w:spacing w:val="1"/>
        </w:rPr>
        <w:t> </w:t>
      </w:r>
      <w:r>
        <w:rPr/>
        <w:t>exocyclic</w:t>
      </w:r>
      <w:r>
        <w:rPr>
          <w:spacing w:val="-51"/>
        </w:rPr>
        <w:t> </w:t>
      </w:r>
      <w:r>
        <w:rPr/>
        <w:t>ring</w:t>
      </w:r>
      <w:r>
        <w:rPr>
          <w:spacing w:val="1"/>
        </w:rPr>
        <w:t> </w:t>
      </w:r>
      <w:r>
        <w:rPr/>
        <w:t>system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an</w:t>
      </w:r>
      <w:r>
        <w:rPr>
          <w:spacing w:val="-2"/>
        </w:rPr>
        <w:t> </w:t>
      </w:r>
      <w:r>
        <w:rPr/>
        <w:t>oil</w:t>
      </w:r>
      <w:r>
        <w:rPr>
          <w:spacing w:val="-1"/>
        </w:rPr>
        <w:t> </w:t>
      </w:r>
      <w:r>
        <w:rPr/>
        <w:t>shale.</w:t>
      </w:r>
      <w:r>
        <w:rPr>
          <w:spacing w:val="1"/>
        </w:rPr>
        <w:t> </w:t>
      </w:r>
      <w:r>
        <w:rPr/>
        <w:t>Tetrahedron</w:t>
      </w:r>
      <w:r>
        <w:rPr>
          <w:spacing w:val="-1"/>
        </w:rPr>
        <w:t> </w:t>
      </w:r>
      <w:r>
        <w:rPr/>
        <w:t>40,</w:t>
      </w:r>
      <w:r>
        <w:rPr>
          <w:spacing w:val="-1"/>
        </w:rPr>
        <w:t> </w:t>
      </w:r>
      <w:r>
        <w:rPr/>
        <w:t>4033–4039.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840" w:right="927" w:hanging="720"/>
      </w:pPr>
      <w:r>
        <w:rPr/>
        <w:t>Clifford, D.J., Clayton, J.L., Sinninghe Damsté, J.S., 1998. 2,3,6-/3,4,5-Trimethyl substituted</w:t>
      </w:r>
      <w:r>
        <w:rPr>
          <w:spacing w:val="1"/>
        </w:rPr>
        <w:t> </w:t>
      </w:r>
      <w:r>
        <w:rPr/>
        <w:t>diaryl</w:t>
      </w:r>
      <w:r>
        <w:rPr>
          <w:spacing w:val="-3"/>
        </w:rPr>
        <w:t> </w:t>
      </w:r>
      <w:r>
        <w:rPr/>
        <w:t>carotenoid</w:t>
      </w:r>
      <w:r>
        <w:rPr>
          <w:spacing w:val="-3"/>
        </w:rPr>
        <w:t> </w:t>
      </w:r>
      <w:r>
        <w:rPr/>
        <w:t>derivatives</w:t>
      </w:r>
      <w:r>
        <w:rPr>
          <w:spacing w:val="-2"/>
        </w:rPr>
        <w:t> </w:t>
      </w:r>
      <w:r>
        <w:rPr/>
        <w:t>(Chlorobiaceae)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petroleums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Belarussian</w:t>
      </w:r>
      <w:r>
        <w:rPr>
          <w:spacing w:val="-2"/>
        </w:rPr>
        <w:t> </w:t>
      </w:r>
      <w:r>
        <w:rPr/>
        <w:t>Pripyat</w:t>
      </w:r>
      <w:r>
        <w:rPr>
          <w:spacing w:val="-51"/>
        </w:rPr>
        <w:t> </w:t>
      </w:r>
      <w:r>
        <w:rPr/>
        <w:t>River</w:t>
      </w:r>
      <w:r>
        <w:rPr>
          <w:spacing w:val="-2"/>
        </w:rPr>
        <w:t> </w:t>
      </w:r>
      <w:r>
        <w:rPr/>
        <w:t>Basin.</w:t>
      </w:r>
      <w:r>
        <w:rPr>
          <w:spacing w:val="1"/>
        </w:rPr>
        <w:t> </w:t>
      </w:r>
      <w:r>
        <w:rPr/>
        <w:t>Organic</w:t>
      </w:r>
      <w:r>
        <w:rPr>
          <w:spacing w:val="-1"/>
        </w:rPr>
        <w:t> </w:t>
      </w:r>
      <w:r>
        <w:rPr/>
        <w:t>Geochemistry</w:t>
      </w:r>
      <w:r>
        <w:rPr>
          <w:spacing w:val="-2"/>
        </w:rPr>
        <w:t> </w:t>
      </w:r>
      <w:r>
        <w:rPr/>
        <w:t>29,</w:t>
      </w:r>
      <w:r>
        <w:rPr>
          <w:spacing w:val="-2"/>
        </w:rPr>
        <w:t> </w:t>
      </w:r>
      <w:r>
        <w:rPr/>
        <w:t>1253–1267.</w:t>
      </w:r>
    </w:p>
    <w:p>
      <w:pPr>
        <w:pStyle w:val="BodyText"/>
      </w:pPr>
    </w:p>
    <w:p>
      <w:pPr>
        <w:pStyle w:val="BodyText"/>
        <w:ind w:left="840" w:right="660" w:hanging="720"/>
      </w:pPr>
      <w:r>
        <w:rPr/>
        <w:t>Comer,</w:t>
      </w:r>
      <w:r>
        <w:rPr>
          <w:spacing w:val="1"/>
        </w:rPr>
        <w:t> </w:t>
      </w:r>
      <w:r>
        <w:rPr/>
        <w:t>J.,</w:t>
      </w:r>
      <w:r>
        <w:rPr>
          <w:spacing w:val="-5"/>
        </w:rPr>
        <w:t> </w:t>
      </w:r>
      <w:r>
        <w:rPr/>
        <w:t>1991.</w:t>
      </w:r>
      <w:r>
        <w:rPr>
          <w:spacing w:val="-5"/>
        </w:rPr>
        <w:t> </w:t>
      </w:r>
      <w:r>
        <w:rPr/>
        <w:t>Stratigraphic</w:t>
      </w:r>
      <w:r>
        <w:rPr>
          <w:spacing w:val="-4"/>
        </w:rPr>
        <w:t> </w:t>
      </w:r>
      <w:r>
        <w:rPr/>
        <w:t>Analysis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the Upper</w:t>
      </w:r>
      <w:r>
        <w:rPr>
          <w:spacing w:val="-2"/>
        </w:rPr>
        <w:t> </w:t>
      </w:r>
      <w:r>
        <w:rPr/>
        <w:t>Devonian</w:t>
      </w:r>
      <w:r>
        <w:rPr>
          <w:spacing w:val="-3"/>
        </w:rPr>
        <w:t> </w:t>
      </w:r>
      <w:r>
        <w:rPr/>
        <w:t>Woodford</w:t>
      </w:r>
      <w:r>
        <w:rPr>
          <w:spacing w:val="-3"/>
        </w:rPr>
        <w:t> </w:t>
      </w:r>
      <w:r>
        <w:rPr/>
        <w:t>Formation,</w:t>
      </w:r>
      <w:r>
        <w:rPr>
          <w:spacing w:val="-4"/>
        </w:rPr>
        <w:t> </w:t>
      </w:r>
      <w:r>
        <w:rPr/>
        <w:t>Permian</w:t>
      </w:r>
      <w:r>
        <w:rPr>
          <w:spacing w:val="-51"/>
        </w:rPr>
        <w:t> </w:t>
      </w:r>
      <w:r>
        <w:rPr/>
        <w:t>Basin, West Texas and Southeastern New Mexico (Report Investigation), Report</w:t>
      </w:r>
      <w:r>
        <w:rPr>
          <w:spacing w:val="1"/>
        </w:rPr>
        <w:t> </w:t>
      </w:r>
      <w:r>
        <w:rPr/>
        <w:t>Investigation. University of Texas at Austin, Bureau of Economic Geology.</w:t>
      </w:r>
      <w:r>
        <w:rPr>
          <w:spacing w:val="1"/>
        </w:rPr>
        <w:t> </w:t>
      </w:r>
      <w:r>
        <w:rPr/>
        <w:t>doi:10.23867/RI0201D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840" w:right="660" w:hanging="720"/>
      </w:pPr>
      <w:r>
        <w:rPr/>
        <w:t>Connock,</w:t>
      </w:r>
      <w:r>
        <w:rPr>
          <w:spacing w:val="-3"/>
        </w:rPr>
        <w:t> </w:t>
      </w:r>
      <w:r>
        <w:rPr/>
        <w:t>G.T.,</w:t>
      </w:r>
      <w:r>
        <w:rPr>
          <w:spacing w:val="-2"/>
        </w:rPr>
        <w:t> </w:t>
      </w:r>
      <w:r>
        <w:rPr/>
        <w:t>2015.</w:t>
      </w:r>
      <w:r>
        <w:rPr>
          <w:spacing w:val="-4"/>
        </w:rPr>
        <w:t> </w:t>
      </w:r>
      <w:r>
        <w:rPr/>
        <w:t>Paleoenvironmental</w:t>
      </w:r>
      <w:r>
        <w:rPr>
          <w:spacing w:val="-4"/>
        </w:rPr>
        <w:t> </w:t>
      </w:r>
      <w:r>
        <w:rPr/>
        <w:t>Interpretation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1"/>
        </w:rPr>
        <w:t> </w:t>
      </w:r>
      <w:r>
        <w:rPr/>
        <w:t>Woodford</w:t>
      </w:r>
      <w:r>
        <w:rPr>
          <w:spacing w:val="-3"/>
        </w:rPr>
        <w:t> </w:t>
      </w:r>
      <w:r>
        <w:rPr/>
        <w:t>Shale,</w:t>
      </w:r>
      <w:r>
        <w:rPr>
          <w:spacing w:val="-3"/>
        </w:rPr>
        <w:t> </w:t>
      </w:r>
      <w:r>
        <w:rPr/>
        <w:t>Wyche</w:t>
      </w:r>
      <w:r>
        <w:rPr>
          <w:spacing w:val="-3"/>
        </w:rPr>
        <w:t> </w:t>
      </w:r>
      <w:r>
        <w:rPr/>
        <w:t>Farm</w:t>
      </w:r>
      <w:r>
        <w:rPr>
          <w:spacing w:val="-51"/>
        </w:rPr>
        <w:t> </w:t>
      </w:r>
      <w:r>
        <w:rPr/>
        <w:t>Shale Pit, Pontotoc Country, Arkoma Basin, Oklahoma With Primary Focus on Water</w:t>
      </w:r>
      <w:r>
        <w:rPr>
          <w:spacing w:val="1"/>
        </w:rPr>
        <w:t> </w:t>
      </w:r>
      <w:r>
        <w:rPr/>
        <w:t>Column</w:t>
      </w:r>
      <w:r>
        <w:rPr>
          <w:spacing w:val="-2"/>
        </w:rPr>
        <w:t> </w:t>
      </w:r>
      <w:r>
        <w:rPr/>
        <w:t>Structure.</w:t>
      </w:r>
      <w:r>
        <w:rPr>
          <w:spacing w:val="-1"/>
        </w:rPr>
        <w:t> </w:t>
      </w:r>
      <w:r>
        <w:rPr/>
        <w:t>University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Oklahoma.</w:t>
      </w:r>
    </w:p>
    <w:p>
      <w:pPr>
        <w:pStyle w:val="BodyText"/>
        <w:spacing w:before="2"/>
      </w:pPr>
    </w:p>
    <w:p>
      <w:pPr>
        <w:pStyle w:val="BodyText"/>
        <w:ind w:left="840" w:right="961" w:hanging="720"/>
      </w:pPr>
      <w:r>
        <w:rPr/>
        <w:t>Connock,</w:t>
      </w:r>
      <w:r>
        <w:rPr>
          <w:spacing w:val="-4"/>
        </w:rPr>
        <w:t> </w:t>
      </w:r>
      <w:r>
        <w:rPr/>
        <w:t>G.T.,</w:t>
      </w:r>
      <w:r>
        <w:rPr>
          <w:spacing w:val="-3"/>
        </w:rPr>
        <w:t> </w:t>
      </w:r>
      <w:r>
        <w:rPr/>
        <w:t>2021.</w:t>
      </w:r>
      <w:r>
        <w:rPr>
          <w:spacing w:val="-4"/>
        </w:rPr>
        <w:t> </w:t>
      </w:r>
      <w:r>
        <w:rPr/>
        <w:t>Novel Biomarker</w:t>
      </w:r>
      <w:r>
        <w:rPr>
          <w:spacing w:val="-3"/>
        </w:rPr>
        <w:t> </w:t>
      </w:r>
      <w:r>
        <w:rPr/>
        <w:t>Application</w:t>
      </w:r>
      <w:r>
        <w:rPr>
          <w:spacing w:val="-3"/>
        </w:rPr>
        <w:t> </w:t>
      </w:r>
      <w:r>
        <w:rPr/>
        <w:t>Reveals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Microbial</w:t>
      </w:r>
      <w:r>
        <w:rPr>
          <w:spacing w:val="-3"/>
        </w:rPr>
        <w:t> </w:t>
      </w:r>
      <w:r>
        <w:rPr/>
        <w:t>Ecological</w:t>
      </w:r>
      <w:r>
        <w:rPr>
          <w:spacing w:val="-4"/>
        </w:rPr>
        <w:t> </w:t>
      </w:r>
      <w:r>
        <w:rPr/>
        <w:t>Dynamics</w:t>
      </w:r>
      <w:r>
        <w:rPr>
          <w:spacing w:val="-51"/>
        </w:rPr>
        <w:t> </w:t>
      </w:r>
      <w:r>
        <w:rPr/>
        <w:t>Surrounding</w:t>
      </w:r>
      <w:r>
        <w:rPr>
          <w:spacing w:val="-2"/>
        </w:rPr>
        <w:t> </w:t>
      </w:r>
      <w:r>
        <w:rPr/>
        <w:t>Oceanic</w:t>
      </w:r>
      <w:r>
        <w:rPr>
          <w:spacing w:val="-2"/>
        </w:rPr>
        <w:t> </w:t>
      </w:r>
      <w:r>
        <w:rPr/>
        <w:t>Anoxic</w:t>
      </w:r>
      <w:r>
        <w:rPr>
          <w:spacing w:val="-2"/>
        </w:rPr>
        <w:t> </w:t>
      </w:r>
      <w:r>
        <w:rPr/>
        <w:t>Event</w:t>
      </w:r>
      <w:r>
        <w:rPr>
          <w:spacing w:val="-2"/>
        </w:rPr>
        <w:t> </w:t>
      </w:r>
      <w:r>
        <w:rPr/>
        <w:t>II</w:t>
      </w:r>
      <w:r>
        <w:rPr>
          <w:spacing w:val="-1"/>
        </w:rPr>
        <w:t> </w:t>
      </w:r>
      <w:r>
        <w:rPr/>
        <w:t>(OAE-2).</w:t>
      </w:r>
      <w:r>
        <w:rPr>
          <w:spacing w:val="-3"/>
        </w:rPr>
        <w:t> </w:t>
      </w:r>
      <w:r>
        <w:rPr/>
        <w:t>University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Oklahoma.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spacing w:before="1"/>
        <w:ind w:left="840" w:right="1151" w:hanging="720"/>
      </w:pPr>
      <w:r>
        <w:rPr/>
        <w:t>Connock, G.T., Nguyen, T.X., Philp, R.P., 2018. The development and extent of photic-zone</w:t>
      </w:r>
      <w:r>
        <w:rPr>
          <w:spacing w:val="-52"/>
        </w:rPr>
        <w:t> </w:t>
      </w:r>
      <w:r>
        <w:rPr/>
        <w:t>euxinia</w:t>
      </w:r>
      <w:r>
        <w:rPr>
          <w:spacing w:val="-3"/>
        </w:rPr>
        <w:t> </w:t>
      </w:r>
      <w:r>
        <w:rPr/>
        <w:t>concomitant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Woodford</w:t>
      </w:r>
      <w:r>
        <w:rPr>
          <w:spacing w:val="-4"/>
        </w:rPr>
        <w:t> </w:t>
      </w:r>
      <w:r>
        <w:rPr/>
        <w:t>Shale</w:t>
      </w:r>
      <w:r>
        <w:rPr>
          <w:spacing w:val="-3"/>
        </w:rPr>
        <w:t> </w:t>
      </w:r>
      <w:r>
        <w:rPr/>
        <w:t>deposition.</w:t>
      </w:r>
      <w:r>
        <w:rPr>
          <w:spacing w:val="-4"/>
        </w:rPr>
        <w:t> </w:t>
      </w:r>
      <w:r>
        <w:rPr/>
        <w:t>AAPG</w:t>
      </w:r>
      <w:r>
        <w:rPr>
          <w:spacing w:val="-4"/>
        </w:rPr>
        <w:t> </w:t>
      </w:r>
      <w:r>
        <w:rPr/>
        <w:t>Bulletin</w:t>
      </w:r>
      <w:r>
        <w:rPr>
          <w:spacing w:val="-3"/>
        </w:rPr>
        <w:t> </w:t>
      </w:r>
      <w:r>
        <w:rPr/>
        <w:t>102,</w:t>
      </w:r>
      <w:r>
        <w:rPr>
          <w:spacing w:val="-5"/>
        </w:rPr>
        <w:t> </w:t>
      </w:r>
      <w:r>
        <w:rPr/>
        <w:t>959–986.</w:t>
      </w:r>
    </w:p>
    <w:p>
      <w:pPr>
        <w:spacing w:after="0"/>
        <w:sectPr>
          <w:pgSz w:w="12240" w:h="15840"/>
          <w:pgMar w:header="0" w:footer="1014" w:top="1400" w:bottom="1200" w:left="1320" w:right="820"/>
        </w:sectPr>
      </w:pPr>
    </w:p>
    <w:p>
      <w:pPr>
        <w:pStyle w:val="BodyText"/>
        <w:spacing w:before="39"/>
        <w:ind w:left="840" w:right="660" w:hanging="720"/>
      </w:pPr>
      <w:r>
        <w:rPr/>
        <w:t>Copper,</w:t>
      </w:r>
      <w:r>
        <w:rPr>
          <w:spacing w:val="-4"/>
        </w:rPr>
        <w:t> </w:t>
      </w:r>
      <w:r>
        <w:rPr/>
        <w:t>P.,</w:t>
      </w:r>
      <w:r>
        <w:rPr>
          <w:spacing w:val="-2"/>
        </w:rPr>
        <w:t> </w:t>
      </w:r>
      <w:r>
        <w:rPr/>
        <w:t>1986.</w:t>
      </w:r>
      <w:r>
        <w:rPr>
          <w:spacing w:val="-5"/>
        </w:rPr>
        <w:t> </w:t>
      </w:r>
      <w:r>
        <w:rPr/>
        <w:t>Frasnian/Famennian</w:t>
      </w:r>
      <w:r>
        <w:rPr>
          <w:spacing w:val="-1"/>
        </w:rPr>
        <w:t> </w:t>
      </w:r>
      <w:r>
        <w:rPr/>
        <w:t>mass</w:t>
      </w:r>
      <w:r>
        <w:rPr>
          <w:spacing w:val="-3"/>
        </w:rPr>
        <w:t> </w:t>
      </w:r>
      <w:r>
        <w:rPr/>
        <w:t>extinction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cold-water</w:t>
      </w:r>
      <w:r>
        <w:rPr>
          <w:spacing w:val="-1"/>
        </w:rPr>
        <w:t> </w:t>
      </w:r>
      <w:r>
        <w:rPr/>
        <w:t>oceans.</w:t>
      </w:r>
      <w:r>
        <w:rPr>
          <w:spacing w:val="-2"/>
        </w:rPr>
        <w:t> </w:t>
      </w:r>
      <w:r>
        <w:rPr/>
        <w:t>Geology</w:t>
      </w:r>
      <w:r>
        <w:rPr>
          <w:spacing w:val="-4"/>
        </w:rPr>
        <w:t> </w:t>
      </w:r>
      <w:r>
        <w:rPr/>
        <w:t>14,</w:t>
      </w:r>
      <w:r>
        <w:rPr>
          <w:spacing w:val="-51"/>
        </w:rPr>
        <w:t> </w:t>
      </w:r>
      <w:r>
        <w:rPr/>
        <w:t>835–839.</w:t>
      </w:r>
    </w:p>
    <w:p>
      <w:pPr>
        <w:pStyle w:val="BodyText"/>
        <w:spacing w:before="12"/>
        <w:rPr>
          <w:sz w:val="23"/>
        </w:rPr>
      </w:pPr>
    </w:p>
    <w:p>
      <w:pPr>
        <w:pStyle w:val="BodyText"/>
        <w:ind w:left="840" w:right="660" w:hanging="720"/>
      </w:pPr>
      <w:r>
        <w:rPr/>
        <w:t>Cui,</w:t>
      </w:r>
      <w:r>
        <w:rPr>
          <w:spacing w:val="-2"/>
        </w:rPr>
        <w:t> </w:t>
      </w:r>
      <w:r>
        <w:rPr/>
        <w:t>X.,</w:t>
      </w:r>
      <w:r>
        <w:rPr>
          <w:spacing w:val="-1"/>
        </w:rPr>
        <w:t> </w:t>
      </w:r>
      <w:r>
        <w:rPr/>
        <w:t>Liu,</w:t>
      </w:r>
      <w:r>
        <w:rPr>
          <w:spacing w:val="-4"/>
        </w:rPr>
        <w:t> </w:t>
      </w:r>
      <w:r>
        <w:rPr/>
        <w:t>X.-L.,</w:t>
      </w:r>
      <w:r>
        <w:rPr>
          <w:spacing w:val="-1"/>
        </w:rPr>
        <w:t> </w:t>
      </w:r>
      <w:r>
        <w:rPr/>
        <w:t>Shen,</w:t>
      </w:r>
      <w:r>
        <w:rPr>
          <w:spacing w:val="-3"/>
        </w:rPr>
        <w:t> </w:t>
      </w:r>
      <w:r>
        <w:rPr/>
        <w:t>G.,</w:t>
      </w:r>
      <w:r>
        <w:rPr>
          <w:spacing w:val="-1"/>
        </w:rPr>
        <w:t> </w:t>
      </w:r>
      <w:r>
        <w:rPr/>
        <w:t>Ma,</w:t>
      </w:r>
      <w:r>
        <w:rPr>
          <w:spacing w:val="-1"/>
        </w:rPr>
        <w:t> </w:t>
      </w:r>
      <w:r>
        <w:rPr/>
        <w:t>J.,</w:t>
      </w:r>
      <w:r>
        <w:rPr>
          <w:spacing w:val="-5"/>
        </w:rPr>
        <w:t> </w:t>
      </w:r>
      <w:r>
        <w:rPr/>
        <w:t>Husain,</w:t>
      </w:r>
      <w:r>
        <w:rPr>
          <w:spacing w:val="-4"/>
        </w:rPr>
        <w:t> </w:t>
      </w:r>
      <w:r>
        <w:rPr/>
        <w:t>F.,</w:t>
      </w:r>
      <w:r>
        <w:rPr>
          <w:spacing w:val="-1"/>
        </w:rPr>
        <w:t> </w:t>
      </w:r>
      <w:r>
        <w:rPr/>
        <w:t>Rocher,</w:t>
      </w:r>
      <w:r>
        <w:rPr>
          <w:spacing w:val="3"/>
        </w:rPr>
        <w:t> </w:t>
      </w:r>
      <w:r>
        <w:rPr/>
        <w:t>D.,</w:t>
      </w:r>
      <w:r>
        <w:rPr>
          <w:spacing w:val="-3"/>
        </w:rPr>
        <w:t> </w:t>
      </w:r>
      <w:r>
        <w:rPr/>
        <w:t>Zumberge,</w:t>
      </w:r>
      <w:r>
        <w:rPr>
          <w:spacing w:val="-3"/>
        </w:rPr>
        <w:t> </w:t>
      </w:r>
      <w:r>
        <w:rPr/>
        <w:t>J.E.,</w:t>
      </w:r>
      <w:r>
        <w:rPr>
          <w:spacing w:val="-2"/>
        </w:rPr>
        <w:t> </w:t>
      </w:r>
      <w:r>
        <w:rPr/>
        <w:t>Bryant,</w:t>
      </w:r>
      <w:r>
        <w:rPr>
          <w:spacing w:val="-2"/>
        </w:rPr>
        <w:t> </w:t>
      </w:r>
      <w:r>
        <w:rPr/>
        <w:t>D.A.,</w:t>
      </w:r>
      <w:r>
        <w:rPr>
          <w:spacing w:val="-1"/>
        </w:rPr>
        <w:t> </w:t>
      </w:r>
      <w:r>
        <w:rPr/>
        <w:t>Summons,</w:t>
      </w:r>
      <w:r>
        <w:rPr>
          <w:spacing w:val="-52"/>
        </w:rPr>
        <w:t> </w:t>
      </w:r>
      <w:r>
        <w:rPr/>
        <w:t>R.E., 2020. Niche expansion for phototrophic sulfur bacteria at the Proterozoic–</w:t>
      </w:r>
      <w:r>
        <w:rPr>
          <w:spacing w:val="1"/>
        </w:rPr>
        <w:t> </w:t>
      </w:r>
      <w:r>
        <w:rPr/>
        <w:t>Phanerozoic transition. Proceedings of the National Academy of Sciences 117, 17599–</w:t>
      </w:r>
      <w:r>
        <w:rPr>
          <w:spacing w:val="1"/>
        </w:rPr>
        <w:t> </w:t>
      </w:r>
      <w:r>
        <w:rPr/>
        <w:t>17606.</w:t>
      </w:r>
    </w:p>
    <w:p>
      <w:pPr>
        <w:pStyle w:val="BodyText"/>
        <w:spacing w:before="1"/>
      </w:pPr>
    </w:p>
    <w:p>
      <w:pPr>
        <w:pStyle w:val="BodyText"/>
        <w:ind w:left="840" w:right="660" w:hanging="720"/>
      </w:pPr>
      <w:r>
        <w:rPr/>
        <w:t>Cullen, A., 2020. Woodford Shale Mercury Anomalies from the McAlister Cemetery Quarry,</w:t>
      </w:r>
      <w:r>
        <w:rPr>
          <w:spacing w:val="1"/>
        </w:rPr>
        <w:t> </w:t>
      </w:r>
      <w:r>
        <w:rPr/>
        <w:t>Oklahoma: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North</w:t>
      </w:r>
      <w:r>
        <w:rPr>
          <w:spacing w:val="-3"/>
        </w:rPr>
        <w:t> </w:t>
      </w:r>
      <w:r>
        <w:rPr/>
        <w:t>American</w:t>
      </w:r>
      <w:r>
        <w:rPr>
          <w:spacing w:val="-3"/>
        </w:rPr>
        <w:t> </w:t>
      </w:r>
      <w:r>
        <w:rPr/>
        <w:t>Test</w:t>
      </w:r>
      <w:r>
        <w:rPr>
          <w:spacing w:val="2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Volcanic-Trigger</w:t>
      </w:r>
      <w:r>
        <w:rPr>
          <w:spacing w:val="-2"/>
        </w:rPr>
        <w:t> </w:t>
      </w:r>
      <w:r>
        <w:rPr/>
        <w:t>Hypothesis</w:t>
      </w:r>
      <w:r>
        <w:rPr>
          <w:spacing w:val="-2"/>
        </w:rPr>
        <w:t> </w:t>
      </w:r>
      <w:r>
        <w:rPr/>
        <w:t>for</w:t>
      </w:r>
      <w:r>
        <w:rPr>
          <w:spacing w:val="-3"/>
        </w:rPr>
        <w:t> </w:t>
      </w:r>
      <w:r>
        <w:rPr/>
        <w:t>Late</w:t>
      </w:r>
      <w:r>
        <w:rPr>
          <w:spacing w:val="-2"/>
        </w:rPr>
        <w:t> </w:t>
      </w:r>
      <w:r>
        <w:rPr/>
        <w:t>Devonian</w:t>
      </w:r>
      <w:r>
        <w:rPr>
          <w:spacing w:val="-51"/>
        </w:rPr>
        <w:t> </w:t>
      </w:r>
      <w:r>
        <w:rPr/>
        <w:t>Mass</w:t>
      </w:r>
      <w:r>
        <w:rPr>
          <w:spacing w:val="-3"/>
        </w:rPr>
        <w:t> </w:t>
      </w:r>
      <w:r>
        <w:rPr/>
        <w:t>Extinctions.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Shale</w:t>
      </w:r>
      <w:r>
        <w:rPr>
          <w:spacing w:val="-1"/>
        </w:rPr>
        <w:t> </w:t>
      </w:r>
      <w:r>
        <w:rPr/>
        <w:t>Shaker</w:t>
      </w:r>
      <w:r>
        <w:rPr>
          <w:spacing w:val="-2"/>
        </w:rPr>
        <w:t> </w:t>
      </w:r>
      <w:r>
        <w:rPr/>
        <w:t>Oklahoma</w:t>
      </w:r>
      <w:r>
        <w:rPr>
          <w:spacing w:val="-1"/>
        </w:rPr>
        <w:t> </w:t>
      </w:r>
      <w:r>
        <w:rPr/>
        <w:t>City</w:t>
      </w:r>
      <w:r>
        <w:rPr>
          <w:spacing w:val="-2"/>
        </w:rPr>
        <w:t> </w:t>
      </w:r>
      <w:r>
        <w:rPr/>
        <w:t>Geological</w:t>
      </w:r>
      <w:r>
        <w:rPr>
          <w:spacing w:val="-1"/>
        </w:rPr>
        <w:t> </w:t>
      </w:r>
      <w:r>
        <w:rPr/>
        <w:t>Society 71.</w:t>
      </w:r>
    </w:p>
    <w:p>
      <w:pPr>
        <w:pStyle w:val="BodyText"/>
      </w:pPr>
    </w:p>
    <w:p>
      <w:pPr>
        <w:pStyle w:val="BodyText"/>
        <w:ind w:left="840" w:right="660" w:hanging="720"/>
      </w:pPr>
      <w:r>
        <w:rPr/>
        <w:t>David,</w:t>
      </w:r>
      <w:r>
        <w:rPr>
          <w:spacing w:val="-2"/>
        </w:rPr>
        <w:t> </w:t>
      </w:r>
      <w:r>
        <w:rPr/>
        <w:t>A.,</w:t>
      </w:r>
      <w:r>
        <w:rPr>
          <w:spacing w:val="-4"/>
        </w:rPr>
        <w:t> </w:t>
      </w:r>
      <w:r>
        <w:rPr/>
        <w:t>1998. Recognition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Photic</w:t>
      </w:r>
      <w:r>
        <w:rPr>
          <w:spacing w:val="-1"/>
        </w:rPr>
        <w:t> </w:t>
      </w:r>
      <w:r>
        <w:rPr/>
        <w:t>Zone</w:t>
      </w:r>
      <w:r>
        <w:rPr>
          <w:spacing w:val="-3"/>
        </w:rPr>
        <w:t> </w:t>
      </w:r>
      <w:r>
        <w:rPr/>
        <w:t>Anoxia</w:t>
      </w:r>
      <w:r>
        <w:rPr>
          <w:spacing w:val="-2"/>
        </w:rPr>
        <w:t> </w:t>
      </w:r>
      <w:r>
        <w:rPr/>
        <w:t>from</w:t>
      </w:r>
      <w:r>
        <w:rPr>
          <w:spacing w:val="-4"/>
        </w:rPr>
        <w:t> </w:t>
      </w:r>
      <w:r>
        <w:rPr/>
        <w:t>LC-MS</w:t>
      </w:r>
      <w:r>
        <w:rPr>
          <w:spacing w:val="-4"/>
        </w:rPr>
        <w:t> </w:t>
      </w:r>
      <w:r>
        <w:rPr/>
        <w:t>Studies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Porphyrin</w:t>
      </w:r>
      <w:r>
        <w:rPr>
          <w:spacing w:val="-52"/>
        </w:rPr>
        <w:t> </w:t>
      </w:r>
      <w:r>
        <w:rPr/>
        <w:t>Distributions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Ancient</w:t>
      </w:r>
      <w:r>
        <w:rPr>
          <w:spacing w:val="2"/>
        </w:rPr>
        <w:t> </w:t>
      </w:r>
      <w:r>
        <w:rPr/>
        <w:t>Sediments.</w:t>
      </w:r>
      <w:r>
        <w:rPr>
          <w:spacing w:val="-1"/>
        </w:rPr>
        <w:t> </w:t>
      </w:r>
      <w:r>
        <w:rPr/>
        <w:t>University of</w:t>
      </w:r>
      <w:r>
        <w:rPr>
          <w:spacing w:val="3"/>
        </w:rPr>
        <w:t> </w:t>
      </w:r>
      <w:r>
        <w:rPr/>
        <w:t>Bristol.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840" w:right="660" w:hanging="720"/>
      </w:pPr>
      <w:r>
        <w:rPr/>
        <w:t>De Vleeschouwer,</w:t>
      </w:r>
      <w:r>
        <w:rPr>
          <w:spacing w:val="-2"/>
        </w:rPr>
        <w:t> </w:t>
      </w:r>
      <w:r>
        <w:rPr/>
        <w:t>D.,</w:t>
      </w:r>
      <w:r>
        <w:rPr>
          <w:spacing w:val="-5"/>
        </w:rPr>
        <w:t> </w:t>
      </w:r>
      <w:r>
        <w:rPr/>
        <w:t>Rakociński,</w:t>
      </w:r>
      <w:r>
        <w:rPr>
          <w:spacing w:val="2"/>
        </w:rPr>
        <w:t> </w:t>
      </w:r>
      <w:r>
        <w:rPr/>
        <w:t>M.,</w:t>
      </w:r>
      <w:r>
        <w:rPr>
          <w:spacing w:val="-3"/>
        </w:rPr>
        <w:t> </w:t>
      </w:r>
      <w:r>
        <w:rPr/>
        <w:t>Racki,</w:t>
      </w:r>
      <w:r>
        <w:rPr>
          <w:spacing w:val="-2"/>
        </w:rPr>
        <w:t> </w:t>
      </w:r>
      <w:r>
        <w:rPr/>
        <w:t>G.,</w:t>
      </w:r>
      <w:r>
        <w:rPr>
          <w:spacing w:val="-3"/>
        </w:rPr>
        <w:t> </w:t>
      </w:r>
      <w:r>
        <w:rPr/>
        <w:t>Bond,</w:t>
      </w:r>
      <w:r>
        <w:rPr>
          <w:spacing w:val="-2"/>
        </w:rPr>
        <w:t> </w:t>
      </w:r>
      <w:r>
        <w:rPr/>
        <w:t>D.P.G.,</w:t>
      </w:r>
      <w:r>
        <w:rPr>
          <w:spacing w:val="-1"/>
        </w:rPr>
        <w:t> </w:t>
      </w:r>
      <w:r>
        <w:rPr/>
        <w:t>Sobień, K.,</w:t>
      </w:r>
      <w:r>
        <w:rPr>
          <w:spacing w:val="-2"/>
        </w:rPr>
        <w:t> </w:t>
      </w:r>
      <w:r>
        <w:rPr/>
        <w:t>Claeys,</w:t>
      </w:r>
      <w:r>
        <w:rPr>
          <w:spacing w:val="-3"/>
        </w:rPr>
        <w:t> </w:t>
      </w:r>
      <w:r>
        <w:rPr/>
        <w:t>P.,</w:t>
      </w:r>
      <w:r>
        <w:rPr>
          <w:spacing w:val="-2"/>
        </w:rPr>
        <w:t> </w:t>
      </w:r>
      <w:r>
        <w:rPr/>
        <w:t>2013.</w:t>
      </w:r>
      <w:r>
        <w:rPr>
          <w:spacing w:val="-5"/>
        </w:rPr>
        <w:t> </w:t>
      </w:r>
      <w:r>
        <w:rPr/>
        <w:t>The</w:t>
      </w:r>
      <w:r>
        <w:rPr>
          <w:spacing w:val="-52"/>
        </w:rPr>
        <w:t> </w:t>
      </w:r>
      <w:r>
        <w:rPr/>
        <w:t>astronomical rhythm of Late-Devonian climate change (Kowala section, Holy Cross</w:t>
      </w:r>
      <w:r>
        <w:rPr>
          <w:spacing w:val="1"/>
        </w:rPr>
        <w:t> </w:t>
      </w:r>
      <w:r>
        <w:rPr/>
        <w:t>Mountains,</w:t>
      </w:r>
      <w:r>
        <w:rPr>
          <w:spacing w:val="-2"/>
        </w:rPr>
        <w:t> </w:t>
      </w:r>
      <w:r>
        <w:rPr/>
        <w:t>Poland).</w:t>
      </w:r>
      <w:r>
        <w:rPr>
          <w:spacing w:val="-4"/>
        </w:rPr>
        <w:t> </w:t>
      </w:r>
      <w:r>
        <w:rPr/>
        <w:t>Earth</w:t>
      </w:r>
      <w:r>
        <w:rPr>
          <w:spacing w:val="3"/>
        </w:rPr>
        <w:t> </w:t>
      </w:r>
      <w:r>
        <w:rPr/>
        <w:t>and</w:t>
      </w:r>
      <w:r>
        <w:rPr>
          <w:spacing w:val="-3"/>
        </w:rPr>
        <w:t> </w:t>
      </w:r>
      <w:r>
        <w:rPr/>
        <w:t>Planetary</w:t>
      </w:r>
      <w:r>
        <w:rPr>
          <w:spacing w:val="-1"/>
        </w:rPr>
        <w:t> </w:t>
      </w:r>
      <w:r>
        <w:rPr/>
        <w:t>Science</w:t>
      </w:r>
      <w:r>
        <w:rPr>
          <w:spacing w:val="-2"/>
        </w:rPr>
        <w:t> </w:t>
      </w:r>
      <w:r>
        <w:rPr/>
        <w:t>Letters</w:t>
      </w:r>
      <w:r>
        <w:rPr>
          <w:spacing w:val="-1"/>
        </w:rPr>
        <w:t> </w:t>
      </w:r>
      <w:r>
        <w:rPr/>
        <w:t>365,</w:t>
      </w:r>
      <w:r>
        <w:rPr>
          <w:spacing w:val="-3"/>
        </w:rPr>
        <w:t> </w:t>
      </w:r>
      <w:r>
        <w:rPr/>
        <w:t>25–37.</w:t>
      </w:r>
    </w:p>
    <w:p>
      <w:pPr>
        <w:pStyle w:val="BodyText"/>
      </w:pPr>
    </w:p>
    <w:p>
      <w:pPr>
        <w:pStyle w:val="BodyText"/>
        <w:ind w:left="840" w:right="911" w:hanging="720"/>
      </w:pPr>
      <w:r>
        <w:rPr/>
        <w:t>Drew, M.G.B., Mitchell, P.C.H., Scott, C.E., 1984. Crystal and molecular structure of three</w:t>
      </w:r>
      <w:r>
        <w:rPr>
          <w:spacing w:val="1"/>
        </w:rPr>
        <w:t> </w:t>
      </w:r>
      <w:r>
        <w:rPr/>
        <w:t>oxovanadium(IV)</w:t>
      </w:r>
      <w:r>
        <w:rPr>
          <w:spacing w:val="-6"/>
        </w:rPr>
        <w:t> </w:t>
      </w:r>
      <w:r>
        <w:rPr/>
        <w:t>porphyrins:</w:t>
      </w:r>
      <w:r>
        <w:rPr>
          <w:spacing w:val="-5"/>
        </w:rPr>
        <w:t> </w:t>
      </w:r>
      <w:r>
        <w:rPr/>
        <w:t>oxovanadium</w:t>
      </w:r>
      <w:r>
        <w:rPr>
          <w:spacing w:val="-6"/>
        </w:rPr>
        <w:t> </w:t>
      </w:r>
      <w:r>
        <w:rPr/>
        <w:t>tetraphenylporphyrin(I),</w:t>
      </w:r>
      <w:r>
        <w:rPr>
          <w:spacing w:val="-6"/>
        </w:rPr>
        <w:t> </w:t>
      </w:r>
      <w:r>
        <w:rPr/>
        <w:t>oxovanadium(IV)</w:t>
      </w:r>
      <w:r>
        <w:rPr>
          <w:spacing w:val="-51"/>
        </w:rPr>
        <w:t> </w:t>
      </w:r>
      <w:r>
        <w:rPr/>
        <w:t>etioporphyrin(II) and the 1:2 adduct of (II) with 1,4-dihydroxybenzene(III). Hydrogen</w:t>
      </w:r>
      <w:r>
        <w:rPr>
          <w:spacing w:val="1"/>
        </w:rPr>
        <w:t> </w:t>
      </w:r>
      <w:r>
        <w:rPr/>
        <w:t>bonding involving the VO group. Relevance to catalytic demetallisation. Inorganica</w:t>
      </w:r>
      <w:r>
        <w:rPr>
          <w:spacing w:val="1"/>
        </w:rPr>
        <w:t> </w:t>
      </w:r>
      <w:r>
        <w:rPr/>
        <w:t>Chimica</w:t>
      </w:r>
      <w:r>
        <w:rPr>
          <w:spacing w:val="-2"/>
        </w:rPr>
        <w:t> </w:t>
      </w:r>
      <w:r>
        <w:rPr/>
        <w:t>Acta</w:t>
      </w:r>
      <w:r>
        <w:rPr>
          <w:spacing w:val="1"/>
        </w:rPr>
        <w:t> </w:t>
      </w:r>
      <w:r>
        <w:rPr/>
        <w:t>82,</w:t>
      </w:r>
      <w:r>
        <w:rPr>
          <w:spacing w:val="-2"/>
        </w:rPr>
        <w:t> </w:t>
      </w:r>
      <w:r>
        <w:rPr/>
        <w:t>63–68.</w:t>
      </w:r>
    </w:p>
    <w:p>
      <w:pPr>
        <w:pStyle w:val="BodyText"/>
        <w:spacing w:before="1"/>
      </w:pPr>
    </w:p>
    <w:p>
      <w:pPr>
        <w:pStyle w:val="BodyText"/>
        <w:ind w:left="840" w:right="660" w:hanging="720"/>
      </w:pPr>
      <w:r>
        <w:rPr/>
        <w:t>Dutta,</w:t>
      </w:r>
      <w:r>
        <w:rPr>
          <w:spacing w:val="-4"/>
        </w:rPr>
        <w:t> </w:t>
      </w:r>
      <w:r>
        <w:rPr/>
        <w:t>S.,</w:t>
      </w:r>
      <w:r>
        <w:rPr>
          <w:spacing w:val="-2"/>
        </w:rPr>
        <w:t> </w:t>
      </w:r>
      <w:r>
        <w:rPr/>
        <w:t>Bhattacharya,</w:t>
      </w:r>
      <w:r>
        <w:rPr>
          <w:spacing w:val="-5"/>
        </w:rPr>
        <w:t> </w:t>
      </w:r>
      <w:r>
        <w:rPr/>
        <w:t>S.,</w:t>
      </w:r>
      <w:r>
        <w:rPr>
          <w:spacing w:val="-2"/>
        </w:rPr>
        <w:t> </w:t>
      </w:r>
      <w:r>
        <w:rPr/>
        <w:t>Raju,</w:t>
      </w:r>
      <w:r>
        <w:rPr>
          <w:spacing w:val="-3"/>
        </w:rPr>
        <w:t> </w:t>
      </w:r>
      <w:r>
        <w:rPr/>
        <w:t>S.V.,</w:t>
      </w:r>
      <w:r>
        <w:rPr>
          <w:spacing w:val="-3"/>
        </w:rPr>
        <w:t> </w:t>
      </w:r>
      <w:r>
        <w:rPr/>
        <w:t>2013. Biomarker</w:t>
      </w:r>
      <w:r>
        <w:rPr>
          <w:spacing w:val="-3"/>
        </w:rPr>
        <w:t> </w:t>
      </w:r>
      <w:r>
        <w:rPr/>
        <w:t>signatures</w:t>
      </w:r>
      <w:r>
        <w:rPr>
          <w:spacing w:val="-4"/>
        </w:rPr>
        <w:t> </w:t>
      </w:r>
      <w:r>
        <w:rPr/>
        <w:t>from</w:t>
      </w:r>
      <w:r>
        <w:rPr>
          <w:spacing w:val="-2"/>
        </w:rPr>
        <w:t> </w:t>
      </w:r>
      <w:r>
        <w:rPr/>
        <w:t>Neoproterozoic–Early</w:t>
      </w:r>
      <w:r>
        <w:rPr>
          <w:spacing w:val="-51"/>
        </w:rPr>
        <w:t> </w:t>
      </w:r>
      <w:r>
        <w:rPr/>
        <w:t>Cambrian</w:t>
      </w:r>
      <w:r>
        <w:rPr>
          <w:spacing w:val="-3"/>
        </w:rPr>
        <w:t> </w:t>
      </w:r>
      <w:r>
        <w:rPr/>
        <w:t>oil,</w:t>
      </w:r>
      <w:r>
        <w:rPr>
          <w:spacing w:val="-2"/>
        </w:rPr>
        <w:t> </w:t>
      </w:r>
      <w:r>
        <w:rPr/>
        <w:t>western</w:t>
      </w:r>
      <w:r>
        <w:rPr>
          <w:spacing w:val="-2"/>
        </w:rPr>
        <w:t> </w:t>
      </w:r>
      <w:r>
        <w:rPr/>
        <w:t>India.</w:t>
      </w:r>
      <w:r>
        <w:rPr>
          <w:spacing w:val="-2"/>
        </w:rPr>
        <w:t> </w:t>
      </w:r>
      <w:r>
        <w:rPr/>
        <w:t>Organic</w:t>
      </w:r>
      <w:r>
        <w:rPr>
          <w:spacing w:val="-1"/>
        </w:rPr>
        <w:t> </w:t>
      </w:r>
      <w:r>
        <w:rPr/>
        <w:t>Geochemistry</w:t>
      </w:r>
      <w:r>
        <w:rPr>
          <w:spacing w:val="-2"/>
        </w:rPr>
        <w:t> </w:t>
      </w:r>
      <w:r>
        <w:rPr/>
        <w:t>56, 68–80.</w:t>
      </w:r>
    </w:p>
    <w:p>
      <w:pPr>
        <w:pStyle w:val="BodyText"/>
        <w:spacing w:before="12"/>
        <w:rPr>
          <w:sz w:val="23"/>
        </w:rPr>
      </w:pPr>
    </w:p>
    <w:p>
      <w:pPr>
        <w:pStyle w:val="BodyText"/>
        <w:ind w:left="840" w:right="660" w:hanging="720"/>
      </w:pPr>
      <w:r>
        <w:rPr/>
        <w:t>Eckardt,</w:t>
      </w:r>
      <w:r>
        <w:rPr>
          <w:spacing w:val="-2"/>
        </w:rPr>
        <w:t> </w:t>
      </w:r>
      <w:r>
        <w:rPr/>
        <w:t>C.B.,</w:t>
      </w:r>
      <w:r>
        <w:rPr>
          <w:spacing w:val="-1"/>
        </w:rPr>
        <w:t> </w:t>
      </w:r>
      <w:r>
        <w:rPr/>
        <w:t>Keely,</w:t>
      </w:r>
      <w:r>
        <w:rPr>
          <w:spacing w:val="-2"/>
        </w:rPr>
        <w:t> </w:t>
      </w:r>
      <w:r>
        <w:rPr/>
        <w:t>B.J.,</w:t>
      </w:r>
      <w:r>
        <w:rPr>
          <w:spacing w:val="-2"/>
        </w:rPr>
        <w:t> </w:t>
      </w:r>
      <w:r>
        <w:rPr/>
        <w:t>Waring,</w:t>
      </w:r>
      <w:r>
        <w:rPr>
          <w:spacing w:val="-2"/>
        </w:rPr>
        <w:t> </w:t>
      </w:r>
      <w:r>
        <w:rPr/>
        <w:t>J.R.,</w:t>
      </w:r>
      <w:r>
        <w:rPr>
          <w:spacing w:val="-1"/>
        </w:rPr>
        <w:t> </w:t>
      </w:r>
      <w:r>
        <w:rPr/>
        <w:t>Chicarelli,</w:t>
      </w:r>
      <w:r>
        <w:rPr>
          <w:spacing w:val="-5"/>
        </w:rPr>
        <w:t> </w:t>
      </w:r>
      <w:r>
        <w:rPr/>
        <w:t>M.I.,</w:t>
      </w:r>
      <w:r>
        <w:rPr>
          <w:spacing w:val="-1"/>
        </w:rPr>
        <w:t> </w:t>
      </w:r>
      <w:r>
        <w:rPr/>
        <w:t>Maxwell,</w:t>
      </w:r>
      <w:r>
        <w:rPr>
          <w:spacing w:val="-4"/>
        </w:rPr>
        <w:t> </w:t>
      </w:r>
      <w:r>
        <w:rPr/>
        <w:t>J.R.,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Leeuw,</w:t>
      </w:r>
      <w:r>
        <w:rPr>
          <w:spacing w:val="-3"/>
        </w:rPr>
        <w:t> </w:t>
      </w:r>
      <w:r>
        <w:rPr/>
        <w:t>J.W.,</w:t>
      </w:r>
      <w:r>
        <w:rPr>
          <w:spacing w:val="-4"/>
        </w:rPr>
        <w:t> </w:t>
      </w:r>
      <w:r>
        <w:rPr/>
        <w:t>Boon,</w:t>
      </w:r>
      <w:r>
        <w:rPr>
          <w:spacing w:val="-1"/>
        </w:rPr>
        <w:t> </w:t>
      </w:r>
      <w:r>
        <w:rPr/>
        <w:t>J.J.,</w:t>
      </w:r>
      <w:r>
        <w:rPr>
          <w:spacing w:val="-51"/>
        </w:rPr>
        <w:t> </w:t>
      </w:r>
      <w:r>
        <w:rPr/>
        <w:t>Runnegar, B., Macko, S., Hudson, J.D., 1991. Preservation of Chlorophyll-Derived</w:t>
      </w:r>
      <w:r>
        <w:rPr>
          <w:spacing w:val="1"/>
        </w:rPr>
        <w:t> </w:t>
      </w:r>
      <w:r>
        <w:rPr/>
        <w:t>Pigments in Sedimentary Organic Matter [and Discussion]. Philosophical Transactions:</w:t>
      </w:r>
      <w:r>
        <w:rPr>
          <w:spacing w:val="-52"/>
        </w:rPr>
        <w:t> </w:t>
      </w:r>
      <w:r>
        <w:rPr/>
        <w:t>Biological</w:t>
      </w:r>
      <w:r>
        <w:rPr>
          <w:spacing w:val="-2"/>
        </w:rPr>
        <w:t> </w:t>
      </w:r>
      <w:r>
        <w:rPr/>
        <w:t>Sciences</w:t>
      </w:r>
      <w:r>
        <w:rPr>
          <w:spacing w:val="2"/>
        </w:rPr>
        <w:t> </w:t>
      </w:r>
      <w:r>
        <w:rPr/>
        <w:t>333,</w:t>
      </w:r>
      <w:r>
        <w:rPr>
          <w:spacing w:val="-2"/>
        </w:rPr>
        <w:t> </w:t>
      </w:r>
      <w:r>
        <w:rPr/>
        <w:t>339–348.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840" w:right="1262" w:hanging="720"/>
      </w:pPr>
      <w:r>
        <w:rPr/>
        <w:t>Eganhouse, R.P., 1997. Molecular Markers and Environmental Organic Geochemistry: An</w:t>
      </w:r>
      <w:r>
        <w:rPr>
          <w:spacing w:val="1"/>
        </w:rPr>
        <w:t> </w:t>
      </w:r>
      <w:r>
        <w:rPr/>
        <w:t>Overview, in:</w:t>
      </w:r>
      <w:r>
        <w:rPr>
          <w:spacing w:val="-1"/>
        </w:rPr>
        <w:t> </w:t>
      </w:r>
      <w:r>
        <w:rPr/>
        <w:t>Molecular</w:t>
      </w:r>
      <w:r>
        <w:rPr>
          <w:spacing w:val="-3"/>
        </w:rPr>
        <w:t> </w:t>
      </w:r>
      <w:r>
        <w:rPr/>
        <w:t>Markers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Environmental</w:t>
      </w:r>
      <w:r>
        <w:rPr>
          <w:spacing w:val="-2"/>
        </w:rPr>
        <w:t> </w:t>
      </w:r>
      <w:r>
        <w:rPr/>
        <w:t>Geochemistry,</w:t>
      </w:r>
      <w:r>
        <w:rPr>
          <w:spacing w:val="-3"/>
        </w:rPr>
        <w:t> </w:t>
      </w:r>
      <w:r>
        <w:rPr/>
        <w:t>ACS</w:t>
      </w:r>
      <w:r>
        <w:rPr>
          <w:spacing w:val="-5"/>
        </w:rPr>
        <w:t> </w:t>
      </w:r>
      <w:r>
        <w:rPr/>
        <w:t>Symposium</w:t>
      </w:r>
      <w:r>
        <w:rPr>
          <w:spacing w:val="-52"/>
        </w:rPr>
        <w:t> </w:t>
      </w:r>
      <w:r>
        <w:rPr/>
        <w:t>Series.</w:t>
      </w:r>
      <w:r>
        <w:rPr>
          <w:spacing w:val="-3"/>
        </w:rPr>
        <w:t> </w:t>
      </w:r>
      <w:r>
        <w:rPr/>
        <w:t>American</w:t>
      </w:r>
      <w:r>
        <w:rPr>
          <w:spacing w:val="-1"/>
        </w:rPr>
        <w:t> </w:t>
      </w:r>
      <w:r>
        <w:rPr/>
        <w:t>Chemical</w:t>
      </w:r>
      <w:r>
        <w:rPr>
          <w:spacing w:val="-1"/>
        </w:rPr>
        <w:t> </w:t>
      </w:r>
      <w:r>
        <w:rPr/>
        <w:t>Society,</w:t>
      </w:r>
      <w:r>
        <w:rPr>
          <w:spacing w:val="-3"/>
        </w:rPr>
        <w:t> </w:t>
      </w:r>
      <w:r>
        <w:rPr/>
        <w:t>pp.</w:t>
      </w:r>
      <w:r>
        <w:rPr>
          <w:spacing w:val="-4"/>
        </w:rPr>
        <w:t> </w:t>
      </w:r>
      <w:r>
        <w:rPr/>
        <w:t>1–20.</w:t>
      </w:r>
    </w:p>
    <w:p>
      <w:pPr>
        <w:pStyle w:val="BodyText"/>
        <w:spacing w:before="2"/>
      </w:pPr>
    </w:p>
    <w:p>
      <w:pPr>
        <w:pStyle w:val="BodyText"/>
        <w:ind w:left="840" w:right="890" w:hanging="720"/>
      </w:pPr>
      <w:r>
        <w:rPr/>
        <w:t>Ettensohn,</w:t>
      </w:r>
      <w:r>
        <w:rPr>
          <w:spacing w:val="-3"/>
        </w:rPr>
        <w:t> </w:t>
      </w:r>
      <w:r>
        <w:rPr/>
        <w:t>F.R.,</w:t>
      </w:r>
      <w:r>
        <w:rPr>
          <w:spacing w:val="1"/>
        </w:rPr>
        <w:t> </w:t>
      </w:r>
      <w:r>
        <w:rPr/>
        <w:t>1992.</w:t>
      </w:r>
      <w:r>
        <w:rPr>
          <w:spacing w:val="-1"/>
        </w:rPr>
        <w:t> </w:t>
      </w:r>
      <w:r>
        <w:rPr/>
        <w:t>Controls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the origin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the Devonian-Mississippian</w:t>
      </w:r>
      <w:r>
        <w:rPr>
          <w:spacing w:val="1"/>
        </w:rPr>
        <w:t> </w:t>
      </w:r>
      <w:r>
        <w:rPr/>
        <w:t>oil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gas</w:t>
      </w:r>
      <w:r>
        <w:rPr>
          <w:spacing w:val="-3"/>
        </w:rPr>
        <w:t> </w:t>
      </w:r>
      <w:r>
        <w:rPr/>
        <w:t>shales,</w:t>
      </w:r>
      <w:r>
        <w:rPr>
          <w:spacing w:val="-51"/>
        </w:rPr>
        <w:t> </w:t>
      </w:r>
      <w:r>
        <w:rPr/>
        <w:t>east-central</w:t>
      </w:r>
      <w:r>
        <w:rPr>
          <w:spacing w:val="-4"/>
        </w:rPr>
        <w:t> </w:t>
      </w:r>
      <w:r>
        <w:rPr/>
        <w:t>United</w:t>
      </w:r>
      <w:r>
        <w:rPr>
          <w:spacing w:val="-2"/>
        </w:rPr>
        <w:t> </w:t>
      </w:r>
      <w:r>
        <w:rPr/>
        <w:t>States.</w:t>
      </w:r>
      <w:r>
        <w:rPr>
          <w:spacing w:val="-2"/>
        </w:rPr>
        <w:t> </w:t>
      </w:r>
      <w:r>
        <w:rPr/>
        <w:t>Fuel</w:t>
      </w:r>
      <w:r>
        <w:rPr>
          <w:spacing w:val="-2"/>
        </w:rPr>
        <w:t> </w:t>
      </w:r>
      <w:r>
        <w:rPr/>
        <w:t>71, 1487–1492.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spacing w:before="1"/>
        <w:ind w:left="840" w:right="660" w:hanging="720"/>
      </w:pPr>
      <w:r>
        <w:rPr/>
        <w:t>Fang,</w:t>
      </w:r>
      <w:r>
        <w:rPr>
          <w:spacing w:val="-2"/>
        </w:rPr>
        <w:t> </w:t>
      </w:r>
      <w:r>
        <w:rPr/>
        <w:t>H.,</w:t>
      </w:r>
      <w:r>
        <w:rPr>
          <w:spacing w:val="-2"/>
        </w:rPr>
        <w:t> </w:t>
      </w:r>
      <w:r>
        <w:rPr/>
        <w:t>Yongchuan,</w:t>
      </w:r>
      <w:r>
        <w:rPr>
          <w:spacing w:val="-1"/>
        </w:rPr>
        <w:t> </w:t>
      </w:r>
      <w:r>
        <w:rPr/>
        <w:t>S.,</w:t>
      </w:r>
      <w:r>
        <w:rPr>
          <w:spacing w:val="-5"/>
        </w:rPr>
        <w:t> </w:t>
      </w:r>
      <w:r>
        <w:rPr/>
        <w:t>Yaozong,</w:t>
      </w:r>
      <w:r>
        <w:rPr>
          <w:spacing w:val="-1"/>
        </w:rPr>
        <w:t> </w:t>
      </w:r>
      <w:r>
        <w:rPr/>
        <w:t>L.,</w:t>
      </w:r>
      <w:r>
        <w:rPr>
          <w:spacing w:val="-3"/>
        </w:rPr>
        <w:t> </w:t>
      </w:r>
      <w:r>
        <w:rPr/>
        <w:t>1993.</w:t>
      </w:r>
      <w:r>
        <w:rPr>
          <w:spacing w:val="-1"/>
        </w:rPr>
        <w:t> </w:t>
      </w:r>
      <w:r>
        <w:rPr/>
        <w:t>Application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organic</w:t>
      </w:r>
      <w:r>
        <w:rPr>
          <w:spacing w:val="-3"/>
        </w:rPr>
        <w:t> </w:t>
      </w:r>
      <w:r>
        <w:rPr/>
        <w:t>facies</w:t>
      </w:r>
      <w:r>
        <w:rPr>
          <w:spacing w:val="-3"/>
        </w:rPr>
        <w:t> </w:t>
      </w:r>
      <w:r>
        <w:rPr/>
        <w:t>studies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sedimentary</w:t>
      </w:r>
      <w:r>
        <w:rPr>
          <w:spacing w:val="-52"/>
        </w:rPr>
        <w:t> </w:t>
      </w:r>
      <w:r>
        <w:rPr/>
        <w:t>basin analysis: a case study from the Yitong Graben, China. Organic Geochemistry 20,</w:t>
      </w:r>
      <w:r>
        <w:rPr>
          <w:spacing w:val="1"/>
        </w:rPr>
        <w:t> </w:t>
      </w:r>
      <w:r>
        <w:rPr/>
        <w:t>27–42.</w:t>
      </w:r>
    </w:p>
    <w:p>
      <w:pPr>
        <w:spacing w:after="0"/>
        <w:sectPr>
          <w:pgSz w:w="12240" w:h="15840"/>
          <w:pgMar w:header="0" w:footer="1014" w:top="1400" w:bottom="1200" w:left="1320" w:right="820"/>
        </w:sectPr>
      </w:pPr>
    </w:p>
    <w:p>
      <w:pPr>
        <w:pStyle w:val="BodyText"/>
        <w:spacing w:before="39"/>
        <w:ind w:left="840" w:right="660" w:hanging="720"/>
      </w:pPr>
      <w:r>
        <w:rPr/>
        <w:t>Farrimond,</w:t>
      </w:r>
      <w:r>
        <w:rPr>
          <w:spacing w:val="-2"/>
        </w:rPr>
        <w:t> </w:t>
      </w:r>
      <w:r>
        <w:rPr/>
        <w:t>P.,</w:t>
      </w:r>
      <w:r>
        <w:rPr>
          <w:spacing w:val="-2"/>
        </w:rPr>
        <w:t> </w:t>
      </w:r>
      <w:r>
        <w:rPr/>
        <w:t>Taylor,</w:t>
      </w:r>
      <w:r>
        <w:rPr>
          <w:spacing w:val="-5"/>
        </w:rPr>
        <w:t> </w:t>
      </w:r>
      <w:r>
        <w:rPr/>
        <w:t>A.,</w:t>
      </w:r>
      <w:r>
        <w:rPr>
          <w:spacing w:val="-6"/>
        </w:rPr>
        <w:t> </w:t>
      </w:r>
      <w:r>
        <w:rPr/>
        <w:t>TelnÆs,</w:t>
      </w:r>
      <w:r>
        <w:rPr>
          <w:spacing w:val="-3"/>
        </w:rPr>
        <w:t> </w:t>
      </w:r>
      <w:r>
        <w:rPr/>
        <w:t>N.,</w:t>
      </w:r>
      <w:r>
        <w:rPr>
          <w:spacing w:val="-3"/>
        </w:rPr>
        <w:t> </w:t>
      </w:r>
      <w:r>
        <w:rPr/>
        <w:t>1998.</w:t>
      </w:r>
      <w:r>
        <w:rPr>
          <w:spacing w:val="-2"/>
        </w:rPr>
        <w:t> </w:t>
      </w:r>
      <w:r>
        <w:rPr/>
        <w:t>Biomarker</w:t>
      </w:r>
      <w:r>
        <w:rPr>
          <w:spacing w:val="-3"/>
        </w:rPr>
        <w:t> </w:t>
      </w:r>
      <w:r>
        <w:rPr/>
        <w:t>maturity</w:t>
      </w:r>
      <w:r>
        <w:rPr>
          <w:spacing w:val="-1"/>
        </w:rPr>
        <w:t> </w:t>
      </w:r>
      <w:r>
        <w:rPr/>
        <w:t>parameters:</w:t>
      </w:r>
      <w:r>
        <w:rPr>
          <w:spacing w:val="-3"/>
        </w:rPr>
        <w:t> </w:t>
      </w:r>
      <w:r>
        <w:rPr/>
        <w:t>the</w:t>
      </w:r>
      <w:r>
        <w:rPr>
          <w:spacing w:val="2"/>
        </w:rPr>
        <w:t> </w:t>
      </w:r>
      <w:r>
        <w:rPr/>
        <w:t>role</w:t>
      </w:r>
      <w:r>
        <w:rPr>
          <w:spacing w:val="-3"/>
        </w:rPr>
        <w:t> </w:t>
      </w:r>
      <w:r>
        <w:rPr/>
        <w:t>of</w:t>
      </w:r>
      <w:r>
        <w:rPr>
          <w:spacing w:val="-51"/>
        </w:rPr>
        <w:t> </w:t>
      </w:r>
      <w:r>
        <w:rPr/>
        <w:t>generation</w:t>
      </w:r>
      <w:r>
        <w:rPr>
          <w:spacing w:val="-4"/>
        </w:rPr>
        <w:t> </w:t>
      </w:r>
      <w:r>
        <w:rPr/>
        <w:t>and thermal</w:t>
      </w:r>
      <w:r>
        <w:rPr>
          <w:spacing w:val="-3"/>
        </w:rPr>
        <w:t> </w:t>
      </w:r>
      <w:r>
        <w:rPr/>
        <w:t>degradation.</w:t>
      </w:r>
      <w:r>
        <w:rPr>
          <w:spacing w:val="-2"/>
        </w:rPr>
        <w:t> </w:t>
      </w:r>
      <w:r>
        <w:rPr/>
        <w:t>Organic</w:t>
      </w:r>
      <w:r>
        <w:rPr>
          <w:spacing w:val="-3"/>
        </w:rPr>
        <w:t> </w:t>
      </w:r>
      <w:r>
        <w:rPr/>
        <w:t>Geochemistry</w:t>
      </w:r>
      <w:r>
        <w:rPr>
          <w:spacing w:val="-3"/>
        </w:rPr>
        <w:t> </w:t>
      </w:r>
      <w:r>
        <w:rPr/>
        <w:t>29,</w:t>
      </w:r>
      <w:r>
        <w:rPr>
          <w:spacing w:val="-4"/>
        </w:rPr>
        <w:t> </w:t>
      </w:r>
      <w:r>
        <w:rPr/>
        <w:t>1181–1197.</w:t>
      </w:r>
    </w:p>
    <w:p>
      <w:pPr>
        <w:pStyle w:val="BodyText"/>
        <w:spacing w:before="12"/>
        <w:rPr>
          <w:sz w:val="23"/>
        </w:rPr>
      </w:pPr>
    </w:p>
    <w:p>
      <w:pPr>
        <w:pStyle w:val="BodyText"/>
        <w:ind w:left="840" w:right="660" w:hanging="720"/>
      </w:pPr>
      <w:r>
        <w:rPr/>
        <w:t>French,</w:t>
      </w:r>
      <w:r>
        <w:rPr>
          <w:spacing w:val="-3"/>
        </w:rPr>
        <w:t> </w:t>
      </w:r>
      <w:r>
        <w:rPr/>
        <w:t>K.L.,</w:t>
      </w:r>
      <w:r>
        <w:rPr>
          <w:spacing w:val="-2"/>
        </w:rPr>
        <w:t> </w:t>
      </w:r>
      <w:r>
        <w:rPr/>
        <w:t>Rocher,</w:t>
      </w:r>
      <w:r>
        <w:rPr>
          <w:spacing w:val="-1"/>
        </w:rPr>
        <w:t> </w:t>
      </w:r>
      <w:r>
        <w:rPr/>
        <w:t>D.,</w:t>
      </w:r>
      <w:r>
        <w:rPr>
          <w:spacing w:val="-3"/>
        </w:rPr>
        <w:t> </w:t>
      </w:r>
      <w:r>
        <w:rPr/>
        <w:t>Zumberge,</w:t>
      </w:r>
      <w:r>
        <w:rPr>
          <w:spacing w:val="2"/>
        </w:rPr>
        <w:t> </w:t>
      </w:r>
      <w:r>
        <w:rPr/>
        <w:t>J.E.,</w:t>
      </w:r>
      <w:r>
        <w:rPr>
          <w:spacing w:val="-2"/>
        </w:rPr>
        <w:t> </w:t>
      </w:r>
      <w:r>
        <w:rPr/>
        <w:t>Summons,</w:t>
      </w:r>
      <w:r>
        <w:rPr>
          <w:spacing w:val="-2"/>
        </w:rPr>
        <w:t> </w:t>
      </w:r>
      <w:r>
        <w:rPr/>
        <w:t>R.E.,</w:t>
      </w:r>
      <w:r>
        <w:rPr>
          <w:spacing w:val="-4"/>
        </w:rPr>
        <w:t> </w:t>
      </w:r>
      <w:r>
        <w:rPr/>
        <w:t>2015.</w:t>
      </w:r>
      <w:r>
        <w:rPr>
          <w:spacing w:val="-4"/>
        </w:rPr>
        <w:t> </w:t>
      </w:r>
      <w:r>
        <w:rPr/>
        <w:t>Assessing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distribution</w:t>
      </w:r>
      <w:r>
        <w:rPr>
          <w:spacing w:val="-3"/>
        </w:rPr>
        <w:t> </w:t>
      </w:r>
      <w:r>
        <w:rPr/>
        <w:t>of</w:t>
      </w:r>
      <w:r>
        <w:rPr>
          <w:spacing w:val="-51"/>
        </w:rPr>
        <w:t> </w:t>
      </w:r>
      <w:r>
        <w:rPr/>
        <w:t>sedimentary</w:t>
      </w:r>
      <w:r>
        <w:rPr>
          <w:spacing w:val="-2"/>
        </w:rPr>
        <w:t> </w:t>
      </w:r>
      <w:r>
        <w:rPr/>
        <w:t>C</w:t>
      </w:r>
      <w:r>
        <w:rPr>
          <w:spacing w:val="-2"/>
        </w:rPr>
        <w:t> </w:t>
      </w:r>
      <w:r>
        <w:rPr/>
        <w:t>40</w:t>
      </w:r>
      <w:r>
        <w:rPr>
          <w:spacing w:val="-1"/>
        </w:rPr>
        <w:t> </w:t>
      </w:r>
      <w:r>
        <w:rPr/>
        <w:t>carotenoids</w:t>
      </w:r>
      <w:r>
        <w:rPr>
          <w:spacing w:val="-4"/>
        </w:rPr>
        <w:t> </w:t>
      </w:r>
      <w:r>
        <w:rPr/>
        <w:t>through</w:t>
      </w:r>
      <w:r>
        <w:rPr>
          <w:spacing w:val="-2"/>
        </w:rPr>
        <w:t> </w:t>
      </w:r>
      <w:r>
        <w:rPr/>
        <w:t>time.</w:t>
      </w:r>
      <w:r>
        <w:rPr>
          <w:spacing w:val="-1"/>
        </w:rPr>
        <w:t> </w:t>
      </w:r>
      <w:r>
        <w:rPr/>
        <w:t>Geobiology</w:t>
      </w:r>
      <w:r>
        <w:rPr>
          <w:spacing w:val="-1"/>
        </w:rPr>
        <w:t> </w:t>
      </w:r>
      <w:r>
        <w:rPr/>
        <w:t>13,</w:t>
      </w:r>
      <w:r>
        <w:rPr>
          <w:spacing w:val="-1"/>
        </w:rPr>
        <w:t> </w:t>
      </w:r>
      <w:r>
        <w:rPr/>
        <w:t>139–151.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spacing w:before="1"/>
        <w:ind w:left="840" w:right="686" w:hanging="720"/>
      </w:pPr>
      <w:r>
        <w:rPr/>
        <w:t>French, K.L., Sepúlveda, J., Trabucho-Alexandre, J., Gröcke, D.R., Summons, R.E., 2014. Organic</w:t>
      </w:r>
      <w:r>
        <w:rPr>
          <w:spacing w:val="1"/>
        </w:rPr>
        <w:t> </w:t>
      </w:r>
      <w:r>
        <w:rPr/>
        <w:t>geochemistry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the early</w:t>
      </w:r>
      <w:r>
        <w:rPr>
          <w:spacing w:val="-2"/>
        </w:rPr>
        <w:t> </w:t>
      </w:r>
      <w:r>
        <w:rPr/>
        <w:t>Toarcian</w:t>
      </w:r>
      <w:r>
        <w:rPr>
          <w:spacing w:val="-3"/>
        </w:rPr>
        <w:t> </w:t>
      </w:r>
      <w:r>
        <w:rPr/>
        <w:t>oceanic</w:t>
      </w:r>
      <w:r>
        <w:rPr>
          <w:spacing w:val="-5"/>
        </w:rPr>
        <w:t> </w:t>
      </w:r>
      <w:r>
        <w:rPr/>
        <w:t>anoxic</w:t>
      </w:r>
      <w:r>
        <w:rPr>
          <w:spacing w:val="-1"/>
        </w:rPr>
        <w:t> </w:t>
      </w:r>
      <w:r>
        <w:rPr/>
        <w:t>event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Hawsker</w:t>
      </w:r>
      <w:r>
        <w:rPr>
          <w:spacing w:val="-2"/>
        </w:rPr>
        <w:t> </w:t>
      </w:r>
      <w:r>
        <w:rPr/>
        <w:t>Bottoms,</w:t>
      </w:r>
      <w:r>
        <w:rPr>
          <w:spacing w:val="-2"/>
        </w:rPr>
        <w:t> </w:t>
      </w:r>
      <w:r>
        <w:rPr/>
        <w:t>Yorkshire,</w:t>
      </w:r>
      <w:r>
        <w:rPr>
          <w:spacing w:val="-51"/>
        </w:rPr>
        <w:t> </w:t>
      </w:r>
      <w:r>
        <w:rPr/>
        <w:t>England.</w:t>
      </w:r>
      <w:r>
        <w:rPr>
          <w:spacing w:val="-2"/>
        </w:rPr>
        <w:t> </w:t>
      </w:r>
      <w:r>
        <w:rPr/>
        <w:t>Earth</w:t>
      </w:r>
      <w:r>
        <w:rPr>
          <w:spacing w:val="-2"/>
        </w:rPr>
        <w:t> </w:t>
      </w:r>
      <w:r>
        <w:rPr/>
        <w:t>and</w:t>
      </w:r>
      <w:r>
        <w:rPr>
          <w:spacing w:val="3"/>
        </w:rPr>
        <w:t> </w:t>
      </w:r>
      <w:r>
        <w:rPr/>
        <w:t>Planetary</w:t>
      </w:r>
      <w:r>
        <w:rPr>
          <w:spacing w:val="1"/>
        </w:rPr>
        <w:t> </w:t>
      </w:r>
      <w:r>
        <w:rPr/>
        <w:t>Science</w:t>
      </w:r>
      <w:r>
        <w:rPr>
          <w:spacing w:val="-2"/>
        </w:rPr>
        <w:t> </w:t>
      </w:r>
      <w:r>
        <w:rPr/>
        <w:t>Letters</w:t>
      </w:r>
      <w:r>
        <w:rPr>
          <w:spacing w:val="-3"/>
        </w:rPr>
        <w:t> </w:t>
      </w:r>
      <w:r>
        <w:rPr/>
        <w:t>390,</w:t>
      </w:r>
      <w:r>
        <w:rPr>
          <w:spacing w:val="-2"/>
        </w:rPr>
        <w:t> </w:t>
      </w:r>
      <w:r>
        <w:rPr/>
        <w:t>116–127.</w:t>
      </w:r>
    </w:p>
    <w:p>
      <w:pPr>
        <w:pStyle w:val="BodyText"/>
        <w:spacing w:before="1"/>
      </w:pPr>
    </w:p>
    <w:p>
      <w:pPr>
        <w:pStyle w:val="BodyText"/>
        <w:ind w:left="840" w:right="1194" w:hanging="720"/>
      </w:pPr>
      <w:r>
        <w:rPr/>
        <w:t>Frigaard,</w:t>
      </w:r>
      <w:r>
        <w:rPr>
          <w:spacing w:val="-4"/>
        </w:rPr>
        <w:t> </w:t>
      </w:r>
      <w:r>
        <w:rPr/>
        <w:t>N.-U.,</w:t>
      </w:r>
      <w:r>
        <w:rPr>
          <w:spacing w:val="-3"/>
        </w:rPr>
        <w:t> </w:t>
      </w:r>
      <w:r>
        <w:rPr/>
        <w:t>Bryant,</w:t>
      </w:r>
      <w:r>
        <w:rPr>
          <w:spacing w:val="1"/>
        </w:rPr>
        <w:t> </w:t>
      </w:r>
      <w:r>
        <w:rPr/>
        <w:t>D.A.,</w:t>
      </w:r>
      <w:r>
        <w:rPr>
          <w:spacing w:val="-3"/>
        </w:rPr>
        <w:t> </w:t>
      </w:r>
      <w:r>
        <w:rPr/>
        <w:t>2004.</w:t>
      </w:r>
      <w:r>
        <w:rPr>
          <w:spacing w:val="-3"/>
        </w:rPr>
        <w:t> </w:t>
      </w:r>
      <w:r>
        <w:rPr/>
        <w:t>Seeing</w:t>
      </w:r>
      <w:r>
        <w:rPr>
          <w:spacing w:val="-3"/>
        </w:rPr>
        <w:t> </w:t>
      </w:r>
      <w:r>
        <w:rPr/>
        <w:t>green</w:t>
      </w:r>
      <w:r>
        <w:rPr>
          <w:spacing w:val="-3"/>
        </w:rPr>
        <w:t> </w:t>
      </w:r>
      <w:r>
        <w:rPr/>
        <w:t>bacteria</w:t>
      </w:r>
      <w:r>
        <w:rPr>
          <w:spacing w:val="-3"/>
        </w:rPr>
        <w:t> </w:t>
      </w:r>
      <w:r>
        <w:rPr/>
        <w:t>in</w:t>
      </w:r>
      <w:r>
        <w:rPr>
          <w:spacing w:val="1"/>
        </w:rPr>
        <w:t> </w:t>
      </w:r>
      <w:r>
        <w:rPr/>
        <w:t>a</w:t>
      </w:r>
      <w:r>
        <w:rPr>
          <w:spacing w:val="-4"/>
        </w:rPr>
        <w:t> </w:t>
      </w:r>
      <w:r>
        <w:rPr/>
        <w:t>new</w:t>
      </w:r>
      <w:r>
        <w:rPr>
          <w:spacing w:val="1"/>
        </w:rPr>
        <w:t> </w:t>
      </w:r>
      <w:r>
        <w:rPr/>
        <w:t>light:</w:t>
      </w:r>
      <w:r>
        <w:rPr>
          <w:spacing w:val="-2"/>
        </w:rPr>
        <w:t> </w:t>
      </w:r>
      <w:r>
        <w:rPr/>
        <w:t>genomics-enabled</w:t>
      </w:r>
      <w:r>
        <w:rPr>
          <w:spacing w:val="-52"/>
        </w:rPr>
        <w:t> </w:t>
      </w:r>
      <w:r>
        <w:rPr/>
        <w:t>studies of the photosynthetic apparatus in green sulfur bacteria and filamentous</w:t>
      </w:r>
      <w:r>
        <w:rPr>
          <w:spacing w:val="1"/>
        </w:rPr>
        <w:t> </w:t>
      </w:r>
      <w:r>
        <w:rPr/>
        <w:t>anoxygenic</w:t>
      </w:r>
      <w:r>
        <w:rPr>
          <w:spacing w:val="-2"/>
        </w:rPr>
        <w:t> </w:t>
      </w:r>
      <w:r>
        <w:rPr/>
        <w:t>phototrophic</w:t>
      </w:r>
      <w:r>
        <w:rPr>
          <w:spacing w:val="-4"/>
        </w:rPr>
        <w:t> </w:t>
      </w:r>
      <w:r>
        <w:rPr/>
        <w:t>bacteria.</w:t>
      </w:r>
      <w:r>
        <w:rPr>
          <w:spacing w:val="-2"/>
        </w:rPr>
        <w:t> </w:t>
      </w:r>
      <w:r>
        <w:rPr/>
        <w:t>Archives</w:t>
      </w:r>
      <w:r>
        <w:rPr>
          <w:spacing w:val="-3"/>
        </w:rPr>
        <w:t> </w:t>
      </w:r>
      <w:r>
        <w:rPr/>
        <w:t>of</w:t>
      </w:r>
      <w:r>
        <w:rPr>
          <w:spacing w:val="1"/>
        </w:rPr>
        <w:t> </w:t>
      </w:r>
      <w:r>
        <w:rPr/>
        <w:t>Microbiology</w:t>
      </w:r>
      <w:r>
        <w:rPr>
          <w:spacing w:val="-2"/>
        </w:rPr>
        <w:t> </w:t>
      </w:r>
      <w:r>
        <w:rPr/>
        <w:t>182,</w:t>
      </w:r>
      <w:r>
        <w:rPr>
          <w:spacing w:val="-4"/>
        </w:rPr>
        <w:t> </w:t>
      </w:r>
      <w:r>
        <w:rPr/>
        <w:t>265–276.</w:t>
      </w:r>
    </w:p>
    <w:p>
      <w:pPr>
        <w:pStyle w:val="BodyText"/>
        <w:spacing w:before="12"/>
        <w:rPr>
          <w:sz w:val="23"/>
        </w:rPr>
      </w:pPr>
    </w:p>
    <w:p>
      <w:pPr>
        <w:pStyle w:val="BodyText"/>
        <w:ind w:left="840" w:right="963" w:hanging="720"/>
      </w:pPr>
      <w:r>
        <w:rPr/>
        <w:t>Frigaard, N.-U., Chew, A.G.M., Li, H., Maresca, J.A., Bryant, D.A., 2003. Chlorobium Tepidum:</w:t>
      </w:r>
      <w:r>
        <w:rPr>
          <w:spacing w:val="-52"/>
        </w:rPr>
        <w:t> </w:t>
      </w:r>
      <w:r>
        <w:rPr/>
        <w:t>Insights into the Structure, Physiology, and Metabolism of a Green Sulfur Bacterium</w:t>
      </w:r>
      <w:r>
        <w:rPr>
          <w:spacing w:val="1"/>
        </w:rPr>
        <w:t> </w:t>
      </w:r>
      <w:r>
        <w:rPr/>
        <w:t>Derived</w:t>
      </w:r>
      <w:r>
        <w:rPr>
          <w:spacing w:val="-4"/>
        </w:rPr>
        <w:t> </w:t>
      </w:r>
      <w:r>
        <w:rPr/>
        <w:t>from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Complete</w:t>
      </w:r>
      <w:r>
        <w:rPr>
          <w:spacing w:val="-2"/>
        </w:rPr>
        <w:t> </w:t>
      </w:r>
      <w:r>
        <w:rPr/>
        <w:t>Genome</w:t>
      </w:r>
      <w:r>
        <w:rPr>
          <w:spacing w:val="-2"/>
        </w:rPr>
        <w:t> </w:t>
      </w:r>
      <w:r>
        <w:rPr/>
        <w:t>Sequence.</w:t>
      </w:r>
      <w:r>
        <w:rPr>
          <w:spacing w:val="-2"/>
        </w:rPr>
        <w:t> </w:t>
      </w:r>
      <w:r>
        <w:rPr/>
        <w:t>Photosynthesis</w:t>
      </w:r>
      <w:r>
        <w:rPr>
          <w:spacing w:val="-2"/>
        </w:rPr>
        <w:t> </w:t>
      </w:r>
      <w:r>
        <w:rPr/>
        <w:t>Research</w:t>
      </w:r>
      <w:r>
        <w:rPr>
          <w:spacing w:val="-4"/>
        </w:rPr>
        <w:t> </w:t>
      </w:r>
      <w:r>
        <w:rPr/>
        <w:t>78,</w:t>
      </w:r>
      <w:r>
        <w:rPr>
          <w:spacing w:val="-2"/>
        </w:rPr>
        <w:t> </w:t>
      </w:r>
      <w:r>
        <w:rPr/>
        <w:t>93–117.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840" w:right="917" w:hanging="720"/>
      </w:pPr>
      <w:r>
        <w:rPr/>
        <w:t>Frigaard, N.-U., Maresca, J.A., Yunker, C.E., Jones, A.D., Bryant, D.A., 2004. Genetic</w:t>
      </w:r>
      <w:r>
        <w:rPr>
          <w:spacing w:val="1"/>
        </w:rPr>
        <w:t> </w:t>
      </w:r>
      <w:r>
        <w:rPr/>
        <w:t>Manipulation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Carotenoid</w:t>
      </w:r>
      <w:r>
        <w:rPr>
          <w:spacing w:val="1"/>
        </w:rPr>
        <w:t> </w:t>
      </w:r>
      <w:r>
        <w:rPr/>
        <w:t>Biosynthesis</w:t>
      </w:r>
      <w:r>
        <w:rPr>
          <w:spacing w:val="-5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Green</w:t>
      </w:r>
      <w:r>
        <w:rPr>
          <w:spacing w:val="-3"/>
        </w:rPr>
        <w:t> </w:t>
      </w:r>
      <w:r>
        <w:rPr/>
        <w:t>Sulfur</w:t>
      </w:r>
      <w:r>
        <w:rPr>
          <w:spacing w:val="-3"/>
        </w:rPr>
        <w:t> </w:t>
      </w:r>
      <w:r>
        <w:rPr/>
        <w:t>Bacterium</w:t>
      </w:r>
      <w:r>
        <w:rPr>
          <w:spacing w:val="-3"/>
        </w:rPr>
        <w:t> </w:t>
      </w:r>
      <w:r>
        <w:rPr/>
        <w:t>Chlorobium</w:t>
      </w:r>
      <w:r>
        <w:rPr>
          <w:spacing w:val="-51"/>
        </w:rPr>
        <w:t> </w:t>
      </w:r>
      <w:r>
        <w:rPr/>
        <w:t>tepidum.</w:t>
      </w:r>
      <w:r>
        <w:rPr>
          <w:spacing w:val="-3"/>
        </w:rPr>
        <w:t> </w:t>
      </w:r>
      <w:r>
        <w:rPr/>
        <w:t>Journal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Bacteriology</w:t>
      </w:r>
      <w:r>
        <w:rPr>
          <w:spacing w:val="-1"/>
        </w:rPr>
        <w:t> </w:t>
      </w:r>
      <w:r>
        <w:rPr/>
        <w:t>186,</w:t>
      </w:r>
      <w:r>
        <w:rPr>
          <w:spacing w:val="-2"/>
        </w:rPr>
        <w:t> </w:t>
      </w:r>
      <w:r>
        <w:rPr/>
        <w:t>5210–5220.</w:t>
      </w:r>
    </w:p>
    <w:p>
      <w:pPr>
        <w:pStyle w:val="BodyText"/>
        <w:spacing w:before="2"/>
      </w:pPr>
    </w:p>
    <w:p>
      <w:pPr>
        <w:pStyle w:val="BodyText"/>
        <w:ind w:left="840" w:right="660" w:hanging="720"/>
      </w:pPr>
      <w:r>
        <w:rPr/>
        <w:t>Fulton, J.M.,</w:t>
      </w:r>
      <w:r>
        <w:rPr>
          <w:spacing w:val="-2"/>
        </w:rPr>
        <w:t> </w:t>
      </w:r>
      <w:r>
        <w:rPr/>
        <w:t>Arthur,</w:t>
      </w:r>
      <w:r>
        <w:rPr>
          <w:spacing w:val="-4"/>
        </w:rPr>
        <w:t> </w:t>
      </w:r>
      <w:r>
        <w:rPr/>
        <w:t>M.A.,</w:t>
      </w:r>
      <w:r>
        <w:rPr>
          <w:spacing w:val="-2"/>
        </w:rPr>
        <w:t> </w:t>
      </w:r>
      <w:r>
        <w:rPr/>
        <w:t>Thomas,</w:t>
      </w:r>
      <w:r>
        <w:rPr>
          <w:spacing w:val="-5"/>
        </w:rPr>
        <w:t> </w:t>
      </w:r>
      <w:r>
        <w:rPr/>
        <w:t>B.,</w:t>
      </w:r>
      <w:r>
        <w:rPr>
          <w:spacing w:val="-4"/>
        </w:rPr>
        <w:t> </w:t>
      </w:r>
      <w:r>
        <w:rPr/>
        <w:t>Freeman,</w:t>
      </w:r>
      <w:r>
        <w:rPr>
          <w:spacing w:val="-4"/>
        </w:rPr>
        <w:t> </w:t>
      </w:r>
      <w:r>
        <w:rPr/>
        <w:t>K.H.,</w:t>
      </w:r>
      <w:r>
        <w:rPr>
          <w:spacing w:val="-2"/>
        </w:rPr>
        <w:t> </w:t>
      </w:r>
      <w:r>
        <w:rPr/>
        <w:t>2018.</w:t>
      </w:r>
      <w:r>
        <w:rPr>
          <w:spacing w:val="-3"/>
        </w:rPr>
        <w:t> </w:t>
      </w:r>
      <w:r>
        <w:rPr/>
        <w:t>Pigment</w:t>
      </w:r>
      <w:r>
        <w:rPr>
          <w:spacing w:val="2"/>
        </w:rPr>
        <w:t> </w:t>
      </w:r>
      <w:r>
        <w:rPr/>
        <w:t>carbon</w:t>
      </w:r>
      <w:r>
        <w:rPr>
          <w:spacing w:val="1"/>
        </w:rPr>
        <w:t> </w:t>
      </w:r>
      <w:r>
        <w:rPr/>
        <w:t>and</w:t>
      </w:r>
      <w:r>
        <w:rPr>
          <w:spacing w:val="-3"/>
        </w:rPr>
        <w:t> </w:t>
      </w:r>
      <w:r>
        <w:rPr/>
        <w:t>nitrogen</w:t>
      </w:r>
      <w:r>
        <w:rPr>
          <w:spacing w:val="-51"/>
        </w:rPr>
        <w:t> </w:t>
      </w:r>
      <w:r>
        <w:rPr/>
        <w:t>isotopic</w:t>
      </w:r>
      <w:r>
        <w:rPr>
          <w:spacing w:val="-5"/>
        </w:rPr>
        <w:t> </w:t>
      </w:r>
      <w:r>
        <w:rPr/>
        <w:t>signatures</w:t>
      </w:r>
      <w:r>
        <w:rPr>
          <w:spacing w:val="-3"/>
        </w:rPr>
        <w:t> </w:t>
      </w:r>
      <w:r>
        <w:rPr/>
        <w:t>in</w:t>
      </w:r>
      <w:r>
        <w:rPr>
          <w:spacing w:val="1"/>
        </w:rPr>
        <w:t> </w:t>
      </w:r>
      <w:r>
        <w:rPr/>
        <w:t>euxinic</w:t>
      </w:r>
      <w:r>
        <w:rPr>
          <w:spacing w:val="-1"/>
        </w:rPr>
        <w:t> </w:t>
      </w:r>
      <w:r>
        <w:rPr/>
        <w:t>basins.</w:t>
      </w:r>
      <w:r>
        <w:rPr>
          <w:spacing w:val="-1"/>
        </w:rPr>
        <w:t> </w:t>
      </w:r>
      <w:r>
        <w:rPr/>
        <w:t>Geobiology</w:t>
      </w:r>
      <w:r>
        <w:rPr>
          <w:spacing w:val="-2"/>
        </w:rPr>
        <w:t> </w:t>
      </w:r>
      <w:r>
        <w:rPr/>
        <w:t>16,</w:t>
      </w:r>
      <w:r>
        <w:rPr>
          <w:spacing w:val="2"/>
        </w:rPr>
        <w:t> </w:t>
      </w:r>
      <w:r>
        <w:rPr/>
        <w:t>429–445.</w:t>
      </w:r>
    </w:p>
    <w:p>
      <w:pPr>
        <w:pStyle w:val="BodyText"/>
        <w:spacing w:before="12"/>
        <w:rPr>
          <w:sz w:val="23"/>
        </w:rPr>
      </w:pPr>
    </w:p>
    <w:p>
      <w:pPr>
        <w:pStyle w:val="BodyText"/>
        <w:ind w:left="840" w:right="660" w:hanging="720"/>
      </w:pPr>
      <w:r>
        <w:rPr/>
        <w:t>Goericke, R.,</w:t>
      </w:r>
      <w:r>
        <w:rPr>
          <w:spacing w:val="-3"/>
        </w:rPr>
        <w:t> </w:t>
      </w:r>
      <w:r>
        <w:rPr/>
        <w:t>Strom,</w:t>
      </w:r>
      <w:r>
        <w:rPr>
          <w:spacing w:val="-2"/>
        </w:rPr>
        <w:t> </w:t>
      </w:r>
      <w:r>
        <w:rPr/>
        <w:t>S.L.,</w:t>
      </w:r>
      <w:r>
        <w:rPr>
          <w:spacing w:val="-3"/>
        </w:rPr>
        <w:t> </w:t>
      </w:r>
      <w:r>
        <w:rPr/>
        <w:t>Bell,</w:t>
      </w:r>
      <w:r>
        <w:rPr>
          <w:spacing w:val="-3"/>
        </w:rPr>
        <w:t> </w:t>
      </w:r>
      <w:r>
        <w:rPr/>
        <w:t>M.A.,</w:t>
      </w:r>
      <w:r>
        <w:rPr>
          <w:spacing w:val="-1"/>
        </w:rPr>
        <w:t> </w:t>
      </w:r>
      <w:r>
        <w:rPr/>
        <w:t>2000.</w:t>
      </w:r>
      <w:r>
        <w:rPr>
          <w:spacing w:val="-2"/>
        </w:rPr>
        <w:t> </w:t>
      </w:r>
      <w:r>
        <w:rPr/>
        <w:t>Distribution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sources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cyclic</w:t>
      </w:r>
      <w:r>
        <w:rPr>
          <w:spacing w:val="-2"/>
        </w:rPr>
        <w:t> </w:t>
      </w:r>
      <w:r>
        <w:rPr/>
        <w:t>pheophorbides</w:t>
      </w:r>
      <w:r>
        <w:rPr>
          <w:spacing w:val="-5"/>
        </w:rPr>
        <w:t> </w:t>
      </w:r>
      <w:r>
        <w:rPr/>
        <w:t>in</w:t>
      </w:r>
      <w:r>
        <w:rPr>
          <w:spacing w:val="-51"/>
        </w:rPr>
        <w:t> </w:t>
      </w:r>
      <w:r>
        <w:rPr/>
        <w:t>the</w:t>
      </w:r>
      <w:r>
        <w:rPr>
          <w:spacing w:val="-3"/>
        </w:rPr>
        <w:t> </w:t>
      </w:r>
      <w:r>
        <w:rPr/>
        <w:t>marine</w:t>
      </w:r>
      <w:r>
        <w:rPr>
          <w:spacing w:val="-1"/>
        </w:rPr>
        <w:t> </w:t>
      </w:r>
      <w:r>
        <w:rPr/>
        <w:t>environment.</w:t>
      </w:r>
      <w:r>
        <w:rPr>
          <w:spacing w:val="-4"/>
        </w:rPr>
        <w:t> </w:t>
      </w:r>
      <w:r>
        <w:rPr/>
        <w:t>Limnology</w:t>
      </w:r>
      <w:r>
        <w:rPr>
          <w:spacing w:val="-1"/>
        </w:rPr>
        <w:t> </w:t>
      </w:r>
      <w:r>
        <w:rPr/>
        <w:t>and</w:t>
      </w:r>
      <w:r>
        <w:rPr>
          <w:spacing w:val="2"/>
        </w:rPr>
        <w:t> </w:t>
      </w:r>
      <w:r>
        <w:rPr/>
        <w:t>Oceanography 45,</w:t>
      </w:r>
      <w:r>
        <w:rPr>
          <w:spacing w:val="-1"/>
        </w:rPr>
        <w:t> </w:t>
      </w:r>
      <w:r>
        <w:rPr/>
        <w:t>200–211.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spacing w:before="1"/>
        <w:ind w:left="840" w:right="660" w:hanging="720"/>
      </w:pPr>
      <w:r>
        <w:rPr/>
        <w:t>Grasby,</w:t>
      </w:r>
      <w:r>
        <w:rPr>
          <w:spacing w:val="-2"/>
        </w:rPr>
        <w:t> </w:t>
      </w:r>
      <w:r>
        <w:rPr/>
        <w:t>S.E.,</w:t>
      </w:r>
      <w:r>
        <w:rPr>
          <w:spacing w:val="-1"/>
        </w:rPr>
        <w:t> </w:t>
      </w:r>
      <w:r>
        <w:rPr/>
        <w:t>Them,</w:t>
      </w:r>
      <w:r>
        <w:rPr>
          <w:spacing w:val="-2"/>
        </w:rPr>
        <w:t> </w:t>
      </w:r>
      <w:r>
        <w:rPr/>
        <w:t>T.R.,</w:t>
      </w:r>
      <w:r>
        <w:rPr>
          <w:spacing w:val="-1"/>
        </w:rPr>
        <w:t> </w:t>
      </w:r>
      <w:r>
        <w:rPr/>
        <w:t>Chen,</w:t>
      </w:r>
      <w:r>
        <w:rPr>
          <w:spacing w:val="2"/>
        </w:rPr>
        <w:t> </w:t>
      </w:r>
      <w:r>
        <w:rPr/>
        <w:t>Z.,</w:t>
      </w:r>
      <w:r>
        <w:rPr>
          <w:spacing w:val="-3"/>
        </w:rPr>
        <w:t> </w:t>
      </w:r>
      <w:r>
        <w:rPr/>
        <w:t>Yin,</w:t>
      </w:r>
      <w:r>
        <w:rPr>
          <w:spacing w:val="-3"/>
        </w:rPr>
        <w:t> </w:t>
      </w:r>
      <w:r>
        <w:rPr/>
        <w:t>R.,</w:t>
      </w:r>
      <w:r>
        <w:rPr>
          <w:spacing w:val="-1"/>
        </w:rPr>
        <w:t> </w:t>
      </w:r>
      <w:r>
        <w:rPr/>
        <w:t>Ardakani,</w:t>
      </w:r>
      <w:r>
        <w:rPr>
          <w:spacing w:val="-1"/>
        </w:rPr>
        <w:t> </w:t>
      </w:r>
      <w:r>
        <w:rPr/>
        <w:t>O.H.,</w:t>
      </w:r>
      <w:r>
        <w:rPr>
          <w:spacing w:val="-1"/>
        </w:rPr>
        <w:t> </w:t>
      </w:r>
      <w:r>
        <w:rPr/>
        <w:t>2019.</w:t>
      </w:r>
      <w:r>
        <w:rPr>
          <w:spacing w:val="-4"/>
        </w:rPr>
        <w:t> </w:t>
      </w:r>
      <w:r>
        <w:rPr/>
        <w:t>Mercury</w:t>
      </w:r>
      <w:r>
        <w:rPr>
          <w:spacing w:val="-4"/>
        </w:rPr>
        <w:t> </w:t>
      </w:r>
      <w:r>
        <w:rPr/>
        <w:t>as</w:t>
      </w:r>
      <w:r>
        <w:rPr>
          <w:spacing w:val="-3"/>
        </w:rPr>
        <w:t> </w:t>
      </w:r>
      <w:r>
        <w:rPr/>
        <w:t>a</w:t>
      </w:r>
      <w:r>
        <w:rPr>
          <w:spacing w:val="-1"/>
        </w:rPr>
        <w:t> </w:t>
      </w:r>
      <w:r>
        <w:rPr/>
        <w:t>proxy</w:t>
      </w:r>
      <w:r>
        <w:rPr>
          <w:spacing w:val="-1"/>
        </w:rPr>
        <w:t> </w:t>
      </w:r>
      <w:r>
        <w:rPr/>
        <w:t>for</w:t>
      </w:r>
      <w:r>
        <w:rPr>
          <w:spacing w:val="-3"/>
        </w:rPr>
        <w:t> </w:t>
      </w:r>
      <w:r>
        <w:rPr/>
        <w:t>volcanic</w:t>
      </w:r>
      <w:r>
        <w:rPr>
          <w:spacing w:val="-51"/>
        </w:rPr>
        <w:t> </w:t>
      </w:r>
      <w:r>
        <w:rPr/>
        <w:t>emissions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geologic</w:t>
      </w:r>
      <w:r>
        <w:rPr>
          <w:spacing w:val="-4"/>
        </w:rPr>
        <w:t> </w:t>
      </w:r>
      <w:r>
        <w:rPr/>
        <w:t>record.</w:t>
      </w:r>
      <w:r>
        <w:rPr>
          <w:spacing w:val="-2"/>
        </w:rPr>
        <w:t> </w:t>
      </w:r>
      <w:r>
        <w:rPr/>
        <w:t>Earth-Science</w:t>
      </w:r>
      <w:r>
        <w:rPr>
          <w:spacing w:val="-1"/>
        </w:rPr>
        <w:t> </w:t>
      </w:r>
      <w:r>
        <w:rPr/>
        <w:t>Reviews</w:t>
      </w:r>
      <w:r>
        <w:rPr>
          <w:spacing w:val="-1"/>
        </w:rPr>
        <w:t> </w:t>
      </w:r>
      <w:r>
        <w:rPr/>
        <w:t>196,</w:t>
      </w:r>
      <w:r>
        <w:rPr>
          <w:spacing w:val="-1"/>
        </w:rPr>
        <w:t> </w:t>
      </w:r>
      <w:r>
        <w:rPr/>
        <w:t>102880.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120"/>
      </w:pPr>
      <w:r>
        <w:rPr/>
        <w:t>Grice,</w:t>
      </w:r>
      <w:r>
        <w:rPr>
          <w:spacing w:val="-3"/>
        </w:rPr>
        <w:t> </w:t>
      </w:r>
      <w:r>
        <w:rPr/>
        <w:t>K.,</w:t>
      </w:r>
      <w:r>
        <w:rPr>
          <w:spacing w:val="-5"/>
        </w:rPr>
        <w:t> </w:t>
      </w:r>
      <w:r>
        <w:rPr/>
        <w:t>Brocks,</w:t>
      </w:r>
      <w:r>
        <w:rPr>
          <w:spacing w:val="-3"/>
        </w:rPr>
        <w:t> </w:t>
      </w:r>
      <w:r>
        <w:rPr/>
        <w:t>J.J.,</w:t>
      </w:r>
      <w:r>
        <w:rPr>
          <w:spacing w:val="-3"/>
        </w:rPr>
        <w:t> </w:t>
      </w:r>
      <w:r>
        <w:rPr/>
        <w:t>2011.</w:t>
      </w:r>
      <w:r>
        <w:rPr>
          <w:spacing w:val="-2"/>
        </w:rPr>
        <w:t> </w:t>
      </w:r>
      <w:r>
        <w:rPr/>
        <w:t>BIOMARKERS</w:t>
      </w:r>
      <w:r>
        <w:rPr>
          <w:spacing w:val="-3"/>
        </w:rPr>
        <w:t> </w:t>
      </w:r>
      <w:r>
        <w:rPr/>
        <w:t>(ORGANIC, COMPOUND-SPECIFIC</w:t>
      </w:r>
      <w:r>
        <w:rPr>
          <w:spacing w:val="-3"/>
        </w:rPr>
        <w:t> </w:t>
      </w:r>
      <w:r>
        <w:rPr/>
        <w:t>ISOTOPES).</w:t>
      </w:r>
    </w:p>
    <w:p>
      <w:pPr>
        <w:pStyle w:val="BodyText"/>
        <w:ind w:left="840"/>
      </w:pPr>
      <w:r>
        <w:rPr/>
        <w:t>Encyclopedia</w:t>
      </w:r>
      <w:r>
        <w:rPr>
          <w:spacing w:val="-4"/>
        </w:rPr>
        <w:t> </w:t>
      </w:r>
      <w:r>
        <w:rPr/>
        <w:t>of</w:t>
      </w:r>
      <w:r>
        <w:rPr>
          <w:spacing w:val="2"/>
        </w:rPr>
        <w:t> </w:t>
      </w:r>
      <w:r>
        <w:rPr/>
        <w:t>Geobiology</w:t>
      </w:r>
      <w:r>
        <w:rPr>
          <w:spacing w:val="-2"/>
        </w:rPr>
        <w:t> </w:t>
      </w:r>
      <w:r>
        <w:rPr/>
        <w:t>167–182.</w:t>
      </w:r>
    </w:p>
    <w:p>
      <w:pPr>
        <w:pStyle w:val="BodyText"/>
        <w:spacing w:before="12"/>
        <w:rPr>
          <w:sz w:val="23"/>
        </w:rPr>
      </w:pPr>
    </w:p>
    <w:p>
      <w:pPr>
        <w:pStyle w:val="BodyText"/>
        <w:ind w:left="840" w:right="799" w:hanging="720"/>
      </w:pPr>
      <w:r>
        <w:rPr/>
        <w:t>Grice, K., Schaeffer, P., Schwark, L., Maxwell, J.R., 1996. Molecular indicators of</w:t>
      </w:r>
      <w:r>
        <w:rPr>
          <w:spacing w:val="1"/>
        </w:rPr>
        <w:t> </w:t>
      </w:r>
      <w:r>
        <w:rPr/>
        <w:t>palaeoenvironmental conditions in an immature Permian shale (Kupferschiefer, Lower</w:t>
      </w:r>
      <w:r>
        <w:rPr>
          <w:spacing w:val="-52"/>
        </w:rPr>
        <w:t> </w:t>
      </w:r>
      <w:r>
        <w:rPr/>
        <w:t>Rhine Basin,</w:t>
      </w:r>
      <w:r>
        <w:rPr>
          <w:spacing w:val="-4"/>
        </w:rPr>
        <w:t> </w:t>
      </w:r>
      <w:r>
        <w:rPr/>
        <w:t>north-west</w:t>
      </w:r>
      <w:r>
        <w:rPr>
          <w:spacing w:val="-4"/>
        </w:rPr>
        <w:t> </w:t>
      </w:r>
      <w:r>
        <w:rPr/>
        <w:t>Germany)</w:t>
      </w:r>
      <w:r>
        <w:rPr>
          <w:spacing w:val="-3"/>
        </w:rPr>
        <w:t> </w:t>
      </w:r>
      <w:r>
        <w:rPr/>
        <w:t>from</w:t>
      </w:r>
      <w:r>
        <w:rPr>
          <w:spacing w:val="-4"/>
        </w:rPr>
        <w:t> </w:t>
      </w:r>
      <w:r>
        <w:rPr/>
        <w:t>free</w:t>
      </w:r>
      <w:r>
        <w:rPr>
          <w:spacing w:val="-3"/>
        </w:rPr>
        <w:t> </w:t>
      </w:r>
      <w:r>
        <w:rPr/>
        <w:t>and S-bound</w:t>
      </w:r>
      <w:r>
        <w:rPr>
          <w:spacing w:val="1"/>
        </w:rPr>
        <w:t> </w:t>
      </w:r>
      <w:r>
        <w:rPr/>
        <w:t>lipids.</w:t>
      </w:r>
      <w:r>
        <w:rPr>
          <w:spacing w:val="-3"/>
        </w:rPr>
        <w:t> </w:t>
      </w:r>
      <w:r>
        <w:rPr/>
        <w:t>Organic</w:t>
      </w:r>
      <w:r>
        <w:rPr>
          <w:spacing w:val="-5"/>
        </w:rPr>
        <w:t> </w:t>
      </w:r>
      <w:r>
        <w:rPr/>
        <w:t>Geochemistry</w:t>
      </w:r>
      <w:r>
        <w:rPr>
          <w:spacing w:val="-51"/>
        </w:rPr>
        <w:t> </w:t>
      </w:r>
      <w:r>
        <w:rPr/>
        <w:t>25,</w:t>
      </w:r>
      <w:r>
        <w:rPr>
          <w:spacing w:val="1"/>
        </w:rPr>
        <w:t> </w:t>
      </w:r>
      <w:r>
        <w:rPr/>
        <w:t>131–147.</w:t>
      </w:r>
    </w:p>
    <w:p>
      <w:pPr>
        <w:pStyle w:val="BodyText"/>
        <w:spacing w:before="1"/>
      </w:pPr>
    </w:p>
    <w:p>
      <w:pPr>
        <w:pStyle w:val="BodyText"/>
        <w:ind w:left="840" w:right="660" w:hanging="720"/>
      </w:pPr>
      <w:r>
        <w:rPr/>
        <w:t>Grosjean, E., Adam, P., Connan, J., Albrecht, P., 2004. Effects of weathering on nickel and</w:t>
      </w:r>
      <w:r>
        <w:rPr>
          <w:spacing w:val="1"/>
        </w:rPr>
        <w:t> </w:t>
      </w:r>
      <w:r>
        <w:rPr/>
        <w:t>vanadyl</w:t>
      </w:r>
      <w:r>
        <w:rPr>
          <w:spacing w:val="-5"/>
        </w:rPr>
        <w:t> </w:t>
      </w:r>
      <w:r>
        <w:rPr/>
        <w:t>porphyrins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Lower</w:t>
      </w:r>
      <w:r>
        <w:rPr>
          <w:spacing w:val="-3"/>
        </w:rPr>
        <w:t> </w:t>
      </w:r>
      <w:r>
        <w:rPr/>
        <w:t>Toarcian</w:t>
      </w:r>
      <w:r>
        <w:rPr>
          <w:spacing w:val="-2"/>
        </w:rPr>
        <w:t> </w:t>
      </w:r>
      <w:r>
        <w:rPr/>
        <w:t>shale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2"/>
        </w:rPr>
        <w:t> </w:t>
      </w:r>
      <w:r>
        <w:rPr/>
        <w:t>Paris</w:t>
      </w:r>
      <w:r>
        <w:rPr>
          <w:spacing w:val="-2"/>
        </w:rPr>
        <w:t> </w:t>
      </w:r>
      <w:r>
        <w:rPr/>
        <w:t>basin1</w:t>
      </w:r>
      <w:r>
        <w:rPr>
          <w:spacing w:val="-2"/>
        </w:rPr>
        <w:t> </w:t>
      </w:r>
      <w:r>
        <w:rPr/>
        <w:t>1Associate</w:t>
      </w:r>
      <w:r>
        <w:rPr>
          <w:spacing w:val="-2"/>
        </w:rPr>
        <w:t> </w:t>
      </w:r>
      <w:r>
        <w:rPr/>
        <w:t>editor:</w:t>
      </w:r>
      <w:r>
        <w:rPr>
          <w:spacing w:val="-2"/>
        </w:rPr>
        <w:t> </w:t>
      </w:r>
      <w:r>
        <w:rPr/>
        <w:t>G.</w:t>
      </w:r>
      <w:r>
        <w:rPr>
          <w:spacing w:val="-51"/>
        </w:rPr>
        <w:t> </w:t>
      </w:r>
      <w:r>
        <w:rPr/>
        <w:t>Logan. Geochimica</w:t>
      </w:r>
      <w:r>
        <w:rPr>
          <w:spacing w:val="-1"/>
        </w:rPr>
        <w:t> </w:t>
      </w:r>
      <w:r>
        <w:rPr/>
        <w:t>et</w:t>
      </w:r>
      <w:r>
        <w:rPr>
          <w:spacing w:val="-1"/>
        </w:rPr>
        <w:t> </w:t>
      </w:r>
      <w:r>
        <w:rPr/>
        <w:t>Cosmochimica</w:t>
      </w:r>
      <w:r>
        <w:rPr>
          <w:spacing w:val="-3"/>
        </w:rPr>
        <w:t> </w:t>
      </w:r>
      <w:r>
        <w:rPr/>
        <w:t>Acta</w:t>
      </w:r>
      <w:r>
        <w:rPr>
          <w:spacing w:val="-3"/>
        </w:rPr>
        <w:t> </w:t>
      </w:r>
      <w:r>
        <w:rPr/>
        <w:t>68,</w:t>
      </w:r>
      <w:r>
        <w:rPr>
          <w:spacing w:val="-3"/>
        </w:rPr>
        <w:t> </w:t>
      </w:r>
      <w:r>
        <w:rPr/>
        <w:t>789–804.</w:t>
      </w:r>
    </w:p>
    <w:p>
      <w:pPr>
        <w:spacing w:after="0"/>
        <w:sectPr>
          <w:footerReference w:type="default" r:id="rId64"/>
          <w:pgSz w:w="12240" w:h="15840"/>
          <w:pgMar w:footer="1014" w:header="0" w:top="1400" w:bottom="1200" w:left="1320" w:right="820"/>
        </w:sectPr>
      </w:pPr>
    </w:p>
    <w:p>
      <w:pPr>
        <w:pStyle w:val="BodyText"/>
        <w:spacing w:before="39"/>
        <w:ind w:left="840" w:right="660" w:hanging="720"/>
      </w:pPr>
      <w:r>
        <w:rPr/>
        <w:t>Gueneli,</w:t>
      </w:r>
      <w:r>
        <w:rPr>
          <w:spacing w:val="-4"/>
        </w:rPr>
        <w:t> </w:t>
      </w:r>
      <w:r>
        <w:rPr/>
        <w:t>N.,</w:t>
      </w:r>
      <w:r>
        <w:rPr>
          <w:spacing w:val="-5"/>
        </w:rPr>
        <w:t> </w:t>
      </w:r>
      <w:r>
        <w:rPr/>
        <w:t>McKenna,</w:t>
      </w:r>
      <w:r>
        <w:rPr>
          <w:spacing w:val="-2"/>
        </w:rPr>
        <w:t> </w:t>
      </w:r>
      <w:r>
        <w:rPr/>
        <w:t>A.M.,</w:t>
      </w:r>
      <w:r>
        <w:rPr>
          <w:spacing w:val="-2"/>
        </w:rPr>
        <w:t> </w:t>
      </w:r>
      <w:r>
        <w:rPr/>
        <w:t>Ohkouchi,</w:t>
      </w:r>
      <w:r>
        <w:rPr>
          <w:spacing w:val="-3"/>
        </w:rPr>
        <w:t> </w:t>
      </w:r>
      <w:r>
        <w:rPr/>
        <w:t>N.,</w:t>
      </w:r>
      <w:r>
        <w:rPr>
          <w:spacing w:val="-2"/>
        </w:rPr>
        <w:t> </w:t>
      </w:r>
      <w:r>
        <w:rPr/>
        <w:t>Boreham,</w:t>
      </w:r>
      <w:r>
        <w:rPr>
          <w:spacing w:val="-1"/>
        </w:rPr>
        <w:t> </w:t>
      </w:r>
      <w:r>
        <w:rPr/>
        <w:t>C.J.,</w:t>
      </w:r>
      <w:r>
        <w:rPr>
          <w:spacing w:val="-2"/>
        </w:rPr>
        <w:t> </w:t>
      </w:r>
      <w:r>
        <w:rPr/>
        <w:t>Beghin,</w:t>
      </w:r>
      <w:r>
        <w:rPr>
          <w:spacing w:val="-1"/>
        </w:rPr>
        <w:t> </w:t>
      </w:r>
      <w:r>
        <w:rPr/>
        <w:t>J.,</w:t>
      </w:r>
      <w:r>
        <w:rPr>
          <w:spacing w:val="-1"/>
        </w:rPr>
        <w:t> </w:t>
      </w:r>
      <w:r>
        <w:rPr/>
        <w:t>Javaux,</w:t>
      </w:r>
      <w:r>
        <w:rPr>
          <w:spacing w:val="-2"/>
        </w:rPr>
        <w:t> </w:t>
      </w:r>
      <w:r>
        <w:rPr/>
        <w:t>E.J.,</w:t>
      </w:r>
      <w:r>
        <w:rPr>
          <w:spacing w:val="-3"/>
        </w:rPr>
        <w:t> </w:t>
      </w:r>
      <w:r>
        <w:rPr/>
        <w:t>Brocks,</w:t>
      </w:r>
      <w:r>
        <w:rPr>
          <w:spacing w:val="-2"/>
        </w:rPr>
        <w:t> </w:t>
      </w:r>
      <w:r>
        <w:rPr/>
        <w:t>J.J.,</w:t>
      </w:r>
      <w:r>
        <w:rPr>
          <w:spacing w:val="-51"/>
        </w:rPr>
        <w:t> </w:t>
      </w:r>
      <w:r>
        <w:rPr/>
        <w:t>2018. 1.1-billion-year-old porphyrins establish a marine ecosystem dominated by</w:t>
      </w:r>
      <w:r>
        <w:rPr>
          <w:spacing w:val="1"/>
        </w:rPr>
        <w:t> </w:t>
      </w:r>
      <w:r>
        <w:rPr/>
        <w:t>bacterial primary producers. Proceedings of the National Academy of Sciences 115,</w:t>
      </w:r>
      <w:r>
        <w:rPr>
          <w:spacing w:val="1"/>
        </w:rPr>
        <w:t> </w:t>
      </w:r>
      <w:r>
        <w:rPr/>
        <w:t>E6978–E6986.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spacing w:before="1"/>
        <w:ind w:left="840" w:right="938" w:hanging="720"/>
      </w:pPr>
      <w:r>
        <w:rPr/>
        <w:t>Hartgers,</w:t>
      </w:r>
      <w:r>
        <w:rPr>
          <w:spacing w:val="-2"/>
        </w:rPr>
        <w:t> </w:t>
      </w:r>
      <w:r>
        <w:rPr/>
        <w:t>W.A.,</w:t>
      </w:r>
      <w:r>
        <w:rPr>
          <w:spacing w:val="-3"/>
        </w:rPr>
        <w:t> </w:t>
      </w:r>
      <w:r>
        <w:rPr/>
        <w:t>Damsté,</w:t>
      </w:r>
      <w:r>
        <w:rPr>
          <w:spacing w:val="-3"/>
        </w:rPr>
        <w:t> </w:t>
      </w:r>
      <w:r>
        <w:rPr/>
        <w:t>J.S.S.,</w:t>
      </w:r>
      <w:r>
        <w:rPr>
          <w:spacing w:val="-2"/>
        </w:rPr>
        <w:t> </w:t>
      </w:r>
      <w:r>
        <w:rPr/>
        <w:t>Koopmans,</w:t>
      </w:r>
      <w:r>
        <w:rPr>
          <w:spacing w:val="-2"/>
        </w:rPr>
        <w:t> </w:t>
      </w:r>
      <w:r>
        <w:rPr/>
        <w:t>M.P.,</w:t>
      </w:r>
      <w:r>
        <w:rPr>
          <w:spacing w:val="-2"/>
        </w:rPr>
        <w:t> </w:t>
      </w:r>
      <w:r>
        <w:rPr/>
        <w:t>Leeuw,</w:t>
      </w:r>
      <w:r>
        <w:rPr>
          <w:spacing w:val="-4"/>
        </w:rPr>
        <w:t> </w:t>
      </w:r>
      <w:r>
        <w:rPr/>
        <w:t>J.W.</w:t>
      </w:r>
      <w:r>
        <w:rPr>
          <w:spacing w:val="-2"/>
        </w:rPr>
        <w:t> </w:t>
      </w:r>
      <w:r>
        <w:rPr/>
        <w:t>de,</w:t>
      </w:r>
      <w:r>
        <w:rPr>
          <w:spacing w:val="-2"/>
        </w:rPr>
        <w:t> </w:t>
      </w:r>
      <w:r>
        <w:rPr/>
        <w:t>1993.</w:t>
      </w:r>
      <w:r>
        <w:rPr>
          <w:spacing w:val="-3"/>
        </w:rPr>
        <w:t> </w:t>
      </w:r>
      <w:r>
        <w:rPr/>
        <w:t>Sedimentary</w:t>
      </w:r>
      <w:r>
        <w:rPr>
          <w:spacing w:val="-2"/>
        </w:rPr>
        <w:t> </w:t>
      </w:r>
      <w:r>
        <w:rPr/>
        <w:t>evidence</w:t>
      </w:r>
      <w:r>
        <w:rPr>
          <w:spacing w:val="-51"/>
        </w:rPr>
        <w:t> </w:t>
      </w:r>
      <w:r>
        <w:rPr/>
        <w:t>for</w:t>
      </w:r>
      <w:r>
        <w:rPr>
          <w:spacing w:val="-2"/>
        </w:rPr>
        <w:t> </w:t>
      </w:r>
      <w:r>
        <w:rPr/>
        <w:t>a</w:t>
      </w:r>
      <w:r>
        <w:rPr>
          <w:spacing w:val="-4"/>
        </w:rPr>
        <w:t> </w:t>
      </w:r>
      <w:r>
        <w:rPr/>
        <w:t>diaromatic</w:t>
      </w:r>
      <w:r>
        <w:rPr>
          <w:spacing w:val="-3"/>
        </w:rPr>
        <w:t> </w:t>
      </w:r>
      <w:r>
        <w:rPr/>
        <w:t>carotenoid</w:t>
      </w:r>
      <w:r>
        <w:rPr>
          <w:spacing w:val="-3"/>
        </w:rPr>
        <w:t> </w:t>
      </w:r>
      <w:r>
        <w:rPr/>
        <w:t>with</w:t>
      </w:r>
      <w:r>
        <w:rPr>
          <w:spacing w:val="-2"/>
        </w:rPr>
        <w:t> </w:t>
      </w:r>
      <w:r>
        <w:rPr/>
        <w:t>an</w:t>
      </w:r>
      <w:r>
        <w:rPr>
          <w:spacing w:val="-2"/>
        </w:rPr>
        <w:t> </w:t>
      </w:r>
      <w:r>
        <w:rPr/>
        <w:t>unprecedented</w:t>
      </w:r>
      <w:r>
        <w:rPr>
          <w:spacing w:val="2"/>
        </w:rPr>
        <w:t> </w:t>
      </w:r>
      <w:r>
        <w:rPr/>
        <w:t>aromatic</w:t>
      </w:r>
      <w:r>
        <w:rPr>
          <w:spacing w:val="-2"/>
        </w:rPr>
        <w:t> </w:t>
      </w:r>
      <w:r>
        <w:rPr/>
        <w:t>substitution</w:t>
      </w:r>
      <w:r>
        <w:rPr>
          <w:spacing w:val="-2"/>
        </w:rPr>
        <w:t> </w:t>
      </w:r>
      <w:r>
        <w:rPr/>
        <w:t>pattern.</w:t>
      </w:r>
    </w:p>
    <w:p>
      <w:pPr>
        <w:pStyle w:val="BodyText"/>
        <w:spacing w:line="293" w:lineRule="exact"/>
        <w:ind w:left="840"/>
      </w:pPr>
      <w:r>
        <w:rPr/>
        <w:t>Journal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Chemical</w:t>
      </w:r>
      <w:r>
        <w:rPr>
          <w:spacing w:val="-3"/>
        </w:rPr>
        <w:t> </w:t>
      </w:r>
      <w:r>
        <w:rPr/>
        <w:t>Society,</w:t>
      </w:r>
      <w:r>
        <w:rPr>
          <w:spacing w:val="-4"/>
        </w:rPr>
        <w:t> </w:t>
      </w:r>
      <w:r>
        <w:rPr/>
        <w:t>Chemical</w:t>
      </w:r>
      <w:r>
        <w:rPr>
          <w:spacing w:val="-4"/>
        </w:rPr>
        <w:t> </w:t>
      </w:r>
      <w:r>
        <w:rPr/>
        <w:t>Communications</w:t>
      </w:r>
      <w:r>
        <w:rPr>
          <w:spacing w:val="1"/>
        </w:rPr>
        <w:t> </w:t>
      </w:r>
      <w:r>
        <w:rPr/>
        <w:t>1715–1716.</w:t>
      </w:r>
    </w:p>
    <w:p>
      <w:pPr>
        <w:pStyle w:val="BodyText"/>
        <w:spacing w:before="1"/>
      </w:pPr>
    </w:p>
    <w:p>
      <w:pPr>
        <w:pStyle w:val="BodyText"/>
        <w:spacing w:before="1"/>
        <w:ind w:left="840" w:right="660" w:hanging="720"/>
      </w:pPr>
      <w:r>
        <w:rPr/>
        <w:t>Hartgers,</w:t>
      </w:r>
      <w:r>
        <w:rPr>
          <w:spacing w:val="-2"/>
        </w:rPr>
        <w:t> </w:t>
      </w:r>
      <w:r>
        <w:rPr/>
        <w:t>W.A.,</w:t>
      </w:r>
      <w:r>
        <w:rPr>
          <w:spacing w:val="-2"/>
        </w:rPr>
        <w:t> </w:t>
      </w:r>
      <w:r>
        <w:rPr/>
        <w:t>Sinninghe</w:t>
      </w:r>
      <w:r>
        <w:rPr>
          <w:spacing w:val="-2"/>
        </w:rPr>
        <w:t> </w:t>
      </w:r>
      <w:r>
        <w:rPr/>
        <w:t>Damsté,</w:t>
      </w:r>
      <w:r>
        <w:rPr>
          <w:spacing w:val="-2"/>
        </w:rPr>
        <w:t> </w:t>
      </w:r>
      <w:r>
        <w:rPr/>
        <w:t>J.S.,</w:t>
      </w:r>
      <w:r>
        <w:rPr>
          <w:spacing w:val="-2"/>
        </w:rPr>
        <w:t> </w:t>
      </w:r>
      <w:r>
        <w:rPr/>
        <w:t>Requejo,</w:t>
      </w:r>
      <w:r>
        <w:rPr>
          <w:spacing w:val="-1"/>
        </w:rPr>
        <w:t> </w:t>
      </w:r>
      <w:r>
        <w:rPr/>
        <w:t>A.G.,</w:t>
      </w:r>
      <w:r>
        <w:rPr>
          <w:spacing w:val="-4"/>
        </w:rPr>
        <w:t> </w:t>
      </w:r>
      <w:r>
        <w:rPr/>
        <w:t>Allan,</w:t>
      </w:r>
      <w:r>
        <w:rPr>
          <w:spacing w:val="2"/>
        </w:rPr>
        <w:t> </w:t>
      </w:r>
      <w:r>
        <w:rPr/>
        <w:t>J.,</w:t>
      </w:r>
      <w:r>
        <w:rPr>
          <w:spacing w:val="-6"/>
        </w:rPr>
        <w:t> </w:t>
      </w:r>
      <w:r>
        <w:rPr/>
        <w:t>Hayes,</w:t>
      </w:r>
      <w:r>
        <w:rPr>
          <w:spacing w:val="-1"/>
        </w:rPr>
        <w:t> </w:t>
      </w:r>
      <w:r>
        <w:rPr/>
        <w:t>J.M.,</w:t>
      </w:r>
      <w:r>
        <w:rPr>
          <w:spacing w:val="-1"/>
        </w:rPr>
        <w:t> </w:t>
      </w:r>
      <w:r>
        <w:rPr/>
        <w:t>Ling,</w:t>
      </w:r>
      <w:r>
        <w:rPr>
          <w:spacing w:val="-2"/>
        </w:rPr>
        <w:t> </w:t>
      </w:r>
      <w:r>
        <w:rPr/>
        <w:t>Y.,</w:t>
      </w:r>
      <w:r>
        <w:rPr>
          <w:spacing w:val="-3"/>
        </w:rPr>
        <w:t> </w:t>
      </w:r>
      <w:r>
        <w:rPr/>
        <w:t>Xie,</w:t>
      </w:r>
      <w:r>
        <w:rPr>
          <w:spacing w:val="-3"/>
        </w:rPr>
        <w:t> </w:t>
      </w:r>
      <w:r>
        <w:rPr/>
        <w:t>T.-M.,</w:t>
      </w:r>
      <w:r>
        <w:rPr>
          <w:spacing w:val="-51"/>
        </w:rPr>
        <w:t> </w:t>
      </w:r>
      <w:r>
        <w:rPr/>
        <w:t>Primack, J., de Leeuw, J.W., 1994. A molecular and carbon isotopic study towards the</w:t>
      </w:r>
      <w:r>
        <w:rPr>
          <w:spacing w:val="1"/>
        </w:rPr>
        <w:t> </w:t>
      </w:r>
      <w:r>
        <w:rPr/>
        <w:t>origin and diagenetic fate of diaromatic carotenoids. Organic Geochemistry 22, 703–</w:t>
      </w:r>
      <w:r>
        <w:rPr>
          <w:spacing w:val="1"/>
        </w:rPr>
        <w:t> </w:t>
      </w:r>
      <w:r>
        <w:rPr/>
        <w:t>725.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840" w:right="735" w:hanging="720"/>
      </w:pPr>
      <w:r>
        <w:rPr/>
        <w:t>Hartkopf-Fröder, C.,</w:t>
      </w:r>
      <w:r>
        <w:rPr>
          <w:spacing w:val="-2"/>
        </w:rPr>
        <w:t> </w:t>
      </w:r>
      <w:r>
        <w:rPr/>
        <w:t>Kloppisch,</w:t>
      </w:r>
      <w:r>
        <w:rPr>
          <w:spacing w:val="-3"/>
        </w:rPr>
        <w:t> </w:t>
      </w:r>
      <w:r>
        <w:rPr/>
        <w:t>M.,</w:t>
      </w:r>
      <w:r>
        <w:rPr>
          <w:spacing w:val="-5"/>
        </w:rPr>
        <w:t> </w:t>
      </w:r>
      <w:r>
        <w:rPr/>
        <w:t>Mann,</w:t>
      </w:r>
      <w:r>
        <w:rPr>
          <w:spacing w:val="-3"/>
        </w:rPr>
        <w:t> </w:t>
      </w:r>
      <w:r>
        <w:rPr/>
        <w:t>U.,</w:t>
      </w:r>
      <w:r>
        <w:rPr>
          <w:spacing w:val="-3"/>
        </w:rPr>
        <w:t> </w:t>
      </w:r>
      <w:r>
        <w:rPr/>
        <w:t>Neumann-Mahlkau,</w:t>
      </w:r>
      <w:r>
        <w:rPr>
          <w:spacing w:val="-3"/>
        </w:rPr>
        <w:t> </w:t>
      </w:r>
      <w:r>
        <w:rPr/>
        <w:t>P.,</w:t>
      </w:r>
      <w:r>
        <w:rPr>
          <w:spacing w:val="-4"/>
        </w:rPr>
        <w:t> </w:t>
      </w:r>
      <w:r>
        <w:rPr/>
        <w:t>Schaefer,</w:t>
      </w:r>
      <w:r>
        <w:rPr>
          <w:spacing w:val="-5"/>
        </w:rPr>
        <w:t> </w:t>
      </w:r>
      <w:r>
        <w:rPr/>
        <w:t>R.G.,</w:t>
      </w:r>
      <w:r>
        <w:rPr>
          <w:spacing w:val="1"/>
        </w:rPr>
        <w:t> </w:t>
      </w:r>
      <w:r>
        <w:rPr/>
        <w:t>Wilkes,</w:t>
      </w:r>
      <w:r>
        <w:rPr>
          <w:spacing w:val="-3"/>
        </w:rPr>
        <w:t> </w:t>
      </w:r>
      <w:r>
        <w:rPr/>
        <w:t>H.,</w:t>
      </w:r>
      <w:r>
        <w:rPr>
          <w:spacing w:val="-51"/>
        </w:rPr>
        <w:t> </w:t>
      </w:r>
      <w:r>
        <w:rPr/>
        <w:t>2007. The end-Frasnian mass extinction in the Eifel Mountains, Germany: new insights</w:t>
      </w:r>
      <w:r>
        <w:rPr>
          <w:spacing w:val="1"/>
        </w:rPr>
        <w:t> </w:t>
      </w:r>
      <w:r>
        <w:rPr/>
        <w:t>from organic matter composition and preservation. Geological Society, London, Special</w:t>
      </w:r>
      <w:r>
        <w:rPr>
          <w:spacing w:val="-52"/>
        </w:rPr>
        <w:t> </w:t>
      </w:r>
      <w:r>
        <w:rPr/>
        <w:t>Publications</w:t>
      </w:r>
      <w:r>
        <w:rPr>
          <w:spacing w:val="-4"/>
        </w:rPr>
        <w:t> </w:t>
      </w:r>
      <w:r>
        <w:rPr/>
        <w:t>278,</w:t>
      </w:r>
      <w:r>
        <w:rPr>
          <w:spacing w:val="-1"/>
        </w:rPr>
        <w:t> </w:t>
      </w:r>
      <w:r>
        <w:rPr/>
        <w:t>173–196.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840" w:right="1092" w:hanging="720"/>
      </w:pPr>
      <w:r>
        <w:rPr/>
        <w:t>Huseby, B., Barth, T., Ocampo, R., 1996. Porphyrins in Upper Jurassic source rocks and</w:t>
      </w:r>
      <w:r>
        <w:rPr>
          <w:spacing w:val="1"/>
        </w:rPr>
        <w:t> </w:t>
      </w:r>
      <w:r>
        <w:rPr/>
        <w:t>correlations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other</w:t>
      </w:r>
      <w:r>
        <w:rPr>
          <w:spacing w:val="-2"/>
        </w:rPr>
        <w:t> </w:t>
      </w:r>
      <w:r>
        <w:rPr/>
        <w:t>source</w:t>
      </w:r>
      <w:r>
        <w:rPr>
          <w:spacing w:val="-2"/>
        </w:rPr>
        <w:t> </w:t>
      </w:r>
      <w:r>
        <w:rPr/>
        <w:t>rock</w:t>
      </w:r>
      <w:r>
        <w:rPr>
          <w:spacing w:val="-3"/>
        </w:rPr>
        <w:t> </w:t>
      </w:r>
      <w:r>
        <w:rPr/>
        <w:t>descriptors.</w:t>
      </w:r>
      <w:r>
        <w:rPr>
          <w:spacing w:val="-3"/>
        </w:rPr>
        <w:t> </w:t>
      </w:r>
      <w:r>
        <w:rPr/>
        <w:t>Organic</w:t>
      </w:r>
      <w:r>
        <w:rPr>
          <w:spacing w:val="-2"/>
        </w:rPr>
        <w:t> </w:t>
      </w:r>
      <w:r>
        <w:rPr/>
        <w:t>Geochemistry</w:t>
      </w:r>
      <w:r>
        <w:rPr>
          <w:spacing w:val="-5"/>
        </w:rPr>
        <w:t> </w:t>
      </w:r>
      <w:r>
        <w:rPr/>
        <w:t>25,</w:t>
      </w:r>
      <w:r>
        <w:rPr>
          <w:spacing w:val="-3"/>
        </w:rPr>
        <w:t> </w:t>
      </w:r>
      <w:r>
        <w:rPr/>
        <w:t>273–294.</w:t>
      </w:r>
    </w:p>
    <w:p>
      <w:pPr>
        <w:pStyle w:val="BodyText"/>
        <w:spacing w:before="2"/>
      </w:pPr>
    </w:p>
    <w:p>
      <w:pPr>
        <w:pStyle w:val="BodyText"/>
        <w:ind w:left="840" w:right="967" w:hanging="720"/>
      </w:pPr>
      <w:r>
        <w:rPr/>
        <w:t>Isaksen,</w:t>
      </w:r>
      <w:r>
        <w:rPr>
          <w:spacing w:val="-1"/>
        </w:rPr>
        <w:t> </w:t>
      </w:r>
      <w:r>
        <w:rPr/>
        <w:t>G.H.,</w:t>
      </w:r>
      <w:r>
        <w:rPr>
          <w:spacing w:val="-2"/>
        </w:rPr>
        <w:t> </w:t>
      </w:r>
      <w:r>
        <w:rPr/>
        <w:t>Bohacs, K.M.,</w:t>
      </w:r>
      <w:r>
        <w:rPr>
          <w:spacing w:val="-3"/>
        </w:rPr>
        <w:t> </w:t>
      </w:r>
      <w:r>
        <w:rPr/>
        <w:t>1995.</w:t>
      </w:r>
      <w:r>
        <w:rPr>
          <w:spacing w:val="-3"/>
        </w:rPr>
        <w:t> </w:t>
      </w:r>
      <w:r>
        <w:rPr/>
        <w:t>Geological</w:t>
      </w:r>
      <w:r>
        <w:rPr>
          <w:spacing w:val="-3"/>
        </w:rPr>
        <w:t> </w:t>
      </w:r>
      <w:r>
        <w:rPr/>
        <w:t>Controls</w:t>
      </w:r>
      <w:r>
        <w:rPr>
          <w:spacing w:val="-3"/>
        </w:rPr>
        <w:t> </w:t>
      </w:r>
      <w:r>
        <w:rPr/>
        <w:t>of</w:t>
      </w:r>
      <w:r>
        <w:rPr>
          <w:spacing w:val="1"/>
        </w:rPr>
        <w:t> </w:t>
      </w:r>
      <w:r>
        <w:rPr/>
        <w:t>Source</w:t>
      </w:r>
      <w:r>
        <w:rPr>
          <w:spacing w:val="-4"/>
        </w:rPr>
        <w:t> </w:t>
      </w:r>
      <w:r>
        <w:rPr/>
        <w:t>Rock</w:t>
      </w:r>
      <w:r>
        <w:rPr>
          <w:spacing w:val="-4"/>
        </w:rPr>
        <w:t> </w:t>
      </w:r>
      <w:r>
        <w:rPr/>
        <w:t>Geochemistry</w:t>
      </w:r>
      <w:r>
        <w:rPr>
          <w:spacing w:val="-3"/>
        </w:rPr>
        <w:t> </w:t>
      </w:r>
      <w:r>
        <w:rPr/>
        <w:t>Through</w:t>
      </w:r>
      <w:r>
        <w:rPr>
          <w:spacing w:val="-51"/>
        </w:rPr>
        <w:t> </w:t>
      </w:r>
      <w:r>
        <w:rPr/>
        <w:t>Relative Sea Level; Triassic, Barents Sea, in: Katz, B.J. (Ed.), Petroleum Source Rocks.</w:t>
      </w:r>
      <w:r>
        <w:rPr>
          <w:spacing w:val="1"/>
        </w:rPr>
        <w:t> </w:t>
      </w:r>
      <w:r>
        <w:rPr/>
        <w:t>Springer</w:t>
      </w:r>
      <w:r>
        <w:rPr>
          <w:spacing w:val="-4"/>
        </w:rPr>
        <w:t> </w:t>
      </w:r>
      <w:r>
        <w:rPr/>
        <w:t>Berlin</w:t>
      </w:r>
      <w:r>
        <w:rPr>
          <w:spacing w:val="-2"/>
        </w:rPr>
        <w:t> </w:t>
      </w:r>
      <w:r>
        <w:rPr/>
        <w:t>Heidelberg,</w:t>
      </w:r>
      <w:r>
        <w:rPr>
          <w:spacing w:val="-1"/>
        </w:rPr>
        <w:t> </w:t>
      </w:r>
      <w:r>
        <w:rPr/>
        <w:t>Berlin,</w:t>
      </w:r>
      <w:r>
        <w:rPr>
          <w:spacing w:val="2"/>
        </w:rPr>
        <w:t> </w:t>
      </w:r>
      <w:r>
        <w:rPr/>
        <w:t>Heidelberg,</w:t>
      </w:r>
      <w:r>
        <w:rPr>
          <w:spacing w:val="-2"/>
        </w:rPr>
        <w:t> </w:t>
      </w:r>
      <w:r>
        <w:rPr/>
        <w:t>pp.</w:t>
      </w:r>
      <w:r>
        <w:rPr>
          <w:spacing w:val="-2"/>
        </w:rPr>
        <w:t> </w:t>
      </w:r>
      <w:r>
        <w:rPr/>
        <w:t>25–50.</w:t>
      </w:r>
    </w:p>
    <w:p>
      <w:pPr>
        <w:pStyle w:val="BodyText"/>
        <w:spacing w:before="12"/>
        <w:rPr>
          <w:sz w:val="23"/>
        </w:rPr>
      </w:pPr>
    </w:p>
    <w:p>
      <w:pPr>
        <w:pStyle w:val="BodyText"/>
        <w:ind w:left="840" w:right="660" w:hanging="720"/>
      </w:pPr>
      <w:r>
        <w:rPr/>
        <w:t>Jiang, K., Lin, C., Cai, C., Zhang, X., Huang, S., Fan, Z., 2019. Current Status and Challenges of</w:t>
      </w:r>
      <w:r>
        <w:rPr>
          <w:spacing w:val="1"/>
        </w:rPr>
        <w:t> </w:t>
      </w:r>
      <w:r>
        <w:rPr/>
        <w:t>Methyltrimethyltridecylchromans</w:t>
      </w:r>
      <w:r>
        <w:rPr>
          <w:spacing w:val="-4"/>
        </w:rPr>
        <w:t> </w:t>
      </w:r>
      <w:r>
        <w:rPr/>
        <w:t>Research</w:t>
      </w:r>
      <w:r>
        <w:rPr>
          <w:spacing w:val="-5"/>
        </w:rPr>
        <w:t> </w:t>
      </w:r>
      <w:r>
        <w:rPr/>
        <w:t>in</w:t>
      </w:r>
      <w:r>
        <w:rPr>
          <w:spacing w:val="-2"/>
        </w:rPr>
        <w:t> </w:t>
      </w:r>
      <w:r>
        <w:rPr/>
        <w:t>Source</w:t>
      </w:r>
      <w:r>
        <w:rPr>
          <w:spacing w:val="-3"/>
        </w:rPr>
        <w:t> </w:t>
      </w:r>
      <w:r>
        <w:rPr/>
        <w:t>Rocks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Crude Oils.</w:t>
      </w:r>
      <w:r>
        <w:rPr>
          <w:spacing w:val="-5"/>
        </w:rPr>
        <w:t> </w:t>
      </w:r>
      <w:r>
        <w:rPr/>
        <w:t>ACS</w:t>
      </w:r>
      <w:r>
        <w:rPr>
          <w:spacing w:val="-4"/>
        </w:rPr>
        <w:t> </w:t>
      </w:r>
      <w:r>
        <w:rPr/>
        <w:t>Omega</w:t>
      </w:r>
      <w:r>
        <w:rPr>
          <w:spacing w:val="-51"/>
        </w:rPr>
        <w:t> </w:t>
      </w:r>
      <w:r>
        <w:rPr/>
        <w:t>4,</w:t>
      </w:r>
      <w:r>
        <w:rPr>
          <w:spacing w:val="-1"/>
        </w:rPr>
        <w:t> </w:t>
      </w:r>
      <w:r>
        <w:rPr/>
        <w:t>9835–9842.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840" w:right="796" w:hanging="720"/>
      </w:pPr>
      <w:r>
        <w:rPr/>
        <w:t>Jiang, K., Lin, C., Zhang, X., Cai, C., Xiao, F., He, W., Peng, L., 2018. Variations in abundance and</w:t>
      </w:r>
      <w:r>
        <w:rPr>
          <w:spacing w:val="-52"/>
        </w:rPr>
        <w:t> </w:t>
      </w:r>
      <w:r>
        <w:rPr/>
        <w:t>distribution of methyltrimethyltridecylchromans (MTTCs) in sediments from saline</w:t>
      </w:r>
      <w:r>
        <w:rPr>
          <w:spacing w:val="1"/>
        </w:rPr>
        <w:t> </w:t>
      </w:r>
      <w:r>
        <w:rPr/>
        <w:t>lacustrine</w:t>
      </w:r>
      <w:r>
        <w:rPr>
          <w:spacing w:val="-3"/>
        </w:rPr>
        <w:t> </w:t>
      </w:r>
      <w:r>
        <w:rPr/>
        <w:t>settings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Cenozoic</w:t>
      </w:r>
      <w:r>
        <w:rPr>
          <w:spacing w:val="-2"/>
        </w:rPr>
        <w:t> </w:t>
      </w:r>
      <w:r>
        <w:rPr/>
        <w:t>lacustrine</w:t>
      </w:r>
      <w:r>
        <w:rPr>
          <w:spacing w:val="-4"/>
        </w:rPr>
        <w:t> </w:t>
      </w:r>
      <w:r>
        <w:rPr/>
        <w:t>basins,</w:t>
      </w:r>
      <w:r>
        <w:rPr>
          <w:spacing w:val="-2"/>
        </w:rPr>
        <w:t> </w:t>
      </w:r>
      <w:r>
        <w:rPr/>
        <w:t>China.</w:t>
      </w:r>
      <w:r>
        <w:rPr>
          <w:spacing w:val="-3"/>
        </w:rPr>
        <w:t> </w:t>
      </w:r>
      <w:r>
        <w:rPr/>
        <w:t>Organic</w:t>
      </w:r>
      <w:r>
        <w:rPr>
          <w:spacing w:val="-2"/>
        </w:rPr>
        <w:t> </w:t>
      </w:r>
      <w:r>
        <w:rPr/>
        <w:t>Geochemistry</w:t>
      </w:r>
      <w:r>
        <w:rPr>
          <w:spacing w:val="-2"/>
        </w:rPr>
        <w:t> </w:t>
      </w:r>
      <w:r>
        <w:rPr/>
        <w:t>121,</w:t>
      </w:r>
      <w:r>
        <w:rPr>
          <w:spacing w:val="-3"/>
        </w:rPr>
        <w:t> </w:t>
      </w:r>
      <w:r>
        <w:rPr/>
        <w:t>58–</w:t>
      </w:r>
      <w:r>
        <w:rPr>
          <w:spacing w:val="-51"/>
        </w:rPr>
        <w:t> </w:t>
      </w:r>
      <w:r>
        <w:rPr/>
        <w:t>67.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spacing w:line="242" w:lineRule="auto" w:before="1"/>
        <w:ind w:left="840" w:right="660" w:hanging="720"/>
      </w:pPr>
      <w:r>
        <w:rPr/>
        <w:t>Joachimski,</w:t>
      </w:r>
      <w:r>
        <w:rPr>
          <w:spacing w:val="-4"/>
        </w:rPr>
        <w:t> </w:t>
      </w:r>
      <w:r>
        <w:rPr/>
        <w:t>M.M.,</w:t>
      </w:r>
      <w:r>
        <w:rPr>
          <w:spacing w:val="-5"/>
        </w:rPr>
        <w:t> </w:t>
      </w:r>
      <w:r>
        <w:rPr/>
        <w:t>Buggisch,</w:t>
      </w:r>
      <w:r>
        <w:rPr>
          <w:spacing w:val="-3"/>
        </w:rPr>
        <w:t> </w:t>
      </w:r>
      <w:r>
        <w:rPr/>
        <w:t>W.,</w:t>
      </w:r>
      <w:r>
        <w:rPr>
          <w:spacing w:val="-3"/>
        </w:rPr>
        <w:t> </w:t>
      </w:r>
      <w:r>
        <w:rPr/>
        <w:t>2002.</w:t>
      </w:r>
      <w:r>
        <w:rPr>
          <w:spacing w:val="-3"/>
        </w:rPr>
        <w:t> </w:t>
      </w:r>
      <w:r>
        <w:rPr/>
        <w:t>Conodont</w:t>
      </w:r>
      <w:r>
        <w:rPr>
          <w:spacing w:val="-3"/>
        </w:rPr>
        <w:t> </w:t>
      </w:r>
      <w:r>
        <w:rPr/>
        <w:t>apatite δ18O</w:t>
      </w:r>
      <w:r>
        <w:rPr>
          <w:spacing w:val="-1"/>
        </w:rPr>
        <w:t> </w:t>
      </w:r>
      <w:r>
        <w:rPr/>
        <w:t>signatures</w:t>
      </w:r>
      <w:r>
        <w:rPr>
          <w:spacing w:val="-3"/>
        </w:rPr>
        <w:t> </w:t>
      </w:r>
      <w:r>
        <w:rPr/>
        <w:t>indicate climatic</w:t>
      </w:r>
      <w:r>
        <w:rPr>
          <w:spacing w:val="-51"/>
        </w:rPr>
        <w:t> </w:t>
      </w:r>
      <w:r>
        <w:rPr/>
        <w:t>cooling</w:t>
      </w:r>
      <w:r>
        <w:rPr>
          <w:spacing w:val="1"/>
        </w:rPr>
        <w:t> </w:t>
      </w:r>
      <w:r>
        <w:rPr/>
        <w:t>as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trigger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Late Devonian</w:t>
      </w:r>
      <w:r>
        <w:rPr>
          <w:spacing w:val="-1"/>
        </w:rPr>
        <w:t> </w:t>
      </w:r>
      <w:r>
        <w:rPr/>
        <w:t>mass</w:t>
      </w:r>
      <w:r>
        <w:rPr>
          <w:spacing w:val="-3"/>
        </w:rPr>
        <w:t> </w:t>
      </w:r>
      <w:r>
        <w:rPr/>
        <w:t>extinction. Geology</w:t>
      </w:r>
      <w:r>
        <w:rPr>
          <w:spacing w:val="-2"/>
        </w:rPr>
        <w:t> </w:t>
      </w:r>
      <w:r>
        <w:rPr/>
        <w:t>30,</w:t>
      </w:r>
      <w:r>
        <w:rPr>
          <w:spacing w:val="-1"/>
        </w:rPr>
        <w:t> </w:t>
      </w:r>
      <w:r>
        <w:rPr/>
        <w:t>711–714.</w:t>
      </w:r>
    </w:p>
    <w:p>
      <w:pPr>
        <w:pStyle w:val="BodyText"/>
        <w:spacing w:before="8"/>
        <w:rPr>
          <w:sz w:val="23"/>
        </w:rPr>
      </w:pPr>
    </w:p>
    <w:p>
      <w:pPr>
        <w:pStyle w:val="BodyText"/>
        <w:ind w:left="120"/>
      </w:pPr>
      <w:r>
        <w:rPr/>
        <w:t>Johnson,</w:t>
      </w:r>
      <w:r>
        <w:rPr>
          <w:spacing w:val="-3"/>
        </w:rPr>
        <w:t> </w:t>
      </w:r>
      <w:r>
        <w:rPr/>
        <w:t>J.G.,</w:t>
      </w:r>
      <w:r>
        <w:rPr>
          <w:spacing w:val="-5"/>
        </w:rPr>
        <w:t> </w:t>
      </w:r>
      <w:r>
        <w:rPr/>
        <w:t>Klapper,</w:t>
      </w:r>
      <w:r>
        <w:rPr>
          <w:spacing w:val="-2"/>
        </w:rPr>
        <w:t> </w:t>
      </w:r>
      <w:r>
        <w:rPr/>
        <w:t>G.,</w:t>
      </w:r>
      <w:r>
        <w:rPr>
          <w:spacing w:val="-3"/>
        </w:rPr>
        <w:t> </w:t>
      </w:r>
      <w:r>
        <w:rPr/>
        <w:t>Sandberg,</w:t>
      </w:r>
      <w:r>
        <w:rPr>
          <w:spacing w:val="-4"/>
        </w:rPr>
        <w:t> </w:t>
      </w:r>
      <w:r>
        <w:rPr/>
        <w:t>C.A.,</w:t>
      </w:r>
      <w:r>
        <w:rPr>
          <w:spacing w:val="-5"/>
        </w:rPr>
        <w:t> </w:t>
      </w:r>
      <w:r>
        <w:rPr/>
        <w:t>1985.</w:t>
      </w:r>
      <w:r>
        <w:rPr>
          <w:spacing w:val="-1"/>
        </w:rPr>
        <w:t> </w:t>
      </w:r>
      <w:r>
        <w:rPr/>
        <w:t>Devonian</w:t>
      </w:r>
      <w:r>
        <w:rPr>
          <w:spacing w:val="-2"/>
        </w:rPr>
        <w:t> </w:t>
      </w:r>
      <w:r>
        <w:rPr/>
        <w:t>eustatic</w:t>
      </w:r>
      <w:r>
        <w:rPr>
          <w:spacing w:val="-1"/>
        </w:rPr>
        <w:t> </w:t>
      </w:r>
      <w:r>
        <w:rPr/>
        <w:t>fluctuations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Euramerica.</w:t>
      </w:r>
    </w:p>
    <w:p>
      <w:pPr>
        <w:pStyle w:val="BodyText"/>
        <w:ind w:left="840"/>
      </w:pPr>
      <w:r>
        <w:rPr/>
        <w:t>GSA</w:t>
      </w:r>
      <w:r>
        <w:rPr>
          <w:spacing w:val="-2"/>
        </w:rPr>
        <w:t> </w:t>
      </w:r>
      <w:r>
        <w:rPr/>
        <w:t>Bulletin</w:t>
      </w:r>
      <w:r>
        <w:rPr>
          <w:spacing w:val="-2"/>
        </w:rPr>
        <w:t> </w:t>
      </w:r>
      <w:r>
        <w:rPr/>
        <w:t>96,</w:t>
      </w:r>
      <w:r>
        <w:rPr>
          <w:spacing w:val="-2"/>
        </w:rPr>
        <w:t> </w:t>
      </w:r>
      <w:r>
        <w:rPr/>
        <w:t>567–587.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spacing w:before="1"/>
        <w:ind w:left="840" w:right="660" w:hanging="720"/>
      </w:pPr>
      <w:r>
        <w:rPr/>
        <w:t>Johnson,</w:t>
      </w:r>
      <w:r>
        <w:rPr>
          <w:spacing w:val="-3"/>
        </w:rPr>
        <w:t> </w:t>
      </w:r>
      <w:r>
        <w:rPr/>
        <w:t>K.,</w:t>
      </w:r>
      <w:r>
        <w:rPr>
          <w:spacing w:val="-4"/>
        </w:rPr>
        <w:t> </w:t>
      </w:r>
      <w:r>
        <w:rPr/>
        <w:t>Suneson,</w:t>
      </w:r>
      <w:r>
        <w:rPr>
          <w:spacing w:val="-1"/>
        </w:rPr>
        <w:t> </w:t>
      </w:r>
      <w:r>
        <w:rPr/>
        <w:t>N.,</w:t>
      </w:r>
      <w:r>
        <w:rPr>
          <w:spacing w:val="-4"/>
        </w:rPr>
        <w:t> </w:t>
      </w:r>
      <w:r>
        <w:rPr/>
        <w:t>1997.</w:t>
      </w:r>
      <w:r>
        <w:rPr>
          <w:spacing w:val="-3"/>
        </w:rPr>
        <w:t> </w:t>
      </w:r>
      <w:r>
        <w:rPr/>
        <w:t>Rockhounding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earth-science</w:t>
      </w:r>
      <w:r>
        <w:rPr>
          <w:spacing w:val="-2"/>
        </w:rPr>
        <w:t> </w:t>
      </w:r>
      <w:r>
        <w:rPr/>
        <w:t>activities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Oklahoma,</w:t>
      </w:r>
      <w:r>
        <w:rPr>
          <w:spacing w:val="-2"/>
        </w:rPr>
        <w:t> </w:t>
      </w:r>
      <w:r>
        <w:rPr/>
        <w:t>1995</w:t>
      </w:r>
      <w:r>
        <w:rPr>
          <w:spacing w:val="-51"/>
        </w:rPr>
        <w:t> </w:t>
      </w:r>
      <w:r>
        <w:rPr/>
        <w:t>workshop.</w:t>
      </w:r>
    </w:p>
    <w:p>
      <w:pPr>
        <w:spacing w:after="0"/>
        <w:sectPr>
          <w:footerReference w:type="default" r:id="rId65"/>
          <w:pgSz w:w="12240" w:h="15840"/>
          <w:pgMar w:footer="934" w:header="0" w:top="1400" w:bottom="1120" w:left="1320" w:right="820"/>
          <w:pgNumType w:start="1"/>
        </w:sectPr>
      </w:pPr>
    </w:p>
    <w:p>
      <w:pPr>
        <w:pStyle w:val="BodyText"/>
        <w:spacing w:before="39"/>
        <w:ind w:left="840" w:right="660" w:hanging="720"/>
      </w:pPr>
      <w:r>
        <w:rPr/>
        <w:t>Jones,</w:t>
      </w:r>
      <w:r>
        <w:rPr>
          <w:spacing w:val="-3"/>
        </w:rPr>
        <w:t> </w:t>
      </w:r>
      <w:r>
        <w:rPr/>
        <w:t>L.C.,</w:t>
      </w:r>
      <w:r>
        <w:rPr>
          <w:spacing w:val="-2"/>
        </w:rPr>
        <w:t> </w:t>
      </w:r>
      <w:r>
        <w:rPr/>
        <w:t>2017. An</w:t>
      </w:r>
      <w:r>
        <w:rPr>
          <w:spacing w:val="1"/>
        </w:rPr>
        <w:t> </w:t>
      </w:r>
      <w:r>
        <w:rPr/>
        <w:t>Integrated</w:t>
      </w:r>
      <w:r>
        <w:rPr>
          <w:spacing w:val="-3"/>
        </w:rPr>
        <w:t> </w:t>
      </w:r>
      <w:r>
        <w:rPr/>
        <w:t>Analysis</w:t>
      </w:r>
      <w:r>
        <w:rPr>
          <w:spacing w:val="-6"/>
        </w:rPr>
        <w:t> </w:t>
      </w:r>
      <w:r>
        <w:rPr/>
        <w:t>of</w:t>
      </w:r>
      <w:r>
        <w:rPr>
          <w:spacing w:val="-3"/>
        </w:rPr>
        <w:t> </w:t>
      </w:r>
      <w:r>
        <w:rPr/>
        <w:t>Sequence</w:t>
      </w:r>
      <w:r>
        <w:rPr>
          <w:spacing w:val="-3"/>
        </w:rPr>
        <w:t> </w:t>
      </w:r>
      <w:r>
        <w:rPr/>
        <w:t>Stratigraphy,</w:t>
      </w:r>
      <w:r>
        <w:rPr>
          <w:spacing w:val="-3"/>
        </w:rPr>
        <w:t> </w:t>
      </w:r>
      <w:r>
        <w:rPr/>
        <w:t>Petroleum</w:t>
      </w:r>
      <w:r>
        <w:rPr>
          <w:spacing w:val="-3"/>
        </w:rPr>
        <w:t> </w:t>
      </w:r>
      <w:r>
        <w:rPr/>
        <w:t>Geochemistry,</w:t>
      </w:r>
      <w:r>
        <w:rPr>
          <w:spacing w:val="-51"/>
        </w:rPr>
        <w:t> </w:t>
      </w:r>
      <w:r>
        <w:rPr/>
        <w:t>and Devonian</w:t>
      </w:r>
      <w:r>
        <w:rPr>
          <w:spacing w:val="-3"/>
        </w:rPr>
        <w:t> </w:t>
      </w:r>
      <w:r>
        <w:rPr/>
        <w:t>Mass</w:t>
      </w:r>
      <w:r>
        <w:rPr>
          <w:spacing w:val="-3"/>
        </w:rPr>
        <w:t> </w:t>
      </w:r>
      <w:r>
        <w:rPr/>
        <w:t>Extinction</w:t>
      </w:r>
      <w:r>
        <w:rPr>
          <w:spacing w:val="-3"/>
        </w:rPr>
        <w:t> </w:t>
      </w:r>
      <w:r>
        <w:rPr/>
        <w:t>Events</w:t>
      </w:r>
      <w:r>
        <w:rPr>
          <w:spacing w:val="1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1"/>
        </w:rPr>
        <w:t> </w:t>
      </w:r>
      <w:r>
        <w:rPr/>
        <w:t>Woodford</w:t>
      </w:r>
      <w:r>
        <w:rPr>
          <w:spacing w:val="-3"/>
        </w:rPr>
        <w:t> </w:t>
      </w:r>
      <w:r>
        <w:rPr/>
        <w:t>Shale,</w:t>
      </w:r>
      <w:r>
        <w:rPr>
          <w:spacing w:val="-2"/>
        </w:rPr>
        <w:t> </w:t>
      </w:r>
      <w:r>
        <w:rPr/>
        <w:t>Southern</w:t>
      </w:r>
      <w:r>
        <w:rPr>
          <w:spacing w:val="-2"/>
        </w:rPr>
        <w:t> </w:t>
      </w:r>
      <w:r>
        <w:rPr/>
        <w:t>Oklahoma.</w:t>
      </w:r>
    </w:p>
    <w:p>
      <w:pPr>
        <w:pStyle w:val="BodyText"/>
        <w:spacing w:line="293" w:lineRule="exact"/>
        <w:ind w:left="840"/>
      </w:pPr>
      <w:r>
        <w:rPr/>
        <w:t>University</w:t>
      </w:r>
      <w:r>
        <w:rPr>
          <w:spacing w:val="-3"/>
        </w:rPr>
        <w:t> </w:t>
      </w:r>
      <w:r>
        <w:rPr/>
        <w:t>of</w:t>
      </w:r>
      <w:r>
        <w:rPr>
          <w:spacing w:val="1"/>
        </w:rPr>
        <w:t> </w:t>
      </w:r>
      <w:r>
        <w:rPr/>
        <w:t>Oklahoma.</w:t>
      </w:r>
    </w:p>
    <w:p>
      <w:pPr>
        <w:pStyle w:val="BodyText"/>
      </w:pPr>
    </w:p>
    <w:p>
      <w:pPr>
        <w:pStyle w:val="BodyText"/>
        <w:ind w:left="840" w:right="641" w:hanging="720"/>
      </w:pPr>
      <w:r>
        <w:rPr/>
        <w:t>Junium, C.K., Freeman, K.H., Arthur, M.A., 2015. Controls on the stratigraphic distribution and</w:t>
      </w:r>
      <w:r>
        <w:rPr>
          <w:spacing w:val="1"/>
        </w:rPr>
        <w:t> </w:t>
      </w:r>
      <w:r>
        <w:rPr/>
        <w:t>nitrogen</w:t>
      </w:r>
      <w:r>
        <w:rPr>
          <w:spacing w:val="1"/>
        </w:rPr>
        <w:t> </w:t>
      </w:r>
      <w:r>
        <w:rPr/>
        <w:t>isotopic</w:t>
      </w:r>
      <w:r>
        <w:rPr>
          <w:spacing w:val="-4"/>
        </w:rPr>
        <w:t> </w:t>
      </w:r>
      <w:r>
        <w:rPr/>
        <w:t>composition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zinc,</w:t>
      </w:r>
      <w:r>
        <w:rPr>
          <w:spacing w:val="-2"/>
        </w:rPr>
        <w:t> </w:t>
      </w:r>
      <w:r>
        <w:rPr/>
        <w:t>vanadyl</w:t>
      </w:r>
      <w:r>
        <w:rPr>
          <w:spacing w:val="-3"/>
        </w:rPr>
        <w:t> </w:t>
      </w:r>
      <w:r>
        <w:rPr/>
        <w:t>and</w:t>
      </w:r>
      <w:r>
        <w:rPr>
          <w:spacing w:val="1"/>
        </w:rPr>
        <w:t> </w:t>
      </w:r>
      <w:r>
        <w:rPr/>
        <w:t>free</w:t>
      </w:r>
      <w:r>
        <w:rPr>
          <w:spacing w:val="-4"/>
        </w:rPr>
        <w:t> </w:t>
      </w:r>
      <w:r>
        <w:rPr/>
        <w:t>base</w:t>
      </w:r>
      <w:r>
        <w:rPr>
          <w:spacing w:val="-4"/>
        </w:rPr>
        <w:t> </w:t>
      </w:r>
      <w:r>
        <w:rPr/>
        <w:t>porphyrins</w:t>
      </w:r>
      <w:r>
        <w:rPr>
          <w:spacing w:val="-2"/>
        </w:rPr>
        <w:t> </w:t>
      </w:r>
      <w:r>
        <w:rPr/>
        <w:t>through</w:t>
      </w:r>
      <w:r>
        <w:rPr>
          <w:spacing w:val="-4"/>
        </w:rPr>
        <w:t> </w:t>
      </w:r>
      <w:r>
        <w:rPr/>
        <w:t>Oceanic</w:t>
      </w:r>
      <w:r>
        <w:rPr>
          <w:spacing w:val="-51"/>
        </w:rPr>
        <w:t> </w:t>
      </w:r>
      <w:r>
        <w:rPr/>
        <w:t>Anoxic Event</w:t>
      </w:r>
      <w:r>
        <w:rPr>
          <w:spacing w:val="-1"/>
        </w:rPr>
        <w:t> </w:t>
      </w:r>
      <w:r>
        <w:rPr/>
        <w:t>2</w:t>
      </w:r>
      <w:r>
        <w:rPr>
          <w:spacing w:val="3"/>
        </w:rPr>
        <w:t> </w:t>
      </w:r>
      <w:r>
        <w:rPr/>
        <w:t>at</w:t>
      </w:r>
      <w:r>
        <w:rPr>
          <w:spacing w:val="-2"/>
        </w:rPr>
        <w:t> </w:t>
      </w:r>
      <w:r>
        <w:rPr/>
        <w:t>Demerara</w:t>
      </w:r>
      <w:r>
        <w:rPr>
          <w:spacing w:val="-1"/>
        </w:rPr>
        <w:t> </w:t>
      </w:r>
      <w:r>
        <w:rPr/>
        <w:t>Rise.</w:t>
      </w:r>
      <w:r>
        <w:rPr>
          <w:spacing w:val="-1"/>
        </w:rPr>
        <w:t> </w:t>
      </w:r>
      <w:r>
        <w:rPr/>
        <w:t>Organic</w:t>
      </w:r>
      <w:r>
        <w:rPr>
          <w:spacing w:val="-2"/>
        </w:rPr>
        <w:t> </w:t>
      </w:r>
      <w:r>
        <w:rPr/>
        <w:t>Geochemistry</w:t>
      </w:r>
      <w:r>
        <w:rPr>
          <w:spacing w:val="-1"/>
        </w:rPr>
        <w:t> </w:t>
      </w:r>
      <w:r>
        <w:rPr/>
        <w:t>80,</w:t>
      </w:r>
      <w:r>
        <w:rPr>
          <w:spacing w:val="-1"/>
        </w:rPr>
        <w:t> </w:t>
      </w:r>
      <w:r>
        <w:rPr/>
        <w:t>60–71.</w:t>
      </w:r>
    </w:p>
    <w:p>
      <w:pPr>
        <w:pStyle w:val="BodyText"/>
        <w:spacing w:before="1"/>
      </w:pPr>
    </w:p>
    <w:p>
      <w:pPr>
        <w:pStyle w:val="BodyText"/>
        <w:spacing w:before="1"/>
        <w:ind w:left="840" w:right="768" w:hanging="720"/>
      </w:pPr>
      <w:r>
        <w:rPr/>
        <w:t>Junium, C.K., Mawson, D.H., Arthur, M.A., Freeman, K.H., Keely, B.J., 2008. Unexpected</w:t>
      </w:r>
      <w:r>
        <w:rPr>
          <w:spacing w:val="1"/>
        </w:rPr>
        <w:t> </w:t>
      </w:r>
      <w:r>
        <w:rPr/>
        <w:t>occurrence and significance of zinc alkyl porphyrins in Cenomanian–Turonian black</w:t>
      </w:r>
      <w:r>
        <w:rPr>
          <w:spacing w:val="1"/>
        </w:rPr>
        <w:t> </w:t>
      </w:r>
      <w:r>
        <w:rPr/>
        <w:t>shales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Demerara</w:t>
      </w:r>
      <w:r>
        <w:rPr>
          <w:spacing w:val="-1"/>
        </w:rPr>
        <w:t> </w:t>
      </w:r>
      <w:r>
        <w:rPr/>
        <w:t>Rise.</w:t>
      </w:r>
      <w:r>
        <w:rPr>
          <w:spacing w:val="-3"/>
        </w:rPr>
        <w:t> </w:t>
      </w:r>
      <w:r>
        <w:rPr/>
        <w:t>Organic</w:t>
      </w:r>
      <w:r>
        <w:rPr>
          <w:spacing w:val="-3"/>
        </w:rPr>
        <w:t> </w:t>
      </w:r>
      <w:r>
        <w:rPr/>
        <w:t>Geochemistry,</w:t>
      </w:r>
      <w:r>
        <w:rPr>
          <w:spacing w:val="-2"/>
        </w:rPr>
        <w:t> </w:t>
      </w:r>
      <w:r>
        <w:rPr/>
        <w:t>Advances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Organic</w:t>
      </w:r>
      <w:r>
        <w:rPr>
          <w:spacing w:val="-3"/>
        </w:rPr>
        <w:t> </w:t>
      </w:r>
      <w:r>
        <w:rPr/>
        <w:t>Geochemistry</w:t>
      </w:r>
      <w:r>
        <w:rPr>
          <w:spacing w:val="-51"/>
        </w:rPr>
        <w:t> </w:t>
      </w:r>
      <w:r>
        <w:rPr/>
        <w:t>2007</w:t>
      </w:r>
      <w:r>
        <w:rPr>
          <w:spacing w:val="-2"/>
        </w:rPr>
        <w:t> </w:t>
      </w:r>
      <w:r>
        <w:rPr/>
        <w:t>39,</w:t>
      </w:r>
      <w:r>
        <w:rPr>
          <w:spacing w:val="-3"/>
        </w:rPr>
        <w:t> </w:t>
      </w:r>
      <w:r>
        <w:rPr/>
        <w:t>1081–1087.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840" w:right="714" w:hanging="720"/>
      </w:pPr>
      <w:r>
        <w:rPr/>
        <w:t>Kim, J.S., Reibenspies, J.H., Darensbourg, M.Y., 1996. Characteristics of Nickel(0), Nickel(I), and</w:t>
      </w:r>
      <w:r>
        <w:rPr>
          <w:spacing w:val="1"/>
        </w:rPr>
        <w:t> </w:t>
      </w:r>
      <w:r>
        <w:rPr/>
        <w:t>Nickel(II)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Phosphino</w:t>
      </w:r>
      <w:r>
        <w:rPr>
          <w:spacing w:val="-4"/>
        </w:rPr>
        <w:t> </w:t>
      </w:r>
      <w:r>
        <w:rPr/>
        <w:t>Thioether</w:t>
      </w:r>
      <w:r>
        <w:rPr>
          <w:spacing w:val="-5"/>
        </w:rPr>
        <w:t> </w:t>
      </w:r>
      <w:r>
        <w:rPr/>
        <w:t>Complexes:</w:t>
      </w:r>
      <w:r>
        <w:rPr>
          <w:spacing w:val="43"/>
        </w:rPr>
        <w:t> </w:t>
      </w:r>
      <w:r>
        <w:rPr/>
        <w:t>Molecular</w:t>
      </w:r>
      <w:r>
        <w:rPr>
          <w:spacing w:val="-4"/>
        </w:rPr>
        <w:t> </w:t>
      </w:r>
      <w:r>
        <w:rPr/>
        <w:t>Structure</w:t>
      </w:r>
      <w:r>
        <w:rPr>
          <w:spacing w:val="-3"/>
        </w:rPr>
        <w:t> </w:t>
      </w:r>
      <w:r>
        <w:rPr/>
        <w:t>and</w:t>
      </w:r>
      <w:r>
        <w:rPr>
          <w:spacing w:val="1"/>
        </w:rPr>
        <w:t> </w:t>
      </w:r>
      <w:r>
        <w:rPr/>
        <w:t>S-Dealkylation</w:t>
      </w:r>
      <w:r>
        <w:rPr>
          <w:spacing w:val="-2"/>
        </w:rPr>
        <w:t> </w:t>
      </w:r>
      <w:r>
        <w:rPr/>
        <w:t>of</w:t>
      </w:r>
      <w:r>
        <w:rPr>
          <w:spacing w:val="-51"/>
        </w:rPr>
        <w:t> </w:t>
      </w:r>
      <w:r>
        <w:rPr/>
        <w:t>(Ph2P(o-C6H4)SCH3)2Ni0.</w:t>
      </w:r>
      <w:r>
        <w:rPr>
          <w:spacing w:val="-1"/>
        </w:rPr>
        <w:t> </w:t>
      </w:r>
      <w:r>
        <w:rPr/>
        <w:t>Journal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American</w:t>
      </w:r>
      <w:r>
        <w:rPr>
          <w:spacing w:val="-2"/>
        </w:rPr>
        <w:t> </w:t>
      </w:r>
      <w:r>
        <w:rPr/>
        <w:t>Chemical</w:t>
      </w:r>
      <w:r>
        <w:rPr>
          <w:spacing w:val="-4"/>
        </w:rPr>
        <w:t> </w:t>
      </w:r>
      <w:r>
        <w:rPr/>
        <w:t>Society</w:t>
      </w:r>
      <w:r>
        <w:rPr>
          <w:spacing w:val="-3"/>
        </w:rPr>
        <w:t> </w:t>
      </w:r>
      <w:r>
        <w:rPr/>
        <w:t>118,</w:t>
      </w:r>
      <w:r>
        <w:rPr>
          <w:spacing w:val="-3"/>
        </w:rPr>
        <w:t> </w:t>
      </w:r>
      <w:r>
        <w:rPr/>
        <w:t>4115–4123.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120"/>
      </w:pPr>
      <w:r>
        <w:rPr/>
        <w:t>Kohnen,</w:t>
      </w:r>
      <w:r>
        <w:rPr>
          <w:spacing w:val="-3"/>
        </w:rPr>
        <w:t> </w:t>
      </w:r>
      <w:r>
        <w:rPr/>
        <w:t>M.E.L.,</w:t>
      </w:r>
      <w:r>
        <w:rPr>
          <w:spacing w:val="-2"/>
        </w:rPr>
        <w:t> </w:t>
      </w:r>
      <w:r>
        <w:rPr/>
        <w:t>Schouten,</w:t>
      </w:r>
      <w:r>
        <w:rPr>
          <w:spacing w:val="-2"/>
        </w:rPr>
        <w:t> </w:t>
      </w:r>
      <w:r>
        <w:rPr/>
        <w:t>S.,</w:t>
      </w:r>
      <w:r>
        <w:rPr>
          <w:spacing w:val="-3"/>
        </w:rPr>
        <w:t> </w:t>
      </w:r>
      <w:r>
        <w:rPr/>
        <w:t>Damsté,</w:t>
      </w:r>
      <w:r>
        <w:rPr>
          <w:spacing w:val="-4"/>
        </w:rPr>
        <w:t> </w:t>
      </w:r>
      <w:r>
        <w:rPr/>
        <w:t>J.S.S.,</w:t>
      </w:r>
      <w:r>
        <w:rPr>
          <w:spacing w:val="-2"/>
        </w:rPr>
        <w:t> </w:t>
      </w:r>
      <w:r>
        <w:rPr/>
        <w:t>Leeuw,</w:t>
      </w:r>
      <w:r>
        <w:rPr>
          <w:spacing w:val="1"/>
        </w:rPr>
        <w:t> </w:t>
      </w:r>
      <w:r>
        <w:rPr/>
        <w:t>J.W.</w:t>
      </w:r>
      <w:r>
        <w:rPr>
          <w:spacing w:val="-3"/>
        </w:rPr>
        <w:t> </w:t>
      </w:r>
      <w:r>
        <w:rPr/>
        <w:t>de,</w:t>
      </w:r>
      <w:r>
        <w:rPr>
          <w:spacing w:val="-1"/>
        </w:rPr>
        <w:t> </w:t>
      </w:r>
      <w:r>
        <w:rPr/>
        <w:t>Merritt,</w:t>
      </w:r>
      <w:r>
        <w:rPr>
          <w:spacing w:val="-2"/>
        </w:rPr>
        <w:t> </w:t>
      </w:r>
      <w:r>
        <w:rPr/>
        <w:t>D.A.,</w:t>
      </w:r>
      <w:r>
        <w:rPr>
          <w:spacing w:val="-4"/>
        </w:rPr>
        <w:t> </w:t>
      </w:r>
      <w:r>
        <w:rPr/>
        <w:t>Hayes,</w:t>
      </w:r>
      <w:r>
        <w:rPr>
          <w:spacing w:val="-2"/>
        </w:rPr>
        <w:t> </w:t>
      </w:r>
      <w:r>
        <w:rPr/>
        <w:t>J.M.,</w:t>
      </w:r>
      <w:r>
        <w:rPr>
          <w:spacing w:val="-2"/>
        </w:rPr>
        <w:t> </w:t>
      </w:r>
      <w:r>
        <w:rPr/>
        <w:t>1992.</w:t>
      </w:r>
    </w:p>
    <w:p>
      <w:pPr>
        <w:pStyle w:val="BodyText"/>
        <w:ind w:left="840" w:right="1600"/>
      </w:pPr>
      <w:r>
        <w:rPr/>
        <w:t>Recognition of</w:t>
      </w:r>
      <w:r>
        <w:rPr>
          <w:spacing w:val="-3"/>
        </w:rPr>
        <w:t> </w:t>
      </w:r>
      <w:r>
        <w:rPr/>
        <w:t>Paleobiochemicals</w:t>
      </w:r>
      <w:r>
        <w:rPr>
          <w:spacing w:val="-4"/>
        </w:rPr>
        <w:t> </w:t>
      </w:r>
      <w:r>
        <w:rPr/>
        <w:t>by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Combined</w:t>
      </w:r>
      <w:r>
        <w:rPr>
          <w:spacing w:val="-3"/>
        </w:rPr>
        <w:t> </w:t>
      </w:r>
      <w:r>
        <w:rPr/>
        <w:t>Molecular</w:t>
      </w:r>
      <w:r>
        <w:rPr>
          <w:spacing w:val="-4"/>
        </w:rPr>
        <w:t> </w:t>
      </w:r>
      <w:r>
        <w:rPr/>
        <w:t>Sulfur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Isotope</w:t>
      </w:r>
      <w:r>
        <w:rPr>
          <w:spacing w:val="-51"/>
        </w:rPr>
        <w:t> </w:t>
      </w:r>
      <w:r>
        <w:rPr/>
        <w:t>Geochemical</w:t>
      </w:r>
      <w:r>
        <w:rPr>
          <w:spacing w:val="-2"/>
        </w:rPr>
        <w:t> </w:t>
      </w:r>
      <w:r>
        <w:rPr/>
        <w:t>Approach.</w:t>
      </w:r>
      <w:r>
        <w:rPr>
          <w:spacing w:val="-2"/>
        </w:rPr>
        <w:t> </w:t>
      </w:r>
      <w:r>
        <w:rPr/>
        <w:t>Science</w:t>
      </w:r>
      <w:r>
        <w:rPr>
          <w:spacing w:val="-1"/>
        </w:rPr>
        <w:t> </w:t>
      </w:r>
      <w:r>
        <w:rPr/>
        <w:t>256,</w:t>
      </w:r>
      <w:r>
        <w:rPr>
          <w:spacing w:val="-2"/>
        </w:rPr>
        <w:t> </w:t>
      </w:r>
      <w:r>
        <w:rPr/>
        <w:t>358–362.</w:t>
      </w:r>
    </w:p>
    <w:p>
      <w:pPr>
        <w:pStyle w:val="BodyText"/>
      </w:pPr>
    </w:p>
    <w:p>
      <w:pPr>
        <w:pStyle w:val="BodyText"/>
        <w:ind w:left="840" w:right="660" w:hanging="720"/>
      </w:pPr>
      <w:r>
        <w:rPr/>
        <w:t>Koopmans,</w:t>
      </w:r>
      <w:r>
        <w:rPr>
          <w:spacing w:val="-3"/>
        </w:rPr>
        <w:t> </w:t>
      </w:r>
      <w:r>
        <w:rPr/>
        <w:t>M.P.,</w:t>
      </w:r>
      <w:r>
        <w:rPr>
          <w:spacing w:val="-2"/>
        </w:rPr>
        <w:t> </w:t>
      </w:r>
      <w:r>
        <w:rPr/>
        <w:t>Köster,</w:t>
      </w:r>
      <w:r>
        <w:rPr>
          <w:spacing w:val="-3"/>
        </w:rPr>
        <w:t> </w:t>
      </w:r>
      <w:r>
        <w:rPr/>
        <w:t>J.,</w:t>
      </w:r>
      <w:r>
        <w:rPr>
          <w:spacing w:val="-2"/>
        </w:rPr>
        <w:t> </w:t>
      </w:r>
      <w:r>
        <w:rPr/>
        <w:t>Van</w:t>
      </w:r>
      <w:r>
        <w:rPr>
          <w:spacing w:val="-3"/>
        </w:rPr>
        <w:t> </w:t>
      </w:r>
      <w:r>
        <w:rPr/>
        <w:t>Kaam-Peters,</w:t>
      </w:r>
      <w:r>
        <w:rPr>
          <w:spacing w:val="-2"/>
        </w:rPr>
        <w:t> </w:t>
      </w:r>
      <w:r>
        <w:rPr/>
        <w:t>H.M.E.,</w:t>
      </w:r>
      <w:r>
        <w:rPr>
          <w:spacing w:val="-2"/>
        </w:rPr>
        <w:t> </w:t>
      </w:r>
      <w:r>
        <w:rPr/>
        <w:t>Kenig,</w:t>
      </w:r>
      <w:r>
        <w:rPr>
          <w:spacing w:val="-2"/>
        </w:rPr>
        <w:t> </w:t>
      </w:r>
      <w:r>
        <w:rPr/>
        <w:t>F.,</w:t>
      </w:r>
      <w:r>
        <w:rPr>
          <w:spacing w:val="-4"/>
        </w:rPr>
        <w:t> </w:t>
      </w:r>
      <w:r>
        <w:rPr/>
        <w:t>Schouten,</w:t>
      </w:r>
      <w:r>
        <w:rPr>
          <w:spacing w:val="1"/>
        </w:rPr>
        <w:t> </w:t>
      </w:r>
      <w:r>
        <w:rPr/>
        <w:t>S.,</w:t>
      </w:r>
      <w:r>
        <w:rPr>
          <w:spacing w:val="-2"/>
        </w:rPr>
        <w:t> </w:t>
      </w:r>
      <w:r>
        <w:rPr/>
        <w:t>Hartgers,</w:t>
      </w:r>
      <w:r>
        <w:rPr>
          <w:spacing w:val="-2"/>
        </w:rPr>
        <w:t> </w:t>
      </w:r>
      <w:r>
        <w:rPr/>
        <w:t>W.A.,</w:t>
      </w:r>
      <w:r>
        <w:rPr>
          <w:spacing w:val="-3"/>
        </w:rPr>
        <w:t> </w:t>
      </w:r>
      <w:r>
        <w:rPr/>
        <w:t>de</w:t>
      </w:r>
      <w:r>
        <w:rPr>
          <w:spacing w:val="-52"/>
        </w:rPr>
        <w:t> </w:t>
      </w:r>
      <w:r>
        <w:rPr/>
        <w:t>Leeuw, J.W., Sinninghe Damsté, J.S., 1996a. Diagenetic and catagenetic products of</w:t>
      </w:r>
      <w:r>
        <w:rPr>
          <w:spacing w:val="1"/>
        </w:rPr>
        <w:t> </w:t>
      </w:r>
      <w:r>
        <w:rPr/>
        <w:t>isorenieratene: Molecular indicators for photic zone anoxia. Geochimica et</w:t>
      </w:r>
      <w:r>
        <w:rPr>
          <w:spacing w:val="1"/>
        </w:rPr>
        <w:t> </w:t>
      </w:r>
      <w:r>
        <w:rPr/>
        <w:t>Cosmochimica</w:t>
      </w:r>
      <w:r>
        <w:rPr>
          <w:spacing w:val="-3"/>
        </w:rPr>
        <w:t> </w:t>
      </w:r>
      <w:r>
        <w:rPr/>
        <w:t>Acta</w:t>
      </w:r>
      <w:r>
        <w:rPr>
          <w:spacing w:val="-3"/>
        </w:rPr>
        <w:t> </w:t>
      </w:r>
      <w:r>
        <w:rPr/>
        <w:t>60,</w:t>
      </w:r>
      <w:r>
        <w:rPr>
          <w:spacing w:val="-3"/>
        </w:rPr>
        <w:t> </w:t>
      </w:r>
      <w:r>
        <w:rPr/>
        <w:t>4467–4496.</w:t>
      </w:r>
    </w:p>
    <w:p>
      <w:pPr>
        <w:pStyle w:val="BodyText"/>
        <w:spacing w:before="1"/>
      </w:pPr>
    </w:p>
    <w:p>
      <w:pPr>
        <w:pStyle w:val="BodyText"/>
        <w:ind w:left="840" w:right="660" w:hanging="720"/>
      </w:pPr>
      <w:r>
        <w:rPr/>
        <w:t>Koopmans,</w:t>
      </w:r>
      <w:r>
        <w:rPr>
          <w:spacing w:val="-4"/>
        </w:rPr>
        <w:t> </w:t>
      </w:r>
      <w:r>
        <w:rPr/>
        <w:t>M.P.,</w:t>
      </w:r>
      <w:r>
        <w:rPr>
          <w:spacing w:val="-3"/>
        </w:rPr>
        <w:t> </w:t>
      </w:r>
      <w:r>
        <w:rPr/>
        <w:t>Schouten,</w:t>
      </w:r>
      <w:r>
        <w:rPr>
          <w:spacing w:val="-3"/>
        </w:rPr>
        <w:t> </w:t>
      </w:r>
      <w:r>
        <w:rPr/>
        <w:t>S.,</w:t>
      </w:r>
      <w:r>
        <w:rPr>
          <w:spacing w:val="-3"/>
        </w:rPr>
        <w:t> </w:t>
      </w:r>
      <w:r>
        <w:rPr/>
        <w:t>Kohnen,</w:t>
      </w:r>
      <w:r>
        <w:rPr>
          <w:spacing w:val="-5"/>
        </w:rPr>
        <w:t> </w:t>
      </w:r>
      <w:r>
        <w:rPr/>
        <w:t>M.E.L.,</w:t>
      </w:r>
      <w:r>
        <w:rPr>
          <w:spacing w:val="-4"/>
        </w:rPr>
        <w:t> </w:t>
      </w:r>
      <w:r>
        <w:rPr/>
        <w:t>Sinninghe</w:t>
      </w:r>
      <w:r>
        <w:rPr>
          <w:spacing w:val="-1"/>
        </w:rPr>
        <w:t> </w:t>
      </w:r>
      <w:r>
        <w:rPr/>
        <w:t>Damsté,</w:t>
      </w:r>
      <w:r>
        <w:rPr>
          <w:spacing w:val="-3"/>
        </w:rPr>
        <w:t> </w:t>
      </w:r>
      <w:r>
        <w:rPr/>
        <w:t>J.S.,</w:t>
      </w:r>
      <w:r>
        <w:rPr>
          <w:spacing w:val="-4"/>
        </w:rPr>
        <w:t> </w:t>
      </w:r>
      <w:r>
        <w:rPr/>
        <w:t>1996b.</w:t>
      </w:r>
      <w:r>
        <w:rPr>
          <w:spacing w:val="-3"/>
        </w:rPr>
        <w:t> </w:t>
      </w:r>
      <w:r>
        <w:rPr/>
        <w:t>Restricted</w:t>
      </w:r>
      <w:r>
        <w:rPr>
          <w:spacing w:val="1"/>
        </w:rPr>
        <w:t> </w:t>
      </w:r>
      <w:r>
        <w:rPr/>
        <w:t>utility</w:t>
      </w:r>
      <w:r>
        <w:rPr>
          <w:spacing w:val="-51"/>
        </w:rPr>
        <w:t> </w:t>
      </w:r>
      <w:r>
        <w:rPr/>
        <w:t>of aryl isoprenoids as indicators for photic zone anoxia. Geochimica et Cosmochimica</w:t>
      </w:r>
      <w:r>
        <w:rPr>
          <w:spacing w:val="1"/>
        </w:rPr>
        <w:t> </w:t>
      </w:r>
      <w:r>
        <w:rPr/>
        <w:t>Acta</w:t>
      </w:r>
      <w:r>
        <w:rPr>
          <w:spacing w:val="2"/>
        </w:rPr>
        <w:t> </w:t>
      </w:r>
      <w:r>
        <w:rPr/>
        <w:t>60,</w:t>
      </w:r>
      <w:r>
        <w:rPr>
          <w:spacing w:val="-1"/>
        </w:rPr>
        <w:t> </w:t>
      </w:r>
      <w:r>
        <w:rPr/>
        <w:t>4873–4876.</w:t>
      </w:r>
    </w:p>
    <w:p>
      <w:pPr>
        <w:pStyle w:val="BodyText"/>
        <w:spacing w:before="12"/>
        <w:rPr>
          <w:sz w:val="23"/>
        </w:rPr>
      </w:pPr>
    </w:p>
    <w:p>
      <w:pPr>
        <w:pStyle w:val="BodyText"/>
        <w:ind w:left="840" w:right="660" w:hanging="720"/>
      </w:pPr>
      <w:r>
        <w:rPr/>
        <w:t>Kravchinsky, V.A., Konstantinov, K.M., Courtillot, V., Savrasov, J.I., Valet, J.-P., Cherniy, S.D.,</w:t>
      </w:r>
      <w:r>
        <w:rPr>
          <w:spacing w:val="1"/>
        </w:rPr>
        <w:t> </w:t>
      </w:r>
      <w:r>
        <w:rPr/>
        <w:t>Mishenin, S.G., Parasotka, B.S., 2002. Palaeomagnetism of East Siberian traps and</w:t>
      </w:r>
      <w:r>
        <w:rPr>
          <w:spacing w:val="1"/>
        </w:rPr>
        <w:t> </w:t>
      </w:r>
      <w:r>
        <w:rPr/>
        <w:t>kimberlites:</w:t>
      </w:r>
      <w:r>
        <w:rPr>
          <w:spacing w:val="-4"/>
        </w:rPr>
        <w:t> </w:t>
      </w:r>
      <w:r>
        <w:rPr/>
        <w:t>two</w:t>
      </w:r>
      <w:r>
        <w:rPr>
          <w:spacing w:val="-3"/>
        </w:rPr>
        <w:t> </w:t>
      </w:r>
      <w:r>
        <w:rPr/>
        <w:t>new</w:t>
      </w:r>
      <w:r>
        <w:rPr>
          <w:spacing w:val="-3"/>
        </w:rPr>
        <w:t> </w:t>
      </w:r>
      <w:r>
        <w:rPr/>
        <w:t>poles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palaeogeographic</w:t>
      </w:r>
      <w:r>
        <w:rPr>
          <w:spacing w:val="-4"/>
        </w:rPr>
        <w:t> </w:t>
      </w:r>
      <w:r>
        <w:rPr/>
        <w:t>reconstructions</w:t>
      </w:r>
      <w:r>
        <w:rPr>
          <w:spacing w:val="-3"/>
        </w:rPr>
        <w:t> </w:t>
      </w:r>
      <w:r>
        <w:rPr/>
        <w:t>at</w:t>
      </w:r>
      <w:r>
        <w:rPr>
          <w:spacing w:val="-3"/>
        </w:rPr>
        <w:t> </w:t>
      </w:r>
      <w:r>
        <w:rPr/>
        <w:t>about</w:t>
      </w:r>
      <w:r>
        <w:rPr>
          <w:spacing w:val="-3"/>
        </w:rPr>
        <w:t> </w:t>
      </w:r>
      <w:r>
        <w:rPr/>
        <w:t>360</w:t>
      </w:r>
      <w:r>
        <w:rPr>
          <w:spacing w:val="2"/>
        </w:rPr>
        <w:t> </w:t>
      </w:r>
      <w:r>
        <w:rPr/>
        <w:t>and</w:t>
      </w:r>
      <w:r>
        <w:rPr>
          <w:spacing w:val="-4"/>
        </w:rPr>
        <w:t> </w:t>
      </w:r>
      <w:r>
        <w:rPr/>
        <w:t>250</w:t>
      </w:r>
      <w:r>
        <w:rPr>
          <w:spacing w:val="-51"/>
        </w:rPr>
        <w:t> </w:t>
      </w:r>
      <w:r>
        <w:rPr/>
        <w:t>Ma.</w:t>
      </w:r>
      <w:r>
        <w:rPr>
          <w:spacing w:val="-3"/>
        </w:rPr>
        <w:t> </w:t>
      </w:r>
      <w:r>
        <w:rPr/>
        <w:t>Geophysical</w:t>
      </w:r>
      <w:r>
        <w:rPr>
          <w:spacing w:val="-1"/>
        </w:rPr>
        <w:t> </w:t>
      </w:r>
      <w:r>
        <w:rPr/>
        <w:t>Journal</w:t>
      </w:r>
      <w:r>
        <w:rPr>
          <w:spacing w:val="-2"/>
        </w:rPr>
        <w:t> </w:t>
      </w:r>
      <w:r>
        <w:rPr/>
        <w:t>International</w:t>
      </w:r>
      <w:r>
        <w:rPr>
          <w:spacing w:val="-2"/>
        </w:rPr>
        <w:t> </w:t>
      </w:r>
      <w:r>
        <w:rPr/>
        <w:t>148,</w:t>
      </w:r>
      <w:r>
        <w:rPr>
          <w:spacing w:val="-3"/>
        </w:rPr>
        <w:t> </w:t>
      </w:r>
      <w:r>
        <w:rPr/>
        <w:t>1–33.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120"/>
      </w:pPr>
      <w:r>
        <w:rPr/>
        <w:t>Lewan,</w:t>
      </w:r>
      <w:r>
        <w:rPr>
          <w:spacing w:val="-5"/>
        </w:rPr>
        <w:t> </w:t>
      </w:r>
      <w:r>
        <w:rPr/>
        <w:t>M.D.,</w:t>
      </w:r>
      <w:r>
        <w:rPr>
          <w:spacing w:val="-4"/>
        </w:rPr>
        <w:t> </w:t>
      </w:r>
      <w:r>
        <w:rPr/>
        <w:t>1984.</w:t>
      </w:r>
      <w:r>
        <w:rPr>
          <w:spacing w:val="-1"/>
        </w:rPr>
        <w:t> </w:t>
      </w:r>
      <w:r>
        <w:rPr/>
        <w:t>Factors</w:t>
      </w:r>
      <w:r>
        <w:rPr>
          <w:spacing w:val="-2"/>
        </w:rPr>
        <w:t> </w:t>
      </w:r>
      <w:r>
        <w:rPr/>
        <w:t>controlling the</w:t>
      </w:r>
      <w:r>
        <w:rPr>
          <w:spacing w:val="-2"/>
        </w:rPr>
        <w:t> </w:t>
      </w:r>
      <w:r>
        <w:rPr/>
        <w:t>proportionality</w:t>
      </w:r>
      <w:r>
        <w:rPr>
          <w:spacing w:val="-3"/>
        </w:rPr>
        <w:t> </w:t>
      </w:r>
      <w:r>
        <w:rPr/>
        <w:t>of</w:t>
      </w:r>
      <w:r>
        <w:rPr>
          <w:spacing w:val="1"/>
        </w:rPr>
        <w:t> </w:t>
      </w:r>
      <w:r>
        <w:rPr/>
        <w:t>vanadium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nickel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crude</w:t>
      </w:r>
      <w:r>
        <w:rPr>
          <w:spacing w:val="2"/>
        </w:rPr>
        <w:t> </w:t>
      </w:r>
      <w:r>
        <w:rPr/>
        <w:t>oils.</w:t>
      </w:r>
    </w:p>
    <w:p>
      <w:pPr>
        <w:pStyle w:val="BodyText"/>
        <w:spacing w:before="2"/>
        <w:ind w:left="840"/>
      </w:pPr>
      <w:r>
        <w:rPr/>
        <w:t>Geochimica</w:t>
      </w:r>
      <w:r>
        <w:rPr>
          <w:spacing w:val="-4"/>
        </w:rPr>
        <w:t> </w:t>
      </w:r>
      <w:r>
        <w:rPr/>
        <w:t>et</w:t>
      </w:r>
      <w:r>
        <w:rPr>
          <w:spacing w:val="1"/>
        </w:rPr>
        <w:t> </w:t>
      </w:r>
      <w:r>
        <w:rPr/>
        <w:t>Cosmochimica</w:t>
      </w:r>
      <w:r>
        <w:rPr>
          <w:spacing w:val="-3"/>
        </w:rPr>
        <w:t> </w:t>
      </w:r>
      <w:r>
        <w:rPr/>
        <w:t>Acta</w:t>
      </w:r>
      <w:r>
        <w:rPr>
          <w:spacing w:val="-4"/>
        </w:rPr>
        <w:t> </w:t>
      </w:r>
      <w:r>
        <w:rPr/>
        <w:t>48,</w:t>
      </w:r>
      <w:r>
        <w:rPr>
          <w:spacing w:val="-4"/>
        </w:rPr>
        <w:t> </w:t>
      </w:r>
      <w:r>
        <w:rPr/>
        <w:t>2231–2238.</w:t>
      </w:r>
    </w:p>
    <w:p>
      <w:pPr>
        <w:pStyle w:val="BodyText"/>
      </w:pPr>
    </w:p>
    <w:p>
      <w:pPr>
        <w:pStyle w:val="BodyText"/>
        <w:ind w:left="840" w:right="660" w:hanging="720"/>
      </w:pPr>
      <w:r>
        <w:rPr/>
        <w:t>Lewan,</w:t>
      </w:r>
      <w:r>
        <w:rPr>
          <w:spacing w:val="-4"/>
        </w:rPr>
        <w:t> </w:t>
      </w:r>
      <w:r>
        <w:rPr/>
        <w:t>M.D.,</w:t>
      </w:r>
      <w:r>
        <w:rPr>
          <w:spacing w:val="-4"/>
        </w:rPr>
        <w:t> </w:t>
      </w:r>
      <w:r>
        <w:rPr/>
        <w:t>Maynard,</w:t>
      </w:r>
      <w:r>
        <w:rPr>
          <w:spacing w:val="-2"/>
        </w:rPr>
        <w:t> </w:t>
      </w:r>
      <w:r>
        <w:rPr/>
        <w:t>J.B.,</w:t>
      </w:r>
      <w:r>
        <w:rPr>
          <w:spacing w:val="-4"/>
        </w:rPr>
        <w:t> </w:t>
      </w:r>
      <w:r>
        <w:rPr/>
        <w:t>1982.</w:t>
      </w:r>
      <w:r>
        <w:rPr>
          <w:spacing w:val="-3"/>
        </w:rPr>
        <w:t> </w:t>
      </w:r>
      <w:r>
        <w:rPr/>
        <w:t>Factors</w:t>
      </w:r>
      <w:r>
        <w:rPr>
          <w:spacing w:val="-2"/>
        </w:rPr>
        <w:t> </w:t>
      </w:r>
      <w:r>
        <w:rPr/>
        <w:t>controlling</w:t>
      </w:r>
      <w:r>
        <w:rPr>
          <w:spacing w:val="1"/>
        </w:rPr>
        <w:t> </w:t>
      </w:r>
      <w:r>
        <w:rPr/>
        <w:t>enrichment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vanadium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nickel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52"/>
        </w:rPr>
        <w:t> </w:t>
      </w:r>
      <w:r>
        <w:rPr/>
        <w:t>bitumen of organic sedimentary rocks. Geochimica et Cosmochimica Acta 46, 2547–</w:t>
      </w:r>
      <w:r>
        <w:rPr>
          <w:spacing w:val="1"/>
        </w:rPr>
        <w:t> </w:t>
      </w:r>
      <w:r>
        <w:rPr/>
        <w:t>2560.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spacing w:before="1"/>
        <w:ind w:left="840" w:right="660" w:hanging="720"/>
      </w:pPr>
      <w:r>
        <w:rPr/>
        <w:t>Li,</w:t>
      </w:r>
      <w:r>
        <w:rPr>
          <w:spacing w:val="-2"/>
        </w:rPr>
        <w:t> </w:t>
      </w:r>
      <w:r>
        <w:rPr/>
        <w:t>M.,</w:t>
      </w:r>
      <w:r>
        <w:rPr>
          <w:spacing w:val="-4"/>
        </w:rPr>
        <w:t> </w:t>
      </w:r>
      <w:r>
        <w:rPr/>
        <w:t>Larter,</w:t>
      </w:r>
      <w:r>
        <w:rPr>
          <w:spacing w:val="-4"/>
        </w:rPr>
        <w:t> </w:t>
      </w:r>
      <w:r>
        <w:rPr/>
        <w:t>S.R.,</w:t>
      </w:r>
      <w:r>
        <w:rPr>
          <w:spacing w:val="-1"/>
        </w:rPr>
        <w:t> </w:t>
      </w:r>
      <w:r>
        <w:rPr/>
        <w:t>Taylor,</w:t>
      </w:r>
      <w:r>
        <w:rPr>
          <w:spacing w:val="2"/>
        </w:rPr>
        <w:t> </w:t>
      </w:r>
      <w:r>
        <w:rPr/>
        <w:t>P.,</w:t>
      </w:r>
      <w:r>
        <w:rPr>
          <w:spacing w:val="-2"/>
        </w:rPr>
        <w:t> </w:t>
      </w:r>
      <w:r>
        <w:rPr/>
        <w:t>Jones,</w:t>
      </w:r>
      <w:r>
        <w:rPr>
          <w:spacing w:val="-2"/>
        </w:rPr>
        <w:t> </w:t>
      </w:r>
      <w:r>
        <w:rPr/>
        <w:t>D.M.,</w:t>
      </w:r>
      <w:r>
        <w:rPr>
          <w:spacing w:val="-2"/>
        </w:rPr>
        <w:t> </w:t>
      </w:r>
      <w:r>
        <w:rPr/>
        <w:t>Bowler,</w:t>
      </w:r>
      <w:r>
        <w:rPr>
          <w:spacing w:val="-4"/>
        </w:rPr>
        <w:t> </w:t>
      </w:r>
      <w:r>
        <w:rPr/>
        <w:t>B.,</w:t>
      </w:r>
      <w:r>
        <w:rPr>
          <w:spacing w:val="-1"/>
        </w:rPr>
        <w:t> </w:t>
      </w:r>
      <w:r>
        <w:rPr/>
        <w:t>Bjoroy,</w:t>
      </w:r>
      <w:r>
        <w:rPr>
          <w:spacing w:val="-3"/>
        </w:rPr>
        <w:t> </w:t>
      </w:r>
      <w:r>
        <w:rPr/>
        <w:t>M.,</w:t>
      </w:r>
      <w:r>
        <w:rPr>
          <w:spacing w:val="-3"/>
        </w:rPr>
        <w:t> </w:t>
      </w:r>
      <w:r>
        <w:rPr/>
        <w:t>1995.</w:t>
      </w:r>
      <w:r>
        <w:rPr>
          <w:spacing w:val="-2"/>
        </w:rPr>
        <w:t> </w:t>
      </w:r>
      <w:r>
        <w:rPr/>
        <w:t>Biomarkers</w:t>
      </w:r>
      <w:r>
        <w:rPr>
          <w:spacing w:val="-1"/>
        </w:rPr>
        <w:t> </w:t>
      </w:r>
      <w:r>
        <w:rPr/>
        <w:t>or</w:t>
      </w:r>
      <w:r>
        <w:rPr>
          <w:spacing w:val="-3"/>
        </w:rPr>
        <w:t> </w:t>
      </w:r>
      <w:r>
        <w:rPr/>
        <w:t>not</w:t>
      </w:r>
      <w:r>
        <w:rPr>
          <w:spacing w:val="-51"/>
        </w:rPr>
        <w:t> </w:t>
      </w:r>
      <w:r>
        <w:rPr/>
        <w:t>biomarkers?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new</w:t>
      </w:r>
      <w:r>
        <w:rPr>
          <w:spacing w:val="-2"/>
        </w:rPr>
        <w:t> </w:t>
      </w:r>
      <w:r>
        <w:rPr/>
        <w:t>hypothesis</w:t>
      </w:r>
      <w:r>
        <w:rPr>
          <w:spacing w:val="-3"/>
        </w:rPr>
        <w:t> </w:t>
      </w:r>
      <w:r>
        <w:rPr/>
        <w:t>for</w:t>
      </w:r>
      <w:r>
        <w:rPr>
          <w:spacing w:val="-4"/>
        </w:rPr>
        <w:t> </w:t>
      </w:r>
      <w:r>
        <w:rPr/>
        <w:t>the origin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pristane</w:t>
      </w:r>
      <w:r>
        <w:rPr>
          <w:spacing w:val="-2"/>
        </w:rPr>
        <w:t> </w:t>
      </w:r>
      <w:r>
        <w:rPr/>
        <w:t>involving</w:t>
      </w:r>
      <w:r>
        <w:rPr>
          <w:spacing w:val="-2"/>
        </w:rPr>
        <w:t> </w:t>
      </w:r>
      <w:r>
        <w:rPr/>
        <w:t>derivation</w:t>
      </w:r>
      <w:r>
        <w:rPr>
          <w:spacing w:val="1"/>
        </w:rPr>
        <w:t> </w:t>
      </w:r>
      <w:r>
        <w:rPr/>
        <w:t>from</w:t>
      </w:r>
    </w:p>
    <w:p>
      <w:pPr>
        <w:spacing w:after="0"/>
        <w:sectPr>
          <w:pgSz w:w="12240" w:h="15840"/>
          <w:pgMar w:header="0" w:footer="934" w:top="1400" w:bottom="1200" w:left="1320" w:right="820"/>
        </w:sectPr>
      </w:pPr>
    </w:p>
    <w:p>
      <w:pPr>
        <w:pStyle w:val="BodyText"/>
        <w:spacing w:before="39"/>
        <w:ind w:left="840" w:right="917"/>
      </w:pPr>
      <w:r>
        <w:rPr/>
        <w:t>methyltrimethyltridecylchromans</w:t>
      </w:r>
      <w:r>
        <w:rPr>
          <w:spacing w:val="-4"/>
        </w:rPr>
        <w:t> </w:t>
      </w:r>
      <w:r>
        <w:rPr/>
        <w:t>(MTTCs)</w:t>
      </w:r>
      <w:r>
        <w:rPr>
          <w:spacing w:val="-6"/>
        </w:rPr>
        <w:t> </w:t>
      </w:r>
      <w:r>
        <w:rPr/>
        <w:t>formed</w:t>
      </w:r>
      <w:r>
        <w:rPr>
          <w:spacing w:val="1"/>
        </w:rPr>
        <w:t> </w:t>
      </w:r>
      <w:r>
        <w:rPr/>
        <w:t>during</w:t>
      </w:r>
      <w:r>
        <w:rPr>
          <w:spacing w:val="-3"/>
        </w:rPr>
        <w:t> </w:t>
      </w:r>
      <w:r>
        <w:rPr/>
        <w:t>diagenesis</w:t>
      </w:r>
      <w:r>
        <w:rPr>
          <w:spacing w:val="-4"/>
        </w:rPr>
        <w:t> </w:t>
      </w:r>
      <w:r>
        <w:rPr/>
        <w:t>from</w:t>
      </w:r>
      <w:r>
        <w:rPr>
          <w:spacing w:val="-3"/>
        </w:rPr>
        <w:t> </w:t>
      </w:r>
      <w:r>
        <w:rPr/>
        <w:t>chlorophyll</w:t>
      </w:r>
      <w:r>
        <w:rPr>
          <w:spacing w:val="-51"/>
        </w:rPr>
        <w:t> </w:t>
      </w:r>
      <w:r>
        <w:rPr/>
        <w:t>and</w:t>
      </w:r>
      <w:r>
        <w:rPr>
          <w:spacing w:val="2"/>
        </w:rPr>
        <w:t> </w:t>
      </w:r>
      <w:r>
        <w:rPr/>
        <w:t>alkylphenols.</w:t>
      </w:r>
      <w:r>
        <w:rPr>
          <w:spacing w:val="-1"/>
        </w:rPr>
        <w:t> </w:t>
      </w:r>
      <w:r>
        <w:rPr/>
        <w:t>Organic</w:t>
      </w:r>
      <w:r>
        <w:rPr>
          <w:spacing w:val="-1"/>
        </w:rPr>
        <w:t> </w:t>
      </w:r>
      <w:r>
        <w:rPr/>
        <w:t>Geochemistry</w:t>
      </w:r>
      <w:r>
        <w:rPr>
          <w:spacing w:val="-1"/>
        </w:rPr>
        <w:t> </w:t>
      </w:r>
      <w:r>
        <w:rPr/>
        <w:t>23,</w:t>
      </w:r>
      <w:r>
        <w:rPr>
          <w:spacing w:val="-2"/>
        </w:rPr>
        <w:t> </w:t>
      </w:r>
      <w:r>
        <w:rPr/>
        <w:t>159–167.</w:t>
      </w:r>
    </w:p>
    <w:p>
      <w:pPr>
        <w:pStyle w:val="BodyText"/>
        <w:spacing w:before="12"/>
        <w:rPr>
          <w:sz w:val="23"/>
        </w:rPr>
      </w:pPr>
    </w:p>
    <w:p>
      <w:pPr>
        <w:pStyle w:val="BodyText"/>
        <w:ind w:left="840" w:right="796" w:hanging="720"/>
      </w:pPr>
      <w:r>
        <w:rPr/>
        <w:t>Louda, J.W., Loitz, J.W., Rudnick, D.T., Baker, E.W., 2000. Early diagenetic alteration of</w:t>
      </w:r>
      <w:r>
        <w:rPr>
          <w:spacing w:val="1"/>
        </w:rPr>
        <w:t> </w:t>
      </w:r>
      <w:r>
        <w:rPr/>
        <w:t>chlorophyll-a</w:t>
      </w:r>
      <w:r>
        <w:rPr>
          <w:spacing w:val="-1"/>
        </w:rPr>
        <w:t> </w:t>
      </w:r>
      <w:r>
        <w:rPr/>
        <w:t>and</w:t>
      </w:r>
      <w:r>
        <w:rPr>
          <w:spacing w:val="-3"/>
        </w:rPr>
        <w:t> </w:t>
      </w:r>
      <w:r>
        <w:rPr/>
        <w:t>bacteriochlorophyll-a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contemporaneous</w:t>
      </w:r>
      <w:r>
        <w:rPr>
          <w:spacing w:val="-4"/>
        </w:rPr>
        <w:t> </w:t>
      </w:r>
      <w:r>
        <w:rPr/>
        <w:t>marl</w:t>
      </w:r>
      <w:r>
        <w:rPr>
          <w:spacing w:val="-4"/>
        </w:rPr>
        <w:t> </w:t>
      </w:r>
      <w:r>
        <w:rPr/>
        <w:t>ecosystem;</w:t>
      </w:r>
      <w:r>
        <w:rPr>
          <w:spacing w:val="-3"/>
        </w:rPr>
        <w:t> </w:t>
      </w:r>
      <w:r>
        <w:rPr/>
        <w:t>Florida</w:t>
      </w:r>
      <w:r>
        <w:rPr>
          <w:spacing w:val="-51"/>
        </w:rPr>
        <w:t> </w:t>
      </w:r>
      <w:r>
        <w:rPr/>
        <w:t>Bay.</w:t>
      </w:r>
      <w:r>
        <w:rPr>
          <w:spacing w:val="-1"/>
        </w:rPr>
        <w:t> </w:t>
      </w:r>
      <w:r>
        <w:rPr/>
        <w:t>Organic</w:t>
      </w:r>
      <w:r>
        <w:rPr>
          <w:spacing w:val="-2"/>
        </w:rPr>
        <w:t> </w:t>
      </w:r>
      <w:r>
        <w:rPr/>
        <w:t>Geochemistry</w:t>
      </w:r>
      <w:r>
        <w:rPr>
          <w:spacing w:val="-1"/>
        </w:rPr>
        <w:t> </w:t>
      </w:r>
      <w:r>
        <w:rPr/>
        <w:t>31, 1561–1580.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840" w:right="991" w:hanging="720"/>
      </w:pPr>
      <w:r>
        <w:rPr/>
        <w:t>Louda,</w:t>
      </w:r>
      <w:r>
        <w:rPr>
          <w:spacing w:val="-5"/>
        </w:rPr>
        <w:t> </w:t>
      </w:r>
      <w:r>
        <w:rPr/>
        <w:t>J.W.,</w:t>
      </w:r>
      <w:r>
        <w:rPr>
          <w:spacing w:val="-2"/>
        </w:rPr>
        <w:t> </w:t>
      </w:r>
      <w:r>
        <w:rPr/>
        <w:t>Mongkhonsri,</w:t>
      </w:r>
      <w:r>
        <w:rPr>
          <w:spacing w:val="-3"/>
        </w:rPr>
        <w:t> </w:t>
      </w:r>
      <w:r>
        <w:rPr/>
        <w:t>P.,</w:t>
      </w:r>
      <w:r>
        <w:rPr>
          <w:spacing w:val="-1"/>
        </w:rPr>
        <w:t> </w:t>
      </w:r>
      <w:r>
        <w:rPr/>
        <w:t>Baker,</w:t>
      </w:r>
      <w:r>
        <w:rPr>
          <w:spacing w:val="-3"/>
        </w:rPr>
        <w:t> </w:t>
      </w:r>
      <w:r>
        <w:rPr/>
        <w:t>E.W.,</w:t>
      </w:r>
      <w:r>
        <w:rPr>
          <w:spacing w:val="-3"/>
        </w:rPr>
        <w:t> </w:t>
      </w:r>
      <w:r>
        <w:rPr/>
        <w:t>2011.</w:t>
      </w:r>
      <w:r>
        <w:rPr>
          <w:spacing w:val="-4"/>
        </w:rPr>
        <w:t> </w:t>
      </w:r>
      <w:r>
        <w:rPr/>
        <w:t>Chlorophyll</w:t>
      </w:r>
      <w:r>
        <w:rPr>
          <w:spacing w:val="-2"/>
        </w:rPr>
        <w:t> </w:t>
      </w:r>
      <w:r>
        <w:rPr/>
        <w:t>degradation</w:t>
      </w:r>
      <w:r>
        <w:rPr>
          <w:spacing w:val="-3"/>
        </w:rPr>
        <w:t> </w:t>
      </w:r>
      <w:r>
        <w:rPr/>
        <w:t>during senescence</w:t>
      </w:r>
      <w:r>
        <w:rPr>
          <w:spacing w:val="-51"/>
        </w:rPr>
        <w:t> </w:t>
      </w:r>
      <w:r>
        <w:rPr/>
        <w:t>and death-III: 3–10yr experiments, implications for ETIO series generation. Organic</w:t>
      </w:r>
      <w:r>
        <w:rPr>
          <w:spacing w:val="1"/>
        </w:rPr>
        <w:t> </w:t>
      </w:r>
      <w:r>
        <w:rPr/>
        <w:t>Geochemistry 42,</w:t>
      </w:r>
      <w:r>
        <w:rPr>
          <w:spacing w:val="-1"/>
        </w:rPr>
        <w:t> </w:t>
      </w:r>
      <w:r>
        <w:rPr/>
        <w:t>688–699.</w:t>
      </w:r>
    </w:p>
    <w:p>
      <w:pPr>
        <w:pStyle w:val="BodyText"/>
        <w:spacing w:before="2"/>
      </w:pPr>
    </w:p>
    <w:p>
      <w:pPr>
        <w:pStyle w:val="BodyText"/>
        <w:ind w:left="840" w:right="636" w:hanging="720"/>
      </w:pPr>
      <w:r>
        <w:rPr/>
        <w:t>Lushchak,</w:t>
      </w:r>
      <w:r>
        <w:rPr>
          <w:spacing w:val="-1"/>
        </w:rPr>
        <w:t> </w:t>
      </w:r>
      <w:r>
        <w:rPr/>
        <w:t>V.I.,</w:t>
      </w:r>
      <w:r>
        <w:rPr>
          <w:spacing w:val="-3"/>
        </w:rPr>
        <w:t> </w:t>
      </w:r>
      <w:r>
        <w:rPr/>
        <w:t>Semchuk,</w:t>
      </w:r>
      <w:r>
        <w:rPr>
          <w:spacing w:val="-4"/>
        </w:rPr>
        <w:t> </w:t>
      </w:r>
      <w:r>
        <w:rPr/>
        <w:t>N.M.,</w:t>
      </w:r>
      <w:r>
        <w:rPr>
          <w:spacing w:val="-4"/>
        </w:rPr>
        <w:t> </w:t>
      </w:r>
      <w:r>
        <w:rPr/>
        <w:t>2012.</w:t>
      </w:r>
      <w:r>
        <w:rPr>
          <w:spacing w:val="-4"/>
        </w:rPr>
        <w:t> </w:t>
      </w:r>
      <w:r>
        <w:rPr/>
        <w:t>Tocopherol</w:t>
      </w:r>
      <w:r>
        <w:rPr>
          <w:spacing w:val="-6"/>
        </w:rPr>
        <w:t> </w:t>
      </w:r>
      <w:r>
        <w:rPr/>
        <w:t>biosynthesis:</w:t>
      </w:r>
      <w:r>
        <w:rPr>
          <w:spacing w:val="-3"/>
        </w:rPr>
        <w:t> </w:t>
      </w:r>
      <w:r>
        <w:rPr/>
        <w:t>chemistry,</w:t>
      </w:r>
      <w:r>
        <w:rPr>
          <w:spacing w:val="-4"/>
        </w:rPr>
        <w:t> </w:t>
      </w:r>
      <w:r>
        <w:rPr/>
        <w:t>regulation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effects</w:t>
      </w:r>
      <w:r>
        <w:rPr>
          <w:spacing w:val="-51"/>
        </w:rPr>
        <w:t> </w:t>
      </w:r>
      <w:r>
        <w:rPr/>
        <w:t>of</w:t>
      </w:r>
      <w:r>
        <w:rPr>
          <w:spacing w:val="2"/>
        </w:rPr>
        <w:t> </w:t>
      </w:r>
      <w:r>
        <w:rPr/>
        <w:t>environmental</w:t>
      </w:r>
      <w:r>
        <w:rPr>
          <w:spacing w:val="-2"/>
        </w:rPr>
        <w:t> </w:t>
      </w:r>
      <w:r>
        <w:rPr/>
        <w:t>factors.</w:t>
      </w:r>
      <w:r>
        <w:rPr>
          <w:spacing w:val="-1"/>
        </w:rPr>
        <w:t> </w:t>
      </w:r>
      <w:r>
        <w:rPr/>
        <w:t>Acta</w:t>
      </w:r>
      <w:r>
        <w:rPr>
          <w:spacing w:val="-2"/>
        </w:rPr>
        <w:t> </w:t>
      </w:r>
      <w:r>
        <w:rPr/>
        <w:t>Physiologiae</w:t>
      </w:r>
      <w:r>
        <w:rPr>
          <w:spacing w:val="-2"/>
        </w:rPr>
        <w:t> </w:t>
      </w:r>
      <w:r>
        <w:rPr/>
        <w:t>Plantarum</w:t>
      </w:r>
      <w:r>
        <w:rPr>
          <w:spacing w:val="1"/>
        </w:rPr>
        <w:t> </w:t>
      </w:r>
      <w:r>
        <w:rPr/>
        <w:t>34, 1607–1628.</w:t>
      </w:r>
    </w:p>
    <w:p>
      <w:pPr>
        <w:pStyle w:val="BodyText"/>
        <w:spacing w:before="12"/>
        <w:rPr>
          <w:sz w:val="23"/>
        </w:rPr>
      </w:pPr>
    </w:p>
    <w:p>
      <w:pPr>
        <w:pStyle w:val="BodyText"/>
        <w:ind w:left="840" w:right="1214" w:hanging="720"/>
        <w:jc w:val="both"/>
      </w:pPr>
      <w:r>
        <w:rPr/>
        <w:t>Marín,</w:t>
      </w:r>
      <w:r>
        <w:rPr>
          <w:spacing w:val="-5"/>
        </w:rPr>
        <w:t> </w:t>
      </w:r>
      <w:r>
        <w:rPr/>
        <w:t>P.,</w:t>
      </w:r>
      <w:r>
        <w:rPr>
          <w:spacing w:val="-3"/>
        </w:rPr>
        <w:t> </w:t>
      </w:r>
      <w:r>
        <w:rPr/>
        <w:t>Márquez,</w:t>
      </w:r>
      <w:r>
        <w:rPr>
          <w:spacing w:val="-3"/>
        </w:rPr>
        <w:t> </w:t>
      </w:r>
      <w:r>
        <w:rPr/>
        <w:t>G.,</w:t>
      </w:r>
      <w:r>
        <w:rPr>
          <w:spacing w:val="-3"/>
        </w:rPr>
        <w:t> </w:t>
      </w:r>
      <w:r>
        <w:rPr/>
        <w:t>Gallego,</w:t>
      </w:r>
      <w:r>
        <w:rPr>
          <w:spacing w:val="-2"/>
        </w:rPr>
        <w:t> </w:t>
      </w:r>
      <w:r>
        <w:rPr/>
        <w:t>J.R.,</w:t>
      </w:r>
      <w:r>
        <w:rPr>
          <w:spacing w:val="-3"/>
        </w:rPr>
        <w:t> </w:t>
      </w:r>
      <w:r>
        <w:rPr/>
        <w:t>Permanyer,</w:t>
      </w:r>
      <w:r>
        <w:rPr>
          <w:spacing w:val="-2"/>
        </w:rPr>
        <w:t> </w:t>
      </w:r>
      <w:r>
        <w:rPr/>
        <w:t>A.,</w:t>
      </w:r>
      <w:r>
        <w:rPr>
          <w:spacing w:val="-3"/>
        </w:rPr>
        <w:t> </w:t>
      </w:r>
      <w:r>
        <w:rPr/>
        <w:t>2014. Characterization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asphaltic</w:t>
      </w:r>
      <w:r>
        <w:rPr>
          <w:spacing w:val="-2"/>
        </w:rPr>
        <w:t> </w:t>
      </w:r>
      <w:r>
        <w:rPr/>
        <w:t>oil</w:t>
      </w:r>
      <w:r>
        <w:rPr>
          <w:spacing w:val="-52"/>
        </w:rPr>
        <w:t> </w:t>
      </w:r>
      <w:r>
        <w:rPr/>
        <w:t>occurrences from the southeastern margin of the Basque-Cantabrian Basin, Spain.</w:t>
      </w:r>
      <w:r>
        <w:rPr>
          <w:spacing w:val="-52"/>
        </w:rPr>
        <w:t> </w:t>
      </w:r>
      <w:r>
        <w:rPr/>
        <w:t>Geologica</w:t>
      </w:r>
      <w:r>
        <w:rPr>
          <w:spacing w:val="-3"/>
        </w:rPr>
        <w:t> </w:t>
      </w:r>
      <w:r>
        <w:rPr/>
        <w:t>Acta</w:t>
      </w:r>
      <w:r>
        <w:rPr>
          <w:spacing w:val="-3"/>
        </w:rPr>
        <w:t> </w:t>
      </w:r>
      <w:r>
        <w:rPr/>
        <w:t>12,</w:t>
      </w:r>
      <w:r>
        <w:rPr>
          <w:spacing w:val="-3"/>
        </w:rPr>
        <w:t> </w:t>
      </w:r>
      <w:r>
        <w:rPr/>
        <w:t>327–342.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120"/>
      </w:pPr>
      <w:r>
        <w:rPr/>
        <w:t>McGhee,</w:t>
      </w:r>
      <w:r>
        <w:rPr>
          <w:spacing w:val="1"/>
        </w:rPr>
        <w:t> </w:t>
      </w:r>
      <w:r>
        <w:rPr/>
        <w:t>G.R.,</w:t>
      </w:r>
      <w:r>
        <w:rPr>
          <w:spacing w:val="-2"/>
        </w:rPr>
        <w:t> </w:t>
      </w:r>
      <w:r>
        <w:rPr/>
        <w:t>1996.</w:t>
      </w:r>
      <w:r>
        <w:rPr>
          <w:spacing w:val="-5"/>
        </w:rPr>
        <w:t> </w:t>
      </w:r>
      <w:r>
        <w:rPr/>
        <w:t>The</w:t>
      </w:r>
      <w:r>
        <w:rPr>
          <w:spacing w:val="-3"/>
        </w:rPr>
        <w:t> </w:t>
      </w:r>
      <w:r>
        <w:rPr/>
        <w:t>Late</w:t>
      </w:r>
      <w:r>
        <w:rPr>
          <w:spacing w:val="-3"/>
        </w:rPr>
        <w:t> </w:t>
      </w:r>
      <w:r>
        <w:rPr/>
        <w:t>Devonian</w:t>
      </w:r>
      <w:r>
        <w:rPr>
          <w:spacing w:val="-3"/>
        </w:rPr>
        <w:t> </w:t>
      </w:r>
      <w:r>
        <w:rPr/>
        <w:t>Mass</w:t>
      </w:r>
      <w:r>
        <w:rPr>
          <w:spacing w:val="-4"/>
        </w:rPr>
        <w:t> </w:t>
      </w:r>
      <w:r>
        <w:rPr/>
        <w:t>Extinction:</w:t>
      </w:r>
      <w:r>
        <w:rPr>
          <w:spacing w:val="-2"/>
        </w:rPr>
        <w:t> </w:t>
      </w:r>
      <w:r>
        <w:rPr/>
        <w:t>The Frasnian/Famennian</w:t>
      </w:r>
      <w:r>
        <w:rPr>
          <w:spacing w:val="-2"/>
        </w:rPr>
        <w:t> </w:t>
      </w:r>
      <w:r>
        <w:rPr/>
        <w:t>Crisis.</w:t>
      </w:r>
    </w:p>
    <w:p>
      <w:pPr>
        <w:pStyle w:val="BodyText"/>
        <w:ind w:left="840"/>
      </w:pPr>
      <w:r>
        <w:rPr/>
        <w:t>Columbia</w:t>
      </w:r>
      <w:r>
        <w:rPr>
          <w:spacing w:val="-4"/>
        </w:rPr>
        <w:t> </w:t>
      </w:r>
      <w:r>
        <w:rPr/>
        <w:t>University</w:t>
      </w:r>
      <w:r>
        <w:rPr>
          <w:spacing w:val="-2"/>
        </w:rPr>
        <w:t> </w:t>
      </w:r>
      <w:r>
        <w:rPr/>
        <w:t>Press.</w:t>
      </w:r>
    </w:p>
    <w:p>
      <w:pPr>
        <w:pStyle w:val="BodyText"/>
      </w:pPr>
    </w:p>
    <w:p>
      <w:pPr>
        <w:pStyle w:val="BodyText"/>
        <w:ind w:left="120"/>
      </w:pPr>
      <w:r>
        <w:rPr/>
        <w:t>Meyer, K.M.,</w:t>
      </w:r>
      <w:r>
        <w:rPr>
          <w:spacing w:val="-2"/>
        </w:rPr>
        <w:t> </w:t>
      </w:r>
      <w:r>
        <w:rPr/>
        <w:t>Kump,</w:t>
      </w:r>
      <w:r>
        <w:rPr>
          <w:spacing w:val="-2"/>
        </w:rPr>
        <w:t> </w:t>
      </w:r>
      <w:r>
        <w:rPr/>
        <w:t>L.R.,</w:t>
      </w:r>
      <w:r>
        <w:rPr>
          <w:spacing w:val="-2"/>
        </w:rPr>
        <w:t> </w:t>
      </w:r>
      <w:r>
        <w:rPr/>
        <w:t>2008.</w:t>
      </w:r>
      <w:r>
        <w:rPr>
          <w:spacing w:val="-1"/>
        </w:rPr>
        <w:t> </w:t>
      </w:r>
      <w:r>
        <w:rPr/>
        <w:t>Oceanic</w:t>
      </w:r>
      <w:r>
        <w:rPr>
          <w:spacing w:val="-2"/>
        </w:rPr>
        <w:t> </w:t>
      </w:r>
      <w:r>
        <w:rPr/>
        <w:t>Euxinia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Earth</w:t>
      </w:r>
      <w:r>
        <w:rPr>
          <w:spacing w:val="1"/>
        </w:rPr>
        <w:t> </w:t>
      </w:r>
      <w:r>
        <w:rPr/>
        <w:t>History:</w:t>
      </w:r>
      <w:r>
        <w:rPr>
          <w:spacing w:val="-2"/>
        </w:rPr>
        <w:t> </w:t>
      </w:r>
      <w:r>
        <w:rPr/>
        <w:t>Causes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Consequences.</w:t>
      </w:r>
    </w:p>
    <w:p>
      <w:pPr>
        <w:pStyle w:val="BodyText"/>
        <w:spacing w:before="2"/>
        <w:ind w:left="840"/>
      </w:pPr>
      <w:r>
        <w:rPr/>
        <w:t>Annual</w:t>
      </w:r>
      <w:r>
        <w:rPr>
          <w:spacing w:val="-3"/>
        </w:rPr>
        <w:t> </w:t>
      </w:r>
      <w:r>
        <w:rPr/>
        <w:t>Review</w:t>
      </w:r>
      <w:r>
        <w:rPr>
          <w:spacing w:val="1"/>
        </w:rPr>
        <w:t> </w:t>
      </w:r>
      <w:r>
        <w:rPr/>
        <w:t>of</w:t>
      </w:r>
      <w:r>
        <w:rPr>
          <w:spacing w:val="-2"/>
        </w:rPr>
        <w:t> </w:t>
      </w:r>
      <w:r>
        <w:rPr/>
        <w:t>Earth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Planetary</w:t>
      </w:r>
      <w:r>
        <w:rPr>
          <w:spacing w:val="-3"/>
        </w:rPr>
        <w:t> </w:t>
      </w:r>
      <w:r>
        <w:rPr/>
        <w:t>Sciences</w:t>
      </w:r>
      <w:r>
        <w:rPr>
          <w:spacing w:val="-2"/>
        </w:rPr>
        <w:t> </w:t>
      </w:r>
      <w:r>
        <w:rPr/>
        <w:t>36,</w:t>
      </w:r>
      <w:r>
        <w:rPr>
          <w:spacing w:val="-3"/>
        </w:rPr>
        <w:t> </w:t>
      </w:r>
      <w:r>
        <w:rPr/>
        <w:t>251–288.</w:t>
      </w:r>
    </w:p>
    <w:p>
      <w:pPr>
        <w:pStyle w:val="BodyText"/>
      </w:pPr>
    </w:p>
    <w:p>
      <w:pPr>
        <w:pStyle w:val="BodyText"/>
        <w:ind w:left="840" w:right="660" w:hanging="720"/>
      </w:pPr>
      <w:r>
        <w:rPr/>
        <w:t>Meyer,</w:t>
      </w:r>
      <w:r>
        <w:rPr>
          <w:spacing w:val="-1"/>
        </w:rPr>
        <w:t> </w:t>
      </w:r>
      <w:r>
        <w:rPr/>
        <w:t>K.M.,</w:t>
      </w:r>
      <w:r>
        <w:rPr>
          <w:spacing w:val="-3"/>
        </w:rPr>
        <w:t> </w:t>
      </w:r>
      <w:r>
        <w:rPr/>
        <w:t>Macalady,</w:t>
      </w:r>
      <w:r>
        <w:rPr>
          <w:spacing w:val="-3"/>
        </w:rPr>
        <w:t> </w:t>
      </w:r>
      <w:r>
        <w:rPr/>
        <w:t>J.L.,</w:t>
      </w:r>
      <w:r>
        <w:rPr>
          <w:spacing w:val="-4"/>
        </w:rPr>
        <w:t> </w:t>
      </w:r>
      <w:r>
        <w:rPr/>
        <w:t>Fulton, J.M.,</w:t>
      </w:r>
      <w:r>
        <w:rPr>
          <w:spacing w:val="-5"/>
        </w:rPr>
        <w:t> </w:t>
      </w:r>
      <w:r>
        <w:rPr/>
        <w:t>Kump,</w:t>
      </w:r>
      <w:r>
        <w:rPr>
          <w:spacing w:val="-3"/>
        </w:rPr>
        <w:t> </w:t>
      </w:r>
      <w:r>
        <w:rPr/>
        <w:t>L.R.,</w:t>
      </w:r>
      <w:r>
        <w:rPr>
          <w:spacing w:val="-6"/>
        </w:rPr>
        <w:t> </w:t>
      </w:r>
      <w:r>
        <w:rPr/>
        <w:t>Schaperdoth, I.,</w:t>
      </w:r>
      <w:r>
        <w:rPr>
          <w:spacing w:val="-3"/>
        </w:rPr>
        <w:t> </w:t>
      </w:r>
      <w:r>
        <w:rPr/>
        <w:t>Freeman,</w:t>
      </w:r>
      <w:r>
        <w:rPr>
          <w:spacing w:val="-4"/>
        </w:rPr>
        <w:t> </w:t>
      </w:r>
      <w:r>
        <w:rPr/>
        <w:t>K.H.,</w:t>
      </w:r>
      <w:r>
        <w:rPr>
          <w:spacing w:val="1"/>
        </w:rPr>
        <w:t> </w:t>
      </w:r>
      <w:r>
        <w:rPr/>
        <w:t>2011.</w:t>
      </w:r>
      <w:r>
        <w:rPr>
          <w:spacing w:val="-51"/>
        </w:rPr>
        <w:t> </w:t>
      </w:r>
      <w:r>
        <w:rPr/>
        <w:t>Carotenoid biomarkers as an imperfect reflection of the anoxygenic phototrophic</w:t>
      </w:r>
      <w:r>
        <w:rPr>
          <w:spacing w:val="1"/>
        </w:rPr>
        <w:t> </w:t>
      </w:r>
      <w:r>
        <w:rPr/>
        <w:t>community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meromictic</w:t>
      </w:r>
      <w:r>
        <w:rPr>
          <w:spacing w:val="-1"/>
        </w:rPr>
        <w:t> </w:t>
      </w:r>
      <w:r>
        <w:rPr/>
        <w:t>Fayetteville</w:t>
      </w:r>
      <w:r>
        <w:rPr>
          <w:spacing w:val="-2"/>
        </w:rPr>
        <w:t> </w:t>
      </w:r>
      <w:r>
        <w:rPr/>
        <w:t>Green</w:t>
      </w:r>
      <w:r>
        <w:rPr>
          <w:spacing w:val="2"/>
        </w:rPr>
        <w:t> </w:t>
      </w:r>
      <w:r>
        <w:rPr/>
        <w:t>Lake.</w:t>
      </w:r>
      <w:r>
        <w:rPr>
          <w:spacing w:val="-2"/>
        </w:rPr>
        <w:t> </w:t>
      </w:r>
      <w:r>
        <w:rPr/>
        <w:t>Geobiology</w:t>
      </w:r>
      <w:r>
        <w:rPr>
          <w:spacing w:val="-1"/>
        </w:rPr>
        <w:t> </w:t>
      </w:r>
      <w:r>
        <w:rPr/>
        <w:t>9,</w:t>
      </w:r>
      <w:r>
        <w:rPr>
          <w:spacing w:val="-3"/>
        </w:rPr>
        <w:t> </w:t>
      </w:r>
      <w:r>
        <w:rPr/>
        <w:t>321–329.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840" w:right="745" w:hanging="720"/>
      </w:pPr>
      <w:r>
        <w:rPr/>
        <w:t>Moldowan, J.M., Seifert, W.K., Gallegos, E.J., 1985. Relationship Between Petroleum</w:t>
      </w:r>
      <w:r>
        <w:rPr>
          <w:spacing w:val="1"/>
        </w:rPr>
        <w:t> </w:t>
      </w:r>
      <w:r>
        <w:rPr/>
        <w:t>Composition and</w:t>
      </w:r>
      <w:r>
        <w:rPr>
          <w:spacing w:val="-4"/>
        </w:rPr>
        <w:t> </w:t>
      </w:r>
      <w:r>
        <w:rPr/>
        <w:t>Depositional</w:t>
      </w:r>
      <w:r>
        <w:rPr>
          <w:spacing w:val="-2"/>
        </w:rPr>
        <w:t> </w:t>
      </w:r>
      <w:r>
        <w:rPr/>
        <w:t>Environment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Petroleum</w:t>
      </w:r>
      <w:r>
        <w:rPr>
          <w:spacing w:val="-1"/>
        </w:rPr>
        <w:t> </w:t>
      </w:r>
      <w:r>
        <w:rPr/>
        <w:t>Source</w:t>
      </w:r>
      <w:r>
        <w:rPr>
          <w:spacing w:val="-4"/>
        </w:rPr>
        <w:t> </w:t>
      </w:r>
      <w:r>
        <w:rPr/>
        <w:t>Rocks1.</w:t>
      </w:r>
      <w:r>
        <w:rPr>
          <w:spacing w:val="-4"/>
        </w:rPr>
        <w:t> </w:t>
      </w:r>
      <w:r>
        <w:rPr/>
        <w:t>AAPG</w:t>
      </w:r>
      <w:r>
        <w:rPr>
          <w:spacing w:val="-1"/>
        </w:rPr>
        <w:t> </w:t>
      </w:r>
      <w:r>
        <w:rPr/>
        <w:t>Bulletin</w:t>
      </w:r>
      <w:r>
        <w:rPr>
          <w:spacing w:val="-51"/>
        </w:rPr>
        <w:t> </w:t>
      </w:r>
      <w:r>
        <w:rPr/>
        <w:t>69,</w:t>
      </w:r>
      <w:r>
        <w:rPr>
          <w:spacing w:val="1"/>
        </w:rPr>
        <w:t> </w:t>
      </w:r>
      <w:r>
        <w:rPr/>
        <w:t>1255–1268.</w:t>
      </w:r>
    </w:p>
    <w:p>
      <w:pPr>
        <w:pStyle w:val="BodyText"/>
        <w:spacing w:before="12"/>
        <w:rPr>
          <w:sz w:val="23"/>
        </w:rPr>
      </w:pPr>
    </w:p>
    <w:p>
      <w:pPr>
        <w:pStyle w:val="BodyText"/>
        <w:ind w:left="840" w:right="1024" w:hanging="720"/>
      </w:pPr>
      <w:r>
        <w:rPr/>
        <w:t>Molinares-Blanco,</w:t>
      </w:r>
      <w:r>
        <w:rPr>
          <w:spacing w:val="-5"/>
        </w:rPr>
        <w:t> </w:t>
      </w:r>
      <w:r>
        <w:rPr/>
        <w:t>C.E.,</w:t>
      </w:r>
      <w:r>
        <w:rPr>
          <w:spacing w:val="-2"/>
        </w:rPr>
        <w:t> </w:t>
      </w:r>
      <w:r>
        <w:rPr/>
        <w:t>2013.</w:t>
      </w:r>
      <w:r>
        <w:rPr>
          <w:spacing w:val="-3"/>
        </w:rPr>
        <w:t> </w:t>
      </w:r>
      <w:r>
        <w:rPr/>
        <w:t>Stratigraphy</w:t>
      </w:r>
      <w:r>
        <w:rPr>
          <w:spacing w:val="-5"/>
        </w:rPr>
        <w:t> </w:t>
      </w:r>
      <w:r>
        <w:rPr/>
        <w:t>and</w:t>
      </w:r>
      <w:r>
        <w:rPr>
          <w:spacing w:val="-2"/>
        </w:rPr>
        <w:t> </w:t>
      </w:r>
      <w:r>
        <w:rPr/>
        <w:t>Palynomorphs Composition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Woodford</w:t>
      </w:r>
      <w:r>
        <w:rPr>
          <w:spacing w:val="-51"/>
        </w:rPr>
        <w:t> </w:t>
      </w:r>
      <w:r>
        <w:rPr/>
        <w:t>Shale in the Wyche Farm Shale Pit, Pontotoc County, Oklahoma. The University of</w:t>
      </w:r>
      <w:r>
        <w:rPr>
          <w:spacing w:val="1"/>
        </w:rPr>
        <w:t> </w:t>
      </w:r>
      <w:r>
        <w:rPr/>
        <w:t>Oklahoma.</w:t>
      </w:r>
    </w:p>
    <w:p>
      <w:pPr>
        <w:pStyle w:val="BodyText"/>
        <w:spacing w:before="1"/>
      </w:pPr>
    </w:p>
    <w:p>
      <w:pPr>
        <w:pStyle w:val="BodyText"/>
        <w:spacing w:before="1"/>
        <w:ind w:left="840" w:right="705" w:hanging="720"/>
      </w:pPr>
      <w:r>
        <w:rPr/>
        <w:t>Molinares-Blanco, C.E., 2019. Paleoenvironments and Sediments Around the</w:t>
      </w:r>
      <w:r>
        <w:rPr>
          <w:spacing w:val="1"/>
        </w:rPr>
        <w:t> </w:t>
      </w:r>
      <w:r>
        <w:rPr/>
        <w:t>Frasnian/Famennian</w:t>
      </w:r>
      <w:r>
        <w:rPr>
          <w:spacing w:val="-3"/>
        </w:rPr>
        <w:t> </w:t>
      </w:r>
      <w:r>
        <w:rPr/>
        <w:t>(F/F)</w:t>
      </w:r>
      <w:r>
        <w:rPr>
          <w:spacing w:val="-3"/>
        </w:rPr>
        <w:t> </w:t>
      </w:r>
      <w:r>
        <w:rPr/>
        <w:t>Transition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Woodford</w:t>
      </w:r>
      <w:r>
        <w:rPr>
          <w:spacing w:val="-3"/>
        </w:rPr>
        <w:t> </w:t>
      </w:r>
      <w:r>
        <w:rPr/>
        <w:t>Shale,</w:t>
      </w:r>
      <w:r>
        <w:rPr>
          <w:spacing w:val="-2"/>
        </w:rPr>
        <w:t> </w:t>
      </w:r>
      <w:r>
        <w:rPr/>
        <w:t>South</w:t>
      </w:r>
      <w:r>
        <w:rPr>
          <w:spacing w:val="-3"/>
        </w:rPr>
        <w:t> </w:t>
      </w:r>
      <w:r>
        <w:rPr/>
        <w:t>Central</w:t>
      </w:r>
      <w:r>
        <w:rPr>
          <w:spacing w:val="-4"/>
        </w:rPr>
        <w:t> </w:t>
      </w:r>
      <w:r>
        <w:rPr/>
        <w:t>Oklahoma</w:t>
      </w:r>
      <w:r>
        <w:rPr>
          <w:spacing w:val="-3"/>
        </w:rPr>
        <w:t> </w:t>
      </w:r>
      <w:r>
        <w:rPr/>
        <w:t>–</w:t>
      </w:r>
      <w:r>
        <w:rPr>
          <w:spacing w:val="-51"/>
        </w:rPr>
        <w:t> </w:t>
      </w:r>
      <w:r>
        <w:rPr/>
        <w:t>A</w:t>
      </w:r>
      <w:r>
        <w:rPr>
          <w:spacing w:val="-2"/>
        </w:rPr>
        <w:t> </w:t>
      </w:r>
      <w:r>
        <w:rPr/>
        <w:t>Multiproxy</w:t>
      </w:r>
      <w:r>
        <w:rPr>
          <w:spacing w:val="-1"/>
        </w:rPr>
        <w:t> </w:t>
      </w:r>
      <w:r>
        <w:rPr/>
        <w:t>Approach.</w:t>
      </w:r>
      <w:r>
        <w:rPr>
          <w:spacing w:val="-5"/>
        </w:rPr>
        <w:t> </w:t>
      </w:r>
      <w:r>
        <w:rPr/>
        <w:t>The</w:t>
      </w:r>
      <w:r>
        <w:rPr>
          <w:spacing w:val="-1"/>
        </w:rPr>
        <w:t> </w:t>
      </w:r>
      <w:r>
        <w:rPr/>
        <w:t>University</w:t>
      </w:r>
      <w:r>
        <w:rPr>
          <w:spacing w:val="-4"/>
        </w:rPr>
        <w:t> </w:t>
      </w:r>
      <w:r>
        <w:rPr/>
        <w:t>of</w:t>
      </w:r>
      <w:r>
        <w:rPr>
          <w:spacing w:val="-1"/>
        </w:rPr>
        <w:t> </w:t>
      </w:r>
      <w:r>
        <w:rPr/>
        <w:t>Oklahoma.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840" w:right="1416" w:hanging="720"/>
      </w:pPr>
      <w:r>
        <w:rPr/>
        <w:t>Mosbrugger, V., 1990. The Tree Habit in Land Plants: A Functional Comparison of Trunk</w:t>
      </w:r>
      <w:r>
        <w:rPr>
          <w:spacing w:val="1"/>
        </w:rPr>
        <w:t> </w:t>
      </w:r>
      <w:r>
        <w:rPr/>
        <w:t>Constructions</w:t>
      </w:r>
      <w:r>
        <w:rPr>
          <w:spacing w:val="-2"/>
        </w:rPr>
        <w:t> </w:t>
      </w:r>
      <w:r>
        <w:rPr/>
        <w:t>with</w:t>
      </w:r>
      <w:r>
        <w:rPr>
          <w:spacing w:val="-3"/>
        </w:rPr>
        <w:t> </w:t>
      </w:r>
      <w:r>
        <w:rPr/>
        <w:t>a</w:t>
      </w:r>
      <w:r>
        <w:rPr>
          <w:spacing w:val="1"/>
        </w:rPr>
        <w:t> </w:t>
      </w:r>
      <w:r>
        <w:rPr/>
        <w:t>Brief</w:t>
      </w:r>
      <w:r>
        <w:rPr>
          <w:spacing w:val="-2"/>
        </w:rPr>
        <w:t> </w:t>
      </w:r>
      <w:r>
        <w:rPr/>
        <w:t>Introduction</w:t>
      </w:r>
      <w:r>
        <w:rPr>
          <w:spacing w:val="-2"/>
        </w:rPr>
        <w:t> </w:t>
      </w:r>
      <w:r>
        <w:rPr/>
        <w:t>into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Biomechanics</w:t>
      </w:r>
      <w:r>
        <w:rPr>
          <w:spacing w:val="-6"/>
        </w:rPr>
        <w:t> </w:t>
      </w:r>
      <w:r>
        <w:rPr/>
        <w:t>of</w:t>
      </w:r>
      <w:r>
        <w:rPr>
          <w:spacing w:val="-3"/>
        </w:rPr>
        <w:t> </w:t>
      </w:r>
      <w:r>
        <w:rPr/>
        <w:t>Trees.</w:t>
      </w:r>
      <w:r>
        <w:rPr>
          <w:spacing w:val="-3"/>
        </w:rPr>
        <w:t> </w:t>
      </w:r>
      <w:r>
        <w:rPr/>
        <w:t>Springer.</w:t>
      </w:r>
    </w:p>
    <w:p>
      <w:pPr>
        <w:spacing w:after="0"/>
        <w:sectPr>
          <w:pgSz w:w="12240" w:h="15840"/>
          <w:pgMar w:header="0" w:footer="934" w:top="1400" w:bottom="1200" w:left="1320" w:right="820"/>
        </w:sectPr>
      </w:pPr>
    </w:p>
    <w:p>
      <w:pPr>
        <w:pStyle w:val="BodyText"/>
        <w:spacing w:before="39"/>
        <w:ind w:left="840" w:right="660" w:hanging="720"/>
      </w:pPr>
      <w:r>
        <w:rPr/>
        <w:t>O’Brien,</w:t>
      </w:r>
      <w:r>
        <w:rPr>
          <w:spacing w:val="-2"/>
        </w:rPr>
        <w:t> </w:t>
      </w:r>
      <w:r>
        <w:rPr/>
        <w:t>G.W.,</w:t>
      </w:r>
      <w:r>
        <w:rPr>
          <w:spacing w:val="-1"/>
        </w:rPr>
        <w:t> </w:t>
      </w:r>
      <w:r>
        <w:rPr/>
        <w:t>Veeh,</w:t>
      </w:r>
      <w:r>
        <w:rPr>
          <w:spacing w:val="1"/>
        </w:rPr>
        <w:t> </w:t>
      </w:r>
      <w:r>
        <w:rPr/>
        <w:t>H.H.,</w:t>
      </w:r>
      <w:r>
        <w:rPr>
          <w:spacing w:val="-2"/>
        </w:rPr>
        <w:t> </w:t>
      </w:r>
      <w:r>
        <w:rPr/>
        <w:t>1983.</w:t>
      </w:r>
      <w:r>
        <w:rPr>
          <w:spacing w:val="-2"/>
        </w:rPr>
        <w:t> </w:t>
      </w:r>
      <w:r>
        <w:rPr/>
        <w:t>Are</w:t>
      </w:r>
      <w:r>
        <w:rPr>
          <w:spacing w:val="-3"/>
        </w:rPr>
        <w:t> </w:t>
      </w:r>
      <w:r>
        <w:rPr/>
        <w:t>Phosphorites</w:t>
      </w:r>
      <w:r>
        <w:rPr>
          <w:spacing w:val="-2"/>
        </w:rPr>
        <w:t> </w:t>
      </w:r>
      <w:r>
        <w:rPr/>
        <w:t>Reliable</w:t>
      </w:r>
      <w:r>
        <w:rPr>
          <w:spacing w:val="-3"/>
        </w:rPr>
        <w:t> </w:t>
      </w:r>
      <w:r>
        <w:rPr/>
        <w:t>Indicators</w:t>
      </w:r>
      <w:r>
        <w:rPr>
          <w:spacing w:val="-5"/>
        </w:rPr>
        <w:t> </w:t>
      </w:r>
      <w:r>
        <w:rPr/>
        <w:t>of</w:t>
      </w:r>
      <w:r>
        <w:rPr>
          <w:spacing w:val="-3"/>
        </w:rPr>
        <w:t> </w:t>
      </w:r>
      <w:r>
        <w:rPr/>
        <w:t>Upwelling</w:t>
      </w:r>
      <w:r>
        <w:rPr>
          <w:spacing w:val="-4"/>
        </w:rPr>
        <w:t> </w:t>
      </w:r>
      <w:r>
        <w:rPr/>
        <w:t>?,</w:t>
      </w:r>
      <w:r>
        <w:rPr>
          <w:spacing w:val="-2"/>
        </w:rPr>
        <w:t> </w:t>
      </w:r>
      <w:r>
        <w:rPr/>
        <w:t>in:</w:t>
      </w:r>
      <w:r>
        <w:rPr>
          <w:spacing w:val="2"/>
        </w:rPr>
        <w:t> </w:t>
      </w:r>
      <w:r>
        <w:rPr/>
        <w:t>Suess,</w:t>
      </w:r>
      <w:r>
        <w:rPr>
          <w:spacing w:val="-51"/>
        </w:rPr>
        <w:t> </w:t>
      </w:r>
      <w:r>
        <w:rPr/>
        <w:t>E., Thiede, J. (Eds.), Coastal Upwelling Its Sediment Record: Part A: Responses of the</w:t>
      </w:r>
      <w:r>
        <w:rPr>
          <w:spacing w:val="1"/>
        </w:rPr>
        <w:t> </w:t>
      </w:r>
      <w:r>
        <w:rPr/>
        <w:t>Sedimentary Regime to Present Coastal Upwelling, NATO Conference Series. Springer</w:t>
      </w:r>
      <w:r>
        <w:rPr>
          <w:spacing w:val="1"/>
        </w:rPr>
        <w:t> </w:t>
      </w:r>
      <w:r>
        <w:rPr/>
        <w:t>US,</w:t>
      </w:r>
      <w:r>
        <w:rPr>
          <w:spacing w:val="-1"/>
        </w:rPr>
        <w:t> </w:t>
      </w:r>
      <w:r>
        <w:rPr/>
        <w:t>Boston,</w:t>
      </w:r>
      <w:r>
        <w:rPr>
          <w:spacing w:val="-3"/>
        </w:rPr>
        <w:t> </w:t>
      </w:r>
      <w:r>
        <w:rPr/>
        <w:t>MA,</w:t>
      </w:r>
      <w:r>
        <w:rPr>
          <w:spacing w:val="-3"/>
        </w:rPr>
        <w:t> </w:t>
      </w:r>
      <w:r>
        <w:rPr/>
        <w:t>pp.</w:t>
      </w:r>
      <w:r>
        <w:rPr>
          <w:spacing w:val="-2"/>
        </w:rPr>
        <w:t> </w:t>
      </w:r>
      <w:r>
        <w:rPr/>
        <w:t>399–419.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spacing w:before="1"/>
        <w:ind w:left="840" w:right="845" w:hanging="720"/>
      </w:pPr>
      <w:r>
        <w:rPr/>
        <w:t>Ohkouchi,</w:t>
      </w:r>
      <w:r>
        <w:rPr>
          <w:spacing w:val="-3"/>
        </w:rPr>
        <w:t> </w:t>
      </w:r>
      <w:r>
        <w:rPr/>
        <w:t>N.,</w:t>
      </w:r>
      <w:r>
        <w:rPr>
          <w:spacing w:val="-1"/>
        </w:rPr>
        <w:t> </w:t>
      </w:r>
      <w:r>
        <w:rPr/>
        <w:t>Y,</w:t>
      </w:r>
      <w:r>
        <w:rPr>
          <w:spacing w:val="-2"/>
        </w:rPr>
        <w:t> </w:t>
      </w:r>
      <w:r>
        <w:rPr/>
        <w:t>C.,</w:t>
      </w:r>
      <w:r>
        <w:rPr>
          <w:spacing w:val="-1"/>
        </w:rPr>
        <w:t> </w:t>
      </w:r>
      <w:r>
        <w:rPr/>
        <w:t>Kashiyama,</w:t>
      </w:r>
      <w:r>
        <w:rPr>
          <w:spacing w:val="-1"/>
        </w:rPr>
        <w:t> </w:t>
      </w:r>
      <w:r>
        <w:rPr/>
        <w:t>Y.,</w:t>
      </w:r>
      <w:r>
        <w:rPr>
          <w:spacing w:val="-2"/>
        </w:rPr>
        <w:t> </w:t>
      </w:r>
      <w:r>
        <w:rPr/>
        <w:t>Ogawa,</w:t>
      </w:r>
      <w:r>
        <w:rPr>
          <w:spacing w:val="-3"/>
        </w:rPr>
        <w:t> </w:t>
      </w:r>
      <w:r>
        <w:rPr/>
        <w:t>N.,</w:t>
      </w:r>
      <w:r>
        <w:rPr>
          <w:spacing w:val="-2"/>
        </w:rPr>
        <w:t> </w:t>
      </w:r>
      <w:r>
        <w:rPr/>
        <w:t>2010.</w:t>
      </w:r>
      <w:r>
        <w:rPr>
          <w:spacing w:val="-2"/>
        </w:rPr>
        <w:t> </w:t>
      </w:r>
      <w:r>
        <w:rPr/>
        <w:t>Isotopomers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chlorophyll</w:t>
      </w:r>
      <w:r>
        <w:rPr>
          <w:spacing w:val="-2"/>
        </w:rPr>
        <w:t> </w:t>
      </w:r>
      <w:r>
        <w:rPr/>
        <w:t>nuclei:</w:t>
      </w:r>
      <w:r>
        <w:rPr>
          <w:spacing w:val="-2"/>
        </w:rPr>
        <w:t> </w:t>
      </w:r>
      <w:r>
        <w:rPr/>
        <w:t>Theory</w:t>
      </w:r>
      <w:r>
        <w:rPr>
          <w:spacing w:val="-52"/>
        </w:rPr>
        <w:t> </w:t>
      </w:r>
      <w:r>
        <w:rPr/>
        <w:t>and</w:t>
      </w:r>
      <w:r>
        <w:rPr>
          <w:spacing w:val="2"/>
        </w:rPr>
        <w:t> </w:t>
      </w:r>
      <w:r>
        <w:rPr/>
        <w:t>application.</w:t>
      </w:r>
      <w:r>
        <w:rPr>
          <w:spacing w:val="1"/>
        </w:rPr>
        <w:t> </w:t>
      </w:r>
      <w:r>
        <w:rPr/>
        <w:t>pp.</w:t>
      </w:r>
      <w:r>
        <w:rPr>
          <w:spacing w:val="1"/>
        </w:rPr>
        <w:t> </w:t>
      </w:r>
      <w:r>
        <w:rPr/>
        <w:t>271–290.</w:t>
      </w:r>
    </w:p>
    <w:p>
      <w:pPr>
        <w:pStyle w:val="BodyText"/>
        <w:spacing w:before="1"/>
      </w:pPr>
    </w:p>
    <w:p>
      <w:pPr>
        <w:pStyle w:val="BodyText"/>
        <w:ind w:left="840" w:right="660" w:hanging="720"/>
      </w:pPr>
      <w:r>
        <w:rPr/>
        <w:t>Over,</w:t>
      </w:r>
      <w:r>
        <w:rPr>
          <w:spacing w:val="-3"/>
        </w:rPr>
        <w:t> </w:t>
      </w:r>
      <w:r>
        <w:rPr/>
        <w:t>D.,</w:t>
      </w:r>
      <w:r>
        <w:rPr>
          <w:spacing w:val="-4"/>
        </w:rPr>
        <w:t> </w:t>
      </w:r>
      <w:r>
        <w:rPr/>
        <w:t>1990.</w:t>
      </w:r>
      <w:r>
        <w:rPr>
          <w:spacing w:val="-2"/>
        </w:rPr>
        <w:t> </w:t>
      </w:r>
      <w:r>
        <w:rPr/>
        <w:t>Conodont</w:t>
      </w:r>
      <w:r>
        <w:rPr>
          <w:spacing w:val="2"/>
        </w:rPr>
        <w:t> </w:t>
      </w:r>
      <w:r>
        <w:rPr/>
        <w:t>biostratigraphy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5"/>
        </w:rPr>
        <w:t> </w:t>
      </w:r>
      <w:r>
        <w:rPr/>
        <w:t>Woodford</w:t>
      </w:r>
      <w:r>
        <w:rPr>
          <w:spacing w:val="-3"/>
        </w:rPr>
        <w:t> </w:t>
      </w:r>
      <w:r>
        <w:rPr/>
        <w:t>shale</w:t>
      </w:r>
      <w:r>
        <w:rPr>
          <w:spacing w:val="-3"/>
        </w:rPr>
        <w:t> </w:t>
      </w:r>
      <w:r>
        <w:rPr/>
        <w:t>(late</w:t>
      </w:r>
      <w:r>
        <w:rPr>
          <w:spacing w:val="-3"/>
        </w:rPr>
        <w:t> </w:t>
      </w:r>
      <w:r>
        <w:rPr/>
        <w:t>Devonian-early</w:t>
      </w:r>
      <w:r>
        <w:rPr>
          <w:spacing w:val="-51"/>
        </w:rPr>
        <w:t> </w:t>
      </w:r>
      <w:r>
        <w:rPr/>
        <w:t>Carboniferous)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1"/>
        </w:rPr>
        <w:t> </w:t>
      </w:r>
      <w:r>
        <w:rPr/>
        <w:t>Arbuckle</w:t>
      </w:r>
      <w:r>
        <w:rPr>
          <w:spacing w:val="-1"/>
        </w:rPr>
        <w:t> </w:t>
      </w:r>
      <w:r>
        <w:rPr/>
        <w:t>Mountains,</w:t>
      </w:r>
      <w:r>
        <w:rPr>
          <w:spacing w:val="-2"/>
        </w:rPr>
        <w:t> </w:t>
      </w:r>
      <w:r>
        <w:rPr/>
        <w:t>south-central</w:t>
      </w:r>
      <w:r>
        <w:rPr>
          <w:spacing w:val="-2"/>
        </w:rPr>
        <w:t> </w:t>
      </w:r>
      <w:r>
        <w:rPr/>
        <w:t>Oklahoma.</w:t>
      </w:r>
    </w:p>
    <w:p>
      <w:pPr>
        <w:pStyle w:val="BodyText"/>
      </w:pPr>
    </w:p>
    <w:p>
      <w:pPr>
        <w:pStyle w:val="BodyText"/>
        <w:ind w:left="120"/>
      </w:pPr>
      <w:r>
        <w:rPr/>
        <w:t>Over,</w:t>
      </w:r>
      <w:r>
        <w:rPr>
          <w:spacing w:val="-3"/>
        </w:rPr>
        <w:t> </w:t>
      </w:r>
      <w:r>
        <w:rPr/>
        <w:t>D.J.,</w:t>
      </w:r>
      <w:r>
        <w:rPr>
          <w:spacing w:val="-2"/>
        </w:rPr>
        <w:t> </w:t>
      </w:r>
      <w:r>
        <w:rPr/>
        <w:t>2002.</w:t>
      </w:r>
      <w:r>
        <w:rPr>
          <w:spacing w:val="-5"/>
        </w:rPr>
        <w:t> </w:t>
      </w:r>
      <w:r>
        <w:rPr/>
        <w:t>The</w:t>
      </w:r>
      <w:r>
        <w:rPr>
          <w:spacing w:val="-3"/>
        </w:rPr>
        <w:t> </w:t>
      </w:r>
      <w:r>
        <w:rPr/>
        <w:t>Frasnian/Famennian</w:t>
      </w:r>
      <w:r>
        <w:rPr>
          <w:spacing w:val="-3"/>
        </w:rPr>
        <w:t> </w:t>
      </w:r>
      <w:r>
        <w:rPr/>
        <w:t>boundary</w:t>
      </w:r>
      <w:r>
        <w:rPr>
          <w:spacing w:val="-2"/>
        </w:rPr>
        <w:t> </w:t>
      </w:r>
      <w:r>
        <w:rPr/>
        <w:t>in</w:t>
      </w:r>
      <w:r>
        <w:rPr>
          <w:spacing w:val="2"/>
        </w:rPr>
        <w:t> </w:t>
      </w:r>
      <w:r>
        <w:rPr/>
        <w:t>central</w:t>
      </w:r>
      <w:r>
        <w:rPr>
          <w:spacing w:val="-4"/>
        </w:rPr>
        <w:t> </w:t>
      </w:r>
      <w:r>
        <w:rPr/>
        <w:t>and</w:t>
      </w:r>
      <w:r>
        <w:rPr>
          <w:spacing w:val="2"/>
        </w:rPr>
        <w:t> </w:t>
      </w:r>
      <w:r>
        <w:rPr/>
        <w:t>eastern</w:t>
      </w:r>
      <w:r>
        <w:rPr>
          <w:spacing w:val="-2"/>
        </w:rPr>
        <w:t> </w:t>
      </w:r>
      <w:r>
        <w:rPr/>
        <w:t>United</w:t>
      </w:r>
      <w:r>
        <w:rPr>
          <w:spacing w:val="-3"/>
        </w:rPr>
        <w:t> </w:t>
      </w:r>
      <w:r>
        <w:rPr/>
        <w:t>States.</w:t>
      </w:r>
    </w:p>
    <w:p>
      <w:pPr>
        <w:pStyle w:val="BodyText"/>
        <w:ind w:left="840"/>
      </w:pPr>
      <w:r>
        <w:rPr/>
        <w:t>Palaeogeography,</w:t>
      </w:r>
      <w:r>
        <w:rPr>
          <w:spacing w:val="-3"/>
        </w:rPr>
        <w:t> </w:t>
      </w:r>
      <w:r>
        <w:rPr/>
        <w:t>Palaeoclimatology,</w:t>
      </w:r>
      <w:r>
        <w:rPr>
          <w:spacing w:val="-3"/>
        </w:rPr>
        <w:t> </w:t>
      </w:r>
      <w:r>
        <w:rPr/>
        <w:t>Palaeoecology</w:t>
      </w:r>
      <w:r>
        <w:rPr>
          <w:spacing w:val="-3"/>
        </w:rPr>
        <w:t> </w:t>
      </w:r>
      <w:r>
        <w:rPr/>
        <w:t>181,</w:t>
      </w:r>
      <w:r>
        <w:rPr>
          <w:spacing w:val="-3"/>
        </w:rPr>
        <w:t> </w:t>
      </w:r>
      <w:r>
        <w:rPr/>
        <w:t>153–169.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spacing w:before="1"/>
        <w:ind w:left="840" w:right="660" w:hanging="720"/>
      </w:pPr>
      <w:r>
        <w:rPr/>
        <w:t>Overmann,</w:t>
      </w:r>
      <w:r>
        <w:rPr>
          <w:spacing w:val="-5"/>
        </w:rPr>
        <w:t> </w:t>
      </w:r>
      <w:r>
        <w:rPr/>
        <w:t>J.,</w:t>
      </w:r>
      <w:r>
        <w:rPr>
          <w:spacing w:val="-2"/>
        </w:rPr>
        <w:t> </w:t>
      </w:r>
      <w:r>
        <w:rPr/>
        <w:t>Cypionka,</w:t>
      </w:r>
      <w:r>
        <w:rPr>
          <w:spacing w:val="-4"/>
        </w:rPr>
        <w:t> </w:t>
      </w:r>
      <w:r>
        <w:rPr/>
        <w:t>H.,</w:t>
      </w:r>
      <w:r>
        <w:rPr>
          <w:spacing w:val="-4"/>
        </w:rPr>
        <w:t> </w:t>
      </w:r>
      <w:r>
        <w:rPr/>
        <w:t>Pfennig,</w:t>
      </w:r>
      <w:r>
        <w:rPr>
          <w:spacing w:val="-3"/>
        </w:rPr>
        <w:t> </w:t>
      </w:r>
      <w:r>
        <w:rPr/>
        <w:t>N.,</w:t>
      </w:r>
      <w:r>
        <w:rPr>
          <w:spacing w:val="-3"/>
        </w:rPr>
        <w:t> </w:t>
      </w:r>
      <w:r>
        <w:rPr/>
        <w:t>1992.</w:t>
      </w:r>
      <w:r>
        <w:rPr>
          <w:spacing w:val="-2"/>
        </w:rPr>
        <w:t> </w:t>
      </w:r>
      <w:r>
        <w:rPr/>
        <w:t>An</w:t>
      </w:r>
      <w:r>
        <w:rPr>
          <w:spacing w:val="-2"/>
        </w:rPr>
        <w:t> </w:t>
      </w:r>
      <w:r>
        <w:rPr/>
        <w:t>extremely</w:t>
      </w:r>
      <w:r>
        <w:rPr>
          <w:spacing w:val="-2"/>
        </w:rPr>
        <w:t> </w:t>
      </w:r>
      <w:r>
        <w:rPr/>
        <w:t>low-light</w:t>
      </w:r>
      <w:r>
        <w:rPr>
          <w:spacing w:val="2"/>
        </w:rPr>
        <w:t> </w:t>
      </w:r>
      <w:r>
        <w:rPr/>
        <w:t>adapted</w:t>
      </w:r>
      <w:r>
        <w:rPr>
          <w:spacing w:val="-4"/>
        </w:rPr>
        <w:t> </w:t>
      </w:r>
      <w:r>
        <w:rPr/>
        <w:t>phototrophic</w:t>
      </w:r>
      <w:r>
        <w:rPr>
          <w:spacing w:val="-51"/>
        </w:rPr>
        <w:t> </w:t>
      </w:r>
      <w:r>
        <w:rPr/>
        <w:t>sulfur</w:t>
      </w:r>
      <w:r>
        <w:rPr>
          <w:spacing w:val="-5"/>
        </w:rPr>
        <w:t> </w:t>
      </w:r>
      <w:r>
        <w:rPr/>
        <w:t>bacterium</w:t>
      </w:r>
      <w:r>
        <w:rPr>
          <w:spacing w:val="-2"/>
        </w:rPr>
        <w:t> </w:t>
      </w:r>
      <w:r>
        <w:rPr/>
        <w:t>from the</w:t>
      </w:r>
      <w:r>
        <w:rPr>
          <w:spacing w:val="1"/>
        </w:rPr>
        <w:t> </w:t>
      </w:r>
      <w:r>
        <w:rPr/>
        <w:t>Black</w:t>
      </w:r>
      <w:r>
        <w:rPr>
          <w:spacing w:val="-2"/>
        </w:rPr>
        <w:t> </w:t>
      </w:r>
      <w:r>
        <w:rPr/>
        <w:t>Sea.</w:t>
      </w:r>
      <w:r>
        <w:rPr>
          <w:spacing w:val="-2"/>
        </w:rPr>
        <w:t> </w:t>
      </w:r>
      <w:r>
        <w:rPr/>
        <w:t>Limnology</w:t>
      </w:r>
      <w:r>
        <w:rPr>
          <w:spacing w:val="-2"/>
        </w:rPr>
        <w:t> </w:t>
      </w:r>
      <w:r>
        <w:rPr/>
        <w:t>and</w:t>
      </w:r>
      <w:r>
        <w:rPr>
          <w:spacing w:val="1"/>
        </w:rPr>
        <w:t> </w:t>
      </w:r>
      <w:r>
        <w:rPr/>
        <w:t>Oceanography</w:t>
      </w:r>
      <w:r>
        <w:rPr>
          <w:spacing w:val="-2"/>
        </w:rPr>
        <w:t> </w:t>
      </w:r>
      <w:r>
        <w:rPr/>
        <w:t>37,</w:t>
      </w:r>
      <w:r>
        <w:rPr>
          <w:spacing w:val="-2"/>
        </w:rPr>
        <w:t> </w:t>
      </w:r>
      <w:r>
        <w:rPr/>
        <w:t>150–155.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840" w:right="1265" w:hanging="720"/>
      </w:pPr>
      <w:r>
        <w:rPr/>
        <w:t>Ozaki, K., Tajima, S., Tajika, E., 2011. Conditions required for oceanic anoxia/euxinia:</w:t>
      </w:r>
      <w:r>
        <w:rPr>
          <w:spacing w:val="1"/>
        </w:rPr>
        <w:t> </w:t>
      </w:r>
      <w:r>
        <w:rPr/>
        <w:t>Constraints</w:t>
      </w:r>
      <w:r>
        <w:rPr>
          <w:spacing w:val="-7"/>
        </w:rPr>
        <w:t> </w:t>
      </w:r>
      <w:r>
        <w:rPr/>
        <w:t>from</w:t>
      </w:r>
      <w:r>
        <w:rPr>
          <w:spacing w:val="-5"/>
        </w:rPr>
        <w:t> </w:t>
      </w:r>
      <w:r>
        <w:rPr/>
        <w:t>a one-dimensional</w:t>
      </w:r>
      <w:r>
        <w:rPr>
          <w:spacing w:val="1"/>
        </w:rPr>
        <w:t> </w:t>
      </w:r>
      <w:r>
        <w:rPr/>
        <w:t>ocean</w:t>
      </w:r>
      <w:r>
        <w:rPr>
          <w:spacing w:val="-4"/>
        </w:rPr>
        <w:t> </w:t>
      </w:r>
      <w:r>
        <w:rPr/>
        <w:t>biogeochemical</w:t>
      </w:r>
      <w:r>
        <w:rPr>
          <w:spacing w:val="-3"/>
        </w:rPr>
        <w:t> </w:t>
      </w:r>
      <w:r>
        <w:rPr/>
        <w:t>cycle model.</w:t>
      </w:r>
      <w:r>
        <w:rPr>
          <w:spacing w:val="-3"/>
        </w:rPr>
        <w:t> </w:t>
      </w:r>
      <w:r>
        <w:rPr/>
        <w:t>Earth</w:t>
      </w:r>
      <w:r>
        <w:rPr>
          <w:spacing w:val="-3"/>
        </w:rPr>
        <w:t> </w:t>
      </w:r>
      <w:r>
        <w:rPr/>
        <w:t>and</w:t>
      </w:r>
      <w:r>
        <w:rPr>
          <w:spacing w:val="-51"/>
        </w:rPr>
        <w:t> </w:t>
      </w:r>
      <w:r>
        <w:rPr/>
        <w:t>Planetary Science</w:t>
      </w:r>
      <w:r>
        <w:rPr>
          <w:spacing w:val="-1"/>
        </w:rPr>
        <w:t> </w:t>
      </w:r>
      <w:r>
        <w:rPr/>
        <w:t>Letters</w:t>
      </w:r>
      <w:r>
        <w:rPr>
          <w:spacing w:val="-3"/>
        </w:rPr>
        <w:t> </w:t>
      </w:r>
      <w:r>
        <w:rPr/>
        <w:t>304,</w:t>
      </w:r>
      <w:r>
        <w:rPr>
          <w:spacing w:val="-3"/>
        </w:rPr>
        <w:t> </w:t>
      </w:r>
      <w:r>
        <w:rPr/>
        <w:t>270–279.</w:t>
      </w:r>
    </w:p>
    <w:p>
      <w:pPr>
        <w:pStyle w:val="BodyText"/>
        <w:spacing w:before="12"/>
        <w:rPr>
          <w:sz w:val="23"/>
        </w:rPr>
      </w:pPr>
    </w:p>
    <w:p>
      <w:pPr>
        <w:pStyle w:val="BodyText"/>
        <w:ind w:left="120"/>
      </w:pPr>
      <w:r>
        <w:rPr/>
        <w:t>Perry,</w:t>
      </w:r>
      <w:r>
        <w:rPr>
          <w:spacing w:val="-2"/>
        </w:rPr>
        <w:t> </w:t>
      </w:r>
      <w:r>
        <w:rPr/>
        <w:t>W.J.,</w:t>
      </w:r>
      <w:r>
        <w:rPr>
          <w:spacing w:val="-2"/>
        </w:rPr>
        <w:t> </w:t>
      </w:r>
      <w:r>
        <w:rPr/>
        <w:t>Gautier,</w:t>
      </w:r>
      <w:r>
        <w:rPr>
          <w:spacing w:val="-2"/>
        </w:rPr>
        <w:t> </w:t>
      </w:r>
      <w:r>
        <w:rPr/>
        <w:t>D.L.,</w:t>
      </w:r>
      <w:r>
        <w:rPr>
          <w:spacing w:val="-3"/>
        </w:rPr>
        <w:t> </w:t>
      </w:r>
      <w:r>
        <w:rPr/>
        <w:t>Dolton,</w:t>
      </w:r>
      <w:r>
        <w:rPr>
          <w:spacing w:val="-4"/>
        </w:rPr>
        <w:t> </w:t>
      </w:r>
      <w:r>
        <w:rPr/>
        <w:t>G.L.,</w:t>
      </w:r>
      <w:r>
        <w:rPr>
          <w:spacing w:val="-2"/>
        </w:rPr>
        <w:t> </w:t>
      </w:r>
      <w:r>
        <w:rPr/>
        <w:t>Takahashi,</w:t>
      </w:r>
      <w:r>
        <w:rPr>
          <w:spacing w:val="-2"/>
        </w:rPr>
        <w:t> </w:t>
      </w:r>
      <w:r>
        <w:rPr/>
        <w:t>K.I.,</w:t>
      </w:r>
      <w:r>
        <w:rPr>
          <w:spacing w:val="-2"/>
        </w:rPr>
        <w:t> </w:t>
      </w:r>
      <w:r>
        <w:rPr/>
        <w:t>Varnes,</w:t>
      </w:r>
      <w:r>
        <w:rPr>
          <w:spacing w:val="-2"/>
        </w:rPr>
        <w:t> </w:t>
      </w:r>
      <w:r>
        <w:rPr/>
        <w:t>K.L.,</w:t>
      </w:r>
      <w:r>
        <w:rPr>
          <w:spacing w:val="-3"/>
        </w:rPr>
        <w:t> </w:t>
      </w:r>
      <w:r>
        <w:rPr/>
        <w:t>1995.</w:t>
      </w:r>
      <w:r>
        <w:rPr>
          <w:spacing w:val="-4"/>
        </w:rPr>
        <w:t> </w:t>
      </w:r>
      <w:r>
        <w:rPr/>
        <w:t>Arkoma</w:t>
      </w:r>
      <w:r>
        <w:rPr>
          <w:spacing w:val="-2"/>
        </w:rPr>
        <w:t> </w:t>
      </w:r>
      <w:r>
        <w:rPr/>
        <w:t>Basin</w:t>
      </w:r>
      <w:r>
        <w:rPr>
          <w:spacing w:val="-2"/>
        </w:rPr>
        <w:t> </w:t>
      </w:r>
      <w:r>
        <w:rPr/>
        <w:t>Province</w:t>
      </w:r>
    </w:p>
    <w:p>
      <w:pPr>
        <w:pStyle w:val="BodyText"/>
        <w:spacing w:before="2"/>
        <w:ind w:left="840"/>
      </w:pPr>
      <w:r>
        <w:rPr/>
        <w:t>(062) 17.</w:t>
      </w:r>
    </w:p>
    <w:p>
      <w:pPr>
        <w:pStyle w:val="BodyText"/>
      </w:pPr>
    </w:p>
    <w:p>
      <w:pPr>
        <w:pStyle w:val="BodyText"/>
        <w:ind w:left="840" w:right="917" w:hanging="720"/>
      </w:pPr>
      <w:r>
        <w:rPr/>
        <w:t>Peters, K.E., Walters, C.C., Moldowan, J.M., 2005. The Biomarker Guide, Biomarkers and</w:t>
      </w:r>
      <w:r>
        <w:rPr>
          <w:spacing w:val="1"/>
        </w:rPr>
        <w:t> </w:t>
      </w:r>
      <w:r>
        <w:rPr/>
        <w:t>Isotopes</w:t>
      </w:r>
      <w:r>
        <w:rPr>
          <w:spacing w:val="-5"/>
        </w:rPr>
        <w:t> </w:t>
      </w:r>
      <w:r>
        <w:rPr/>
        <w:t>in</w:t>
      </w:r>
      <w:r>
        <w:rPr>
          <w:spacing w:val="-3"/>
        </w:rPr>
        <w:t> </w:t>
      </w:r>
      <w:r>
        <w:rPr/>
        <w:t>Petroleum</w:t>
      </w:r>
      <w:r>
        <w:rPr>
          <w:spacing w:val="-3"/>
        </w:rPr>
        <w:t> </w:t>
      </w:r>
      <w:r>
        <w:rPr/>
        <w:t>Exploration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Earth</w:t>
      </w:r>
      <w:r>
        <w:rPr>
          <w:spacing w:val="-2"/>
        </w:rPr>
        <w:t> </w:t>
      </w:r>
      <w:r>
        <w:rPr/>
        <w:t>History,</w:t>
      </w:r>
      <w:r>
        <w:rPr>
          <w:spacing w:val="-3"/>
        </w:rPr>
        <w:t> </w:t>
      </w:r>
      <w:r>
        <w:rPr/>
        <w:t>2nd</w:t>
      </w:r>
      <w:r>
        <w:rPr>
          <w:spacing w:val="2"/>
        </w:rPr>
        <w:t> </w:t>
      </w:r>
      <w:r>
        <w:rPr/>
        <w:t>ed.</w:t>
      </w:r>
      <w:r>
        <w:rPr>
          <w:spacing w:val="-1"/>
        </w:rPr>
        <w:t> </w:t>
      </w:r>
      <w:r>
        <w:rPr/>
        <w:t>Cambridge</w:t>
      </w:r>
      <w:r>
        <w:rPr>
          <w:spacing w:val="-2"/>
        </w:rPr>
        <w:t> </w:t>
      </w:r>
      <w:r>
        <w:rPr/>
        <w:t>University</w:t>
      </w:r>
      <w:r>
        <w:rPr>
          <w:spacing w:val="-51"/>
        </w:rPr>
        <w:t> </w:t>
      </w:r>
      <w:r>
        <w:rPr/>
        <w:t>Press,</w:t>
      </w:r>
      <w:r>
        <w:rPr>
          <w:spacing w:val="-3"/>
        </w:rPr>
        <w:t> </w:t>
      </w:r>
      <w:r>
        <w:rPr/>
        <w:t>Cambridge.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840" w:right="660" w:hanging="720"/>
      </w:pPr>
      <w:r>
        <w:rPr/>
        <w:t>Philp, R.P., DeGarmo, C.D., 2020. Geochemical characterization of the Devonian-Mississippian</w:t>
      </w:r>
      <w:r>
        <w:rPr>
          <w:spacing w:val="1"/>
        </w:rPr>
        <w:t> </w:t>
      </w:r>
      <w:r>
        <w:rPr/>
        <w:t>Woodford</w:t>
      </w:r>
      <w:r>
        <w:rPr>
          <w:spacing w:val="-4"/>
        </w:rPr>
        <w:t> </w:t>
      </w:r>
      <w:r>
        <w:rPr/>
        <w:t>Shale</w:t>
      </w:r>
      <w:r>
        <w:rPr>
          <w:spacing w:val="1"/>
        </w:rPr>
        <w:t> </w:t>
      </w:r>
      <w:r>
        <w:rPr/>
        <w:t>from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McAlister</w:t>
      </w:r>
      <w:r>
        <w:rPr>
          <w:spacing w:val="-2"/>
        </w:rPr>
        <w:t> </w:t>
      </w:r>
      <w:r>
        <w:rPr/>
        <w:t>Cemetery</w:t>
      </w:r>
      <w:r>
        <w:rPr>
          <w:spacing w:val="-3"/>
        </w:rPr>
        <w:t> </w:t>
      </w:r>
      <w:r>
        <w:rPr/>
        <w:t>Quarry,</w:t>
      </w:r>
      <w:r>
        <w:rPr>
          <w:spacing w:val="-4"/>
        </w:rPr>
        <w:t> </w:t>
      </w:r>
      <w:r>
        <w:rPr/>
        <w:t>Criner</w:t>
      </w:r>
      <w:r>
        <w:rPr>
          <w:spacing w:val="-4"/>
        </w:rPr>
        <w:t> </w:t>
      </w:r>
      <w:r>
        <w:rPr/>
        <w:t>Hills</w:t>
      </w:r>
      <w:r>
        <w:rPr>
          <w:spacing w:val="-3"/>
        </w:rPr>
        <w:t> </w:t>
      </w:r>
      <w:r>
        <w:rPr/>
        <w:t>Uplift,</w:t>
      </w:r>
      <w:r>
        <w:rPr>
          <w:spacing w:val="-2"/>
        </w:rPr>
        <w:t> </w:t>
      </w:r>
      <w:r>
        <w:rPr/>
        <w:t>Ardmore</w:t>
      </w:r>
      <w:r>
        <w:rPr>
          <w:spacing w:val="-4"/>
        </w:rPr>
        <w:t> </w:t>
      </w:r>
      <w:r>
        <w:rPr/>
        <w:t>Basin,</w:t>
      </w:r>
      <w:r>
        <w:rPr>
          <w:spacing w:val="-51"/>
        </w:rPr>
        <w:t> </w:t>
      </w:r>
      <w:r>
        <w:rPr/>
        <w:t>Oklahoma.</w:t>
      </w:r>
      <w:r>
        <w:rPr>
          <w:spacing w:val="-2"/>
        </w:rPr>
        <w:t> </w:t>
      </w:r>
      <w:r>
        <w:rPr/>
        <w:t>Marine</w:t>
      </w:r>
      <w:r>
        <w:rPr>
          <w:spacing w:val="-1"/>
        </w:rPr>
        <w:t> </w:t>
      </w:r>
      <w:r>
        <w:rPr/>
        <w:t>and</w:t>
      </w:r>
      <w:r>
        <w:rPr>
          <w:spacing w:val="1"/>
        </w:rPr>
        <w:t> </w:t>
      </w:r>
      <w:r>
        <w:rPr/>
        <w:t>Petroleum</w:t>
      </w:r>
      <w:r>
        <w:rPr>
          <w:spacing w:val="-1"/>
        </w:rPr>
        <w:t> </w:t>
      </w:r>
      <w:r>
        <w:rPr/>
        <w:t>Geology</w:t>
      </w:r>
      <w:r>
        <w:rPr>
          <w:spacing w:val="-2"/>
        </w:rPr>
        <w:t> </w:t>
      </w:r>
      <w:r>
        <w:rPr/>
        <w:t>112,</w:t>
      </w:r>
      <w:r>
        <w:rPr>
          <w:spacing w:val="-3"/>
        </w:rPr>
        <w:t> </w:t>
      </w:r>
      <w:r>
        <w:rPr/>
        <w:t>104078.</w:t>
      </w:r>
    </w:p>
    <w:p>
      <w:pPr>
        <w:pStyle w:val="BodyText"/>
        <w:spacing w:before="12"/>
        <w:rPr>
          <w:sz w:val="23"/>
        </w:rPr>
      </w:pPr>
    </w:p>
    <w:p>
      <w:pPr>
        <w:pStyle w:val="BodyText"/>
        <w:ind w:left="840" w:right="660" w:hanging="720"/>
      </w:pPr>
      <w:r>
        <w:rPr/>
        <w:t>Portas,</w:t>
      </w:r>
      <w:r>
        <w:rPr>
          <w:spacing w:val="-5"/>
        </w:rPr>
        <w:t> </w:t>
      </w:r>
      <w:r>
        <w:rPr/>
        <w:t>R.M.,</w:t>
      </w:r>
      <w:r>
        <w:rPr>
          <w:spacing w:val="-2"/>
        </w:rPr>
        <w:t> </w:t>
      </w:r>
      <w:r>
        <w:rPr/>
        <w:t>Slatt,</w:t>
      </w:r>
      <w:r>
        <w:rPr>
          <w:spacing w:val="1"/>
        </w:rPr>
        <w:t> </w:t>
      </w:r>
      <w:r>
        <w:rPr/>
        <w:t>R.,</w:t>
      </w:r>
      <w:r>
        <w:rPr>
          <w:spacing w:val="-3"/>
        </w:rPr>
        <w:t> </w:t>
      </w:r>
      <w:r>
        <w:rPr/>
        <w:t>2010.</w:t>
      </w:r>
      <w:r>
        <w:rPr>
          <w:spacing w:val="-3"/>
        </w:rPr>
        <w:t> </w:t>
      </w:r>
      <w:r>
        <w:rPr/>
        <w:t>Characterization</w:t>
      </w:r>
      <w:r>
        <w:rPr>
          <w:spacing w:val="-2"/>
        </w:rPr>
        <w:t> </w:t>
      </w:r>
      <w:r>
        <w:rPr/>
        <w:t>and</w:t>
      </w:r>
      <w:r>
        <w:rPr>
          <w:spacing w:val="-4"/>
        </w:rPr>
        <w:t> </w:t>
      </w:r>
      <w:r>
        <w:rPr/>
        <w:t>Origin</w:t>
      </w:r>
      <w:r>
        <w:rPr>
          <w:spacing w:val="2"/>
        </w:rPr>
        <w:t> </w:t>
      </w:r>
      <w:r>
        <w:rPr/>
        <w:t>of</w:t>
      </w:r>
      <w:r>
        <w:rPr>
          <w:spacing w:val="-3"/>
        </w:rPr>
        <w:t> </w:t>
      </w:r>
      <w:r>
        <w:rPr/>
        <w:t>Fracture</w:t>
      </w:r>
      <w:r>
        <w:rPr>
          <w:spacing w:val="-2"/>
        </w:rPr>
        <w:t> </w:t>
      </w:r>
      <w:r>
        <w:rPr/>
        <w:t>Patterns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Woodford</w:t>
      </w:r>
      <w:r>
        <w:rPr>
          <w:spacing w:val="-52"/>
        </w:rPr>
        <w:t> </w:t>
      </w:r>
      <w:r>
        <w:rPr/>
        <w:t>Shale Quarry in Southeastern Oklahoma for Application to Exploration and</w:t>
      </w:r>
      <w:r>
        <w:rPr>
          <w:spacing w:val="1"/>
        </w:rPr>
        <w:t> </w:t>
      </w:r>
      <w:r>
        <w:rPr/>
        <w:t>Development; #50352</w:t>
      </w:r>
      <w:r>
        <w:rPr>
          <w:spacing w:val="-2"/>
        </w:rPr>
        <w:t> </w:t>
      </w:r>
      <w:r>
        <w:rPr/>
        <w:t>(2010).</w:t>
      </w:r>
    </w:p>
    <w:p>
      <w:pPr>
        <w:pStyle w:val="BodyText"/>
        <w:spacing w:before="1"/>
      </w:pPr>
    </w:p>
    <w:p>
      <w:pPr>
        <w:pStyle w:val="BodyText"/>
        <w:spacing w:before="1"/>
        <w:ind w:left="840" w:right="660" w:hanging="720"/>
      </w:pPr>
      <w:r>
        <w:rPr/>
        <w:t>Posamentier,</w:t>
      </w:r>
      <w:r>
        <w:rPr>
          <w:spacing w:val="-4"/>
        </w:rPr>
        <w:t> </w:t>
      </w:r>
      <w:r>
        <w:rPr/>
        <w:t>H.W.,</w:t>
      </w:r>
      <w:r>
        <w:rPr>
          <w:spacing w:val="-4"/>
        </w:rPr>
        <w:t> </w:t>
      </w:r>
      <w:r>
        <w:rPr/>
        <w:t>Jervey,</w:t>
      </w:r>
      <w:r>
        <w:rPr>
          <w:spacing w:val="-1"/>
        </w:rPr>
        <w:t> </w:t>
      </w:r>
      <w:r>
        <w:rPr/>
        <w:t>M.T.,</w:t>
      </w:r>
      <w:r>
        <w:rPr>
          <w:spacing w:val="-2"/>
        </w:rPr>
        <w:t> </w:t>
      </w:r>
      <w:r>
        <w:rPr/>
        <w:t>Vail,</w:t>
      </w:r>
      <w:r>
        <w:rPr>
          <w:spacing w:val="-3"/>
        </w:rPr>
        <w:t> </w:t>
      </w:r>
      <w:r>
        <w:rPr/>
        <w:t>P.R.,</w:t>
      </w:r>
      <w:r>
        <w:rPr>
          <w:spacing w:val="-2"/>
        </w:rPr>
        <w:t> </w:t>
      </w:r>
      <w:r>
        <w:rPr/>
        <w:t>1988.</w:t>
      </w:r>
      <w:r>
        <w:rPr>
          <w:spacing w:val="-1"/>
        </w:rPr>
        <w:t> </w:t>
      </w:r>
      <w:r>
        <w:rPr/>
        <w:t>Eustatic</w:t>
      </w:r>
      <w:r>
        <w:rPr>
          <w:spacing w:val="-1"/>
        </w:rPr>
        <w:t> </w:t>
      </w:r>
      <w:r>
        <w:rPr/>
        <w:t>Controls</w:t>
      </w:r>
      <w:r>
        <w:rPr>
          <w:spacing w:val="-3"/>
        </w:rPr>
        <w:t> </w:t>
      </w:r>
      <w:r>
        <w:rPr/>
        <w:t>on</w:t>
      </w:r>
      <w:r>
        <w:rPr>
          <w:spacing w:val="-2"/>
        </w:rPr>
        <w:t> </w:t>
      </w:r>
      <w:r>
        <w:rPr/>
        <w:t>Clastic</w:t>
      </w:r>
      <w:r>
        <w:rPr>
          <w:spacing w:val="-2"/>
        </w:rPr>
        <w:t> </w:t>
      </w:r>
      <w:r>
        <w:rPr/>
        <w:t>Deposition</w:t>
      </w:r>
      <w:r>
        <w:rPr>
          <w:spacing w:val="-3"/>
        </w:rPr>
        <w:t> </w:t>
      </w:r>
      <w:r>
        <w:rPr/>
        <w:t>I—</w:t>
      </w:r>
      <w:r>
        <w:rPr>
          <w:spacing w:val="-51"/>
        </w:rPr>
        <w:t> </w:t>
      </w:r>
      <w:r>
        <w:rPr/>
        <w:t>conceptual</w:t>
      </w:r>
      <w:r>
        <w:rPr>
          <w:spacing w:val="-2"/>
        </w:rPr>
        <w:t> </w:t>
      </w:r>
      <w:r>
        <w:rPr/>
        <w:t>Framework.</w:t>
      </w:r>
      <w:r>
        <w:rPr>
          <w:spacing w:val="-2"/>
        </w:rPr>
        <w:t> </w:t>
      </w:r>
      <w:r>
        <w:rPr/>
        <w:t>SEPM</w:t>
      </w:r>
      <w:r>
        <w:rPr>
          <w:spacing w:val="3"/>
        </w:rPr>
        <w:t> </w:t>
      </w:r>
      <w:r>
        <w:rPr/>
        <w:t>Special Publication</w:t>
      </w:r>
      <w:r>
        <w:rPr>
          <w:spacing w:val="-3"/>
        </w:rPr>
        <w:t> </w:t>
      </w:r>
      <w:r>
        <w:rPr/>
        <w:t>42.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840" w:right="963" w:hanging="720"/>
      </w:pPr>
      <w:r>
        <w:rPr/>
        <w:t>Posamentier,</w:t>
      </w:r>
      <w:r>
        <w:rPr>
          <w:spacing w:val="-4"/>
        </w:rPr>
        <w:t> </w:t>
      </w:r>
      <w:r>
        <w:rPr/>
        <w:t>H.W.,</w:t>
      </w:r>
      <w:r>
        <w:rPr>
          <w:spacing w:val="-3"/>
        </w:rPr>
        <w:t> </w:t>
      </w:r>
      <w:r>
        <w:rPr/>
        <w:t>Vail,</w:t>
      </w:r>
      <w:r>
        <w:rPr>
          <w:spacing w:val="-2"/>
        </w:rPr>
        <w:t> </w:t>
      </w:r>
      <w:r>
        <w:rPr/>
        <w:t>P.R.,</w:t>
      </w:r>
      <w:r>
        <w:rPr>
          <w:spacing w:val="-2"/>
        </w:rPr>
        <w:t> </w:t>
      </w:r>
      <w:r>
        <w:rPr/>
        <w:t>1988.</w:t>
      </w:r>
      <w:r>
        <w:rPr>
          <w:spacing w:val="-4"/>
        </w:rPr>
        <w:t> </w:t>
      </w:r>
      <w:r>
        <w:rPr/>
        <w:t>Eustatic</w:t>
      </w:r>
      <w:r>
        <w:rPr>
          <w:spacing w:val="-2"/>
        </w:rPr>
        <w:t> </w:t>
      </w:r>
      <w:r>
        <w:rPr/>
        <w:t>Controls</w:t>
      </w:r>
      <w:r>
        <w:rPr>
          <w:spacing w:val="-1"/>
        </w:rPr>
        <w:t> </w:t>
      </w:r>
      <w:r>
        <w:rPr/>
        <w:t>on</w:t>
      </w:r>
      <w:r>
        <w:rPr>
          <w:spacing w:val="-3"/>
        </w:rPr>
        <w:t> </w:t>
      </w:r>
      <w:r>
        <w:rPr/>
        <w:t>Clastic</w:t>
      </w:r>
      <w:r>
        <w:rPr>
          <w:spacing w:val="-2"/>
        </w:rPr>
        <w:t> </w:t>
      </w:r>
      <w:r>
        <w:rPr/>
        <w:t>Deposition</w:t>
      </w:r>
      <w:r>
        <w:rPr>
          <w:spacing w:val="-1"/>
        </w:rPr>
        <w:t> </w:t>
      </w:r>
      <w:r>
        <w:rPr/>
        <w:t>II—Sequence</w:t>
      </w:r>
      <w:r>
        <w:rPr>
          <w:spacing w:val="-1"/>
        </w:rPr>
        <w:t> </w:t>
      </w:r>
      <w:r>
        <w:rPr/>
        <w:t>and</w:t>
      </w:r>
      <w:r>
        <w:rPr>
          <w:spacing w:val="-52"/>
        </w:rPr>
        <w:t> </w:t>
      </w:r>
      <w:r>
        <w:rPr/>
        <w:t>Systems</w:t>
      </w:r>
      <w:r>
        <w:rPr>
          <w:spacing w:val="-2"/>
        </w:rPr>
        <w:t> </w:t>
      </w:r>
      <w:r>
        <w:rPr/>
        <w:t>Tract</w:t>
      </w:r>
      <w:r>
        <w:rPr>
          <w:spacing w:val="3"/>
        </w:rPr>
        <w:t> </w:t>
      </w:r>
      <w:r>
        <w:rPr/>
        <w:t>Models.</w:t>
      </w:r>
      <w:r>
        <w:rPr>
          <w:spacing w:val="-1"/>
        </w:rPr>
        <w:t> </w:t>
      </w:r>
      <w:r>
        <w:rPr/>
        <w:t>SEPM</w:t>
      </w:r>
      <w:r>
        <w:rPr>
          <w:spacing w:val="2"/>
        </w:rPr>
        <w:t> </w:t>
      </w:r>
      <w:r>
        <w:rPr/>
        <w:t>Special</w:t>
      </w:r>
      <w:r>
        <w:rPr>
          <w:spacing w:val="-2"/>
        </w:rPr>
        <w:t> </w:t>
      </w:r>
      <w:r>
        <w:rPr/>
        <w:t>Publication</w:t>
      </w:r>
      <w:r>
        <w:rPr>
          <w:spacing w:val="-1"/>
        </w:rPr>
        <w:t> </w:t>
      </w:r>
      <w:r>
        <w:rPr/>
        <w:t>42.</w:t>
      </w:r>
    </w:p>
    <w:p>
      <w:pPr>
        <w:pStyle w:val="BodyText"/>
      </w:pPr>
    </w:p>
    <w:p>
      <w:pPr>
        <w:pStyle w:val="BodyText"/>
        <w:ind w:left="840" w:hanging="720"/>
      </w:pPr>
      <w:r>
        <w:rPr/>
        <w:t>Pyle,</w:t>
      </w:r>
      <w:r>
        <w:rPr>
          <w:spacing w:val="-2"/>
        </w:rPr>
        <w:t> </w:t>
      </w:r>
      <w:r>
        <w:rPr/>
        <w:t>D.M.,</w:t>
      </w:r>
      <w:r>
        <w:rPr>
          <w:spacing w:val="-2"/>
        </w:rPr>
        <w:t> </w:t>
      </w:r>
      <w:r>
        <w:rPr/>
        <w:t>Mather,</w:t>
      </w:r>
      <w:r>
        <w:rPr>
          <w:spacing w:val="-2"/>
        </w:rPr>
        <w:t> </w:t>
      </w:r>
      <w:r>
        <w:rPr/>
        <w:t>T.A.,</w:t>
      </w:r>
      <w:r>
        <w:rPr>
          <w:spacing w:val="-3"/>
        </w:rPr>
        <w:t> </w:t>
      </w:r>
      <w:r>
        <w:rPr/>
        <w:t>2003.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importance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volcanic</w:t>
      </w:r>
      <w:r>
        <w:rPr>
          <w:spacing w:val="-2"/>
        </w:rPr>
        <w:t> </w:t>
      </w:r>
      <w:r>
        <w:rPr/>
        <w:t>emissions</w:t>
      </w:r>
      <w:r>
        <w:rPr>
          <w:spacing w:val="-4"/>
        </w:rPr>
        <w:t> </w:t>
      </w:r>
      <w:r>
        <w:rPr/>
        <w:t>for the</w:t>
      </w:r>
      <w:r>
        <w:rPr>
          <w:spacing w:val="2"/>
        </w:rPr>
        <w:t> </w:t>
      </w:r>
      <w:r>
        <w:rPr/>
        <w:t>global</w:t>
      </w:r>
      <w:r>
        <w:rPr>
          <w:spacing w:val="-4"/>
        </w:rPr>
        <w:t> </w:t>
      </w:r>
      <w:r>
        <w:rPr/>
        <w:t>atmospheric</w:t>
      </w:r>
      <w:r>
        <w:rPr>
          <w:spacing w:val="-51"/>
        </w:rPr>
        <w:t> </w:t>
      </w:r>
      <w:r>
        <w:rPr/>
        <w:t>mercury</w:t>
      </w:r>
      <w:r>
        <w:rPr>
          <w:spacing w:val="-2"/>
        </w:rPr>
        <w:t> </w:t>
      </w:r>
      <w:r>
        <w:rPr/>
        <w:t>cycle.</w:t>
      </w:r>
      <w:r>
        <w:rPr>
          <w:spacing w:val="-1"/>
        </w:rPr>
        <w:t> </w:t>
      </w:r>
      <w:r>
        <w:rPr/>
        <w:t>Atmospheric</w:t>
      </w:r>
      <w:r>
        <w:rPr>
          <w:spacing w:val="-1"/>
        </w:rPr>
        <w:t> </w:t>
      </w:r>
      <w:r>
        <w:rPr/>
        <w:t>Environment</w:t>
      </w:r>
      <w:r>
        <w:rPr>
          <w:spacing w:val="-2"/>
        </w:rPr>
        <w:t> </w:t>
      </w:r>
      <w:r>
        <w:rPr/>
        <w:t>37,</w:t>
      </w:r>
      <w:r>
        <w:rPr>
          <w:spacing w:val="-3"/>
        </w:rPr>
        <w:t> </w:t>
      </w:r>
      <w:r>
        <w:rPr/>
        <w:t>5115–5124.</w:t>
      </w:r>
    </w:p>
    <w:p>
      <w:pPr>
        <w:spacing w:after="0"/>
        <w:sectPr>
          <w:pgSz w:w="12240" w:h="15840"/>
          <w:pgMar w:header="0" w:footer="934" w:top="1400" w:bottom="1200" w:left="1320" w:right="820"/>
        </w:sectPr>
      </w:pPr>
    </w:p>
    <w:p>
      <w:pPr>
        <w:pStyle w:val="BodyText"/>
        <w:spacing w:before="10"/>
        <w:rPr>
          <w:sz w:val="14"/>
        </w:rPr>
      </w:pPr>
    </w:p>
    <w:p>
      <w:pPr>
        <w:pStyle w:val="BodyText"/>
        <w:spacing w:before="51"/>
        <w:ind w:left="840" w:right="664" w:hanging="720"/>
      </w:pPr>
      <w:r>
        <w:rPr/>
        <w:t>Qian, K., Edwards, K.E., Mennito, A.S., Walters, C.C., Kushnerick, J.D., 2010. Enrichment,</w:t>
      </w:r>
      <w:r>
        <w:rPr>
          <w:spacing w:val="1"/>
        </w:rPr>
        <w:t> </w:t>
      </w:r>
      <w:r>
        <w:rPr/>
        <w:t>Resolution, and Identification of Nickel Porphyrins in Petroleum Asphaltene by</w:t>
      </w:r>
      <w:r>
        <w:rPr>
          <w:spacing w:val="1"/>
        </w:rPr>
        <w:t> </w:t>
      </w:r>
      <w:r>
        <w:rPr/>
        <w:t>Cyclograph</w:t>
      </w:r>
      <w:r>
        <w:rPr>
          <w:spacing w:val="-1"/>
        </w:rPr>
        <w:t> </w:t>
      </w:r>
      <w:r>
        <w:rPr/>
        <w:t>Separation</w:t>
      </w:r>
      <w:r>
        <w:rPr>
          <w:spacing w:val="-4"/>
        </w:rPr>
        <w:t> </w:t>
      </w:r>
      <w:r>
        <w:rPr/>
        <w:t>and</w:t>
      </w:r>
      <w:r>
        <w:rPr>
          <w:spacing w:val="-1"/>
        </w:rPr>
        <w:t> </w:t>
      </w:r>
      <w:r>
        <w:rPr/>
        <w:t>Atmospheric</w:t>
      </w:r>
      <w:r>
        <w:rPr>
          <w:spacing w:val="-3"/>
        </w:rPr>
        <w:t> </w:t>
      </w:r>
      <w:r>
        <w:rPr/>
        <w:t>Pressure</w:t>
      </w:r>
      <w:r>
        <w:rPr>
          <w:spacing w:val="-5"/>
        </w:rPr>
        <w:t> </w:t>
      </w:r>
      <w:r>
        <w:rPr/>
        <w:t>Photoionization</w:t>
      </w:r>
      <w:r>
        <w:rPr>
          <w:spacing w:val="-4"/>
        </w:rPr>
        <w:t> </w:t>
      </w:r>
      <w:r>
        <w:rPr/>
        <w:t>Fourier</w:t>
      </w:r>
      <w:r>
        <w:rPr>
          <w:spacing w:val="-5"/>
        </w:rPr>
        <w:t> </w:t>
      </w:r>
      <w:r>
        <w:rPr/>
        <w:t>Transform</w:t>
      </w:r>
      <w:r>
        <w:rPr>
          <w:spacing w:val="-4"/>
        </w:rPr>
        <w:t> </w:t>
      </w:r>
      <w:r>
        <w:rPr/>
        <w:t>Ion</w:t>
      </w:r>
      <w:r>
        <w:rPr>
          <w:spacing w:val="-51"/>
        </w:rPr>
        <w:t> </w:t>
      </w:r>
      <w:r>
        <w:rPr/>
        <w:t>Cyclotron</w:t>
      </w:r>
      <w:r>
        <w:rPr>
          <w:spacing w:val="-2"/>
        </w:rPr>
        <w:t> </w:t>
      </w:r>
      <w:r>
        <w:rPr/>
        <w:t>Resonance</w:t>
      </w:r>
      <w:r>
        <w:rPr>
          <w:spacing w:val="-2"/>
        </w:rPr>
        <w:t> </w:t>
      </w:r>
      <w:r>
        <w:rPr/>
        <w:t>Mass</w:t>
      </w:r>
      <w:r>
        <w:rPr>
          <w:spacing w:val="-1"/>
        </w:rPr>
        <w:t> </w:t>
      </w:r>
      <w:r>
        <w:rPr/>
        <w:t>Spectrometry.</w:t>
      </w:r>
      <w:r>
        <w:rPr>
          <w:spacing w:val="-3"/>
        </w:rPr>
        <w:t> </w:t>
      </w:r>
      <w:r>
        <w:rPr/>
        <w:t>Analytical</w:t>
      </w:r>
      <w:r>
        <w:rPr>
          <w:spacing w:val="-1"/>
        </w:rPr>
        <w:t> </w:t>
      </w:r>
      <w:r>
        <w:rPr/>
        <w:t>Chemistry</w:t>
      </w:r>
      <w:r>
        <w:rPr>
          <w:spacing w:val="-2"/>
        </w:rPr>
        <w:t> </w:t>
      </w:r>
      <w:r>
        <w:rPr/>
        <w:t>82,</w:t>
      </w:r>
      <w:r>
        <w:rPr>
          <w:spacing w:val="-3"/>
        </w:rPr>
        <w:t> </w:t>
      </w:r>
      <w:r>
        <w:rPr/>
        <w:t>413–419.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120"/>
      </w:pPr>
      <w:r>
        <w:rPr/>
        <w:t>Racki,</w:t>
      </w:r>
      <w:r>
        <w:rPr>
          <w:spacing w:val="-3"/>
        </w:rPr>
        <w:t> </w:t>
      </w:r>
      <w:r>
        <w:rPr/>
        <w:t>G.,</w:t>
      </w:r>
      <w:r>
        <w:rPr>
          <w:spacing w:val="-3"/>
        </w:rPr>
        <w:t> </w:t>
      </w:r>
      <w:r>
        <w:rPr/>
        <w:t>1999.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Frasnian–Famennian</w:t>
      </w:r>
      <w:r>
        <w:rPr>
          <w:spacing w:val="-3"/>
        </w:rPr>
        <w:t> </w:t>
      </w:r>
      <w:r>
        <w:rPr/>
        <w:t>biotic</w:t>
      </w:r>
      <w:r>
        <w:rPr>
          <w:spacing w:val="-3"/>
        </w:rPr>
        <w:t> </w:t>
      </w:r>
      <w:r>
        <w:rPr/>
        <w:t>crisis: How</w:t>
      </w:r>
      <w:r>
        <w:rPr>
          <w:spacing w:val="-3"/>
        </w:rPr>
        <w:t> </w:t>
      </w:r>
      <w:r>
        <w:rPr/>
        <w:t>many</w:t>
      </w:r>
      <w:r>
        <w:rPr>
          <w:spacing w:val="-4"/>
        </w:rPr>
        <w:t> </w:t>
      </w:r>
      <w:r>
        <w:rPr/>
        <w:t>(if</w:t>
      </w:r>
      <w:r>
        <w:rPr>
          <w:spacing w:val="-3"/>
        </w:rPr>
        <w:t> </w:t>
      </w:r>
      <w:r>
        <w:rPr/>
        <w:t>any)</w:t>
      </w:r>
      <w:r>
        <w:rPr>
          <w:spacing w:val="-4"/>
        </w:rPr>
        <w:t> </w:t>
      </w:r>
      <w:r>
        <w:rPr/>
        <w:t>bolide</w:t>
      </w:r>
      <w:r>
        <w:rPr>
          <w:spacing w:val="1"/>
        </w:rPr>
        <w:t> </w:t>
      </w:r>
      <w:r>
        <w:rPr/>
        <w:t>impacts?</w:t>
      </w:r>
    </w:p>
    <w:p>
      <w:pPr>
        <w:pStyle w:val="BodyText"/>
        <w:ind w:left="840"/>
      </w:pPr>
      <w:r>
        <w:rPr/>
        <w:t>Geologische Rundschau</w:t>
      </w:r>
      <w:r>
        <w:rPr>
          <w:spacing w:val="-4"/>
        </w:rPr>
        <w:t> </w:t>
      </w:r>
      <w:r>
        <w:rPr/>
        <w:t>87, 617–632.</w:t>
      </w:r>
    </w:p>
    <w:p>
      <w:pPr>
        <w:pStyle w:val="BodyText"/>
        <w:spacing w:before="2"/>
      </w:pPr>
    </w:p>
    <w:p>
      <w:pPr>
        <w:pStyle w:val="BodyText"/>
        <w:ind w:left="840" w:right="800" w:hanging="720"/>
      </w:pPr>
      <w:r>
        <w:rPr/>
        <w:t>Rakociński, M., Marynowski, L., Pisarzowska, A., Bełdowski, J., Siedlewicz, G., Zatoń, M., Perri,</w:t>
      </w:r>
      <w:r>
        <w:rPr>
          <w:spacing w:val="1"/>
        </w:rPr>
        <w:t> </w:t>
      </w:r>
      <w:r>
        <w:rPr/>
        <w:t>M.C.,</w:t>
      </w:r>
      <w:r>
        <w:rPr>
          <w:spacing w:val="-3"/>
        </w:rPr>
        <w:t> </w:t>
      </w:r>
      <w:r>
        <w:rPr/>
        <w:t>Spalletta,</w:t>
      </w:r>
      <w:r>
        <w:rPr>
          <w:spacing w:val="-4"/>
        </w:rPr>
        <w:t> </w:t>
      </w:r>
      <w:r>
        <w:rPr/>
        <w:t>C.,</w:t>
      </w:r>
      <w:r>
        <w:rPr>
          <w:spacing w:val="-3"/>
        </w:rPr>
        <w:t> </w:t>
      </w:r>
      <w:r>
        <w:rPr/>
        <w:t>Schönlaub,</w:t>
      </w:r>
      <w:r>
        <w:rPr>
          <w:spacing w:val="-2"/>
        </w:rPr>
        <w:t> </w:t>
      </w:r>
      <w:r>
        <w:rPr/>
        <w:t>H.P.,</w:t>
      </w:r>
      <w:r>
        <w:rPr>
          <w:spacing w:val="-3"/>
        </w:rPr>
        <w:t> </w:t>
      </w:r>
      <w:r>
        <w:rPr/>
        <w:t>2020.</w:t>
      </w:r>
      <w:r>
        <w:rPr>
          <w:spacing w:val="-3"/>
        </w:rPr>
        <w:t> </w:t>
      </w:r>
      <w:r>
        <w:rPr/>
        <w:t>Volcanic</w:t>
      </w:r>
      <w:r>
        <w:rPr>
          <w:spacing w:val="-2"/>
        </w:rPr>
        <w:t> </w:t>
      </w:r>
      <w:r>
        <w:rPr/>
        <w:t>related</w:t>
      </w:r>
      <w:r>
        <w:rPr>
          <w:spacing w:val="2"/>
        </w:rPr>
        <w:t> </w:t>
      </w:r>
      <w:r>
        <w:rPr/>
        <w:t>methylmercury</w:t>
      </w:r>
      <w:r>
        <w:rPr>
          <w:spacing w:val="-6"/>
        </w:rPr>
        <w:t> </w:t>
      </w:r>
      <w:r>
        <w:rPr/>
        <w:t>poisoning</w:t>
      </w:r>
      <w:r>
        <w:rPr>
          <w:spacing w:val="-2"/>
        </w:rPr>
        <w:t> </w:t>
      </w:r>
      <w:r>
        <w:rPr/>
        <w:t>as</w:t>
      </w:r>
      <w:r>
        <w:rPr>
          <w:spacing w:val="-51"/>
        </w:rPr>
        <w:t> </w:t>
      </w:r>
      <w:r>
        <w:rPr/>
        <w:t>the</w:t>
      </w:r>
      <w:r>
        <w:rPr>
          <w:spacing w:val="-3"/>
        </w:rPr>
        <w:t> </w:t>
      </w:r>
      <w:r>
        <w:rPr/>
        <w:t>possible</w:t>
      </w:r>
      <w:r>
        <w:rPr>
          <w:spacing w:val="-2"/>
        </w:rPr>
        <w:t> </w:t>
      </w:r>
      <w:r>
        <w:rPr/>
        <w:t>driver 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end-Devonian</w:t>
      </w:r>
      <w:r>
        <w:rPr>
          <w:spacing w:val="-2"/>
        </w:rPr>
        <w:t> </w:t>
      </w:r>
      <w:r>
        <w:rPr/>
        <w:t>Mass</w:t>
      </w:r>
      <w:r>
        <w:rPr>
          <w:spacing w:val="-2"/>
        </w:rPr>
        <w:t> </w:t>
      </w:r>
      <w:r>
        <w:rPr/>
        <w:t>Extinction.</w:t>
      </w:r>
      <w:r>
        <w:rPr>
          <w:spacing w:val="-4"/>
        </w:rPr>
        <w:t> </w:t>
      </w:r>
      <w:r>
        <w:rPr/>
        <w:t>Scientific</w:t>
      </w:r>
      <w:r>
        <w:rPr>
          <w:spacing w:val="-2"/>
        </w:rPr>
        <w:t> </w:t>
      </w:r>
      <w:r>
        <w:rPr/>
        <w:t>Reports</w:t>
      </w:r>
      <w:r>
        <w:rPr>
          <w:spacing w:val="-1"/>
        </w:rPr>
        <w:t> </w:t>
      </w:r>
      <w:r>
        <w:rPr/>
        <w:t>10,</w:t>
      </w:r>
      <w:r>
        <w:rPr>
          <w:spacing w:val="-3"/>
        </w:rPr>
        <w:t> </w:t>
      </w:r>
      <w:r>
        <w:rPr/>
        <w:t>7344.</w:t>
      </w:r>
    </w:p>
    <w:p>
      <w:pPr>
        <w:pStyle w:val="BodyText"/>
        <w:spacing w:before="12"/>
        <w:rPr>
          <w:sz w:val="23"/>
        </w:rPr>
      </w:pPr>
    </w:p>
    <w:p>
      <w:pPr>
        <w:pStyle w:val="BodyText"/>
        <w:ind w:left="840" w:right="906" w:hanging="720"/>
      </w:pPr>
      <w:r>
        <w:rPr/>
        <w:t>Romero, A.M., Philp, R.P., 2012. Organic geochemistry of the Woodford Shale, southeastern</w:t>
      </w:r>
      <w:r>
        <w:rPr>
          <w:spacing w:val="1"/>
        </w:rPr>
        <w:t> </w:t>
      </w:r>
      <w:r>
        <w:rPr/>
        <w:t>Oklahoma:</w:t>
      </w:r>
      <w:r>
        <w:rPr>
          <w:spacing w:val="-3"/>
        </w:rPr>
        <w:t> </w:t>
      </w:r>
      <w:r>
        <w:rPr/>
        <w:t>How</w:t>
      </w:r>
      <w:r>
        <w:rPr>
          <w:spacing w:val="-3"/>
        </w:rPr>
        <w:t> </w:t>
      </w:r>
      <w:r>
        <w:rPr/>
        <w:t>variable</w:t>
      </w:r>
      <w:r>
        <w:rPr>
          <w:spacing w:val="-3"/>
        </w:rPr>
        <w:t> </w:t>
      </w:r>
      <w:r>
        <w:rPr/>
        <w:t>can</w:t>
      </w:r>
      <w:r>
        <w:rPr>
          <w:spacing w:val="2"/>
        </w:rPr>
        <w:t> </w:t>
      </w:r>
      <w:r>
        <w:rPr/>
        <w:t>shales</w:t>
      </w:r>
      <w:r>
        <w:rPr>
          <w:spacing w:val="-4"/>
        </w:rPr>
        <w:t> </w:t>
      </w:r>
      <w:r>
        <w:rPr/>
        <w:t>be?Organic</w:t>
      </w:r>
      <w:r>
        <w:rPr>
          <w:spacing w:val="-5"/>
        </w:rPr>
        <w:t> </w:t>
      </w:r>
      <w:r>
        <w:rPr/>
        <w:t>Geochemistry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the Woodford</w:t>
      </w:r>
      <w:r>
        <w:rPr>
          <w:spacing w:val="-2"/>
        </w:rPr>
        <w:t> </w:t>
      </w:r>
      <w:r>
        <w:rPr/>
        <w:t>Shale,</w:t>
      </w:r>
      <w:r>
        <w:rPr>
          <w:spacing w:val="-51"/>
        </w:rPr>
        <w:t> </w:t>
      </w:r>
      <w:r>
        <w:rPr/>
        <w:t>Southeastern</w:t>
      </w:r>
      <w:r>
        <w:rPr>
          <w:spacing w:val="-3"/>
        </w:rPr>
        <w:t> </w:t>
      </w:r>
      <w:r>
        <w:rPr/>
        <w:t>Oklahoma.</w:t>
      </w:r>
      <w:r>
        <w:rPr>
          <w:spacing w:val="-4"/>
        </w:rPr>
        <w:t> </w:t>
      </w:r>
      <w:r>
        <w:rPr/>
        <w:t>AAPG</w:t>
      </w:r>
      <w:r>
        <w:rPr>
          <w:spacing w:val="-1"/>
        </w:rPr>
        <w:t> </w:t>
      </w:r>
      <w:r>
        <w:rPr/>
        <w:t>Bulletin</w:t>
      </w:r>
      <w:r>
        <w:rPr>
          <w:spacing w:val="-1"/>
        </w:rPr>
        <w:t> </w:t>
      </w:r>
      <w:r>
        <w:rPr/>
        <w:t>96,</w:t>
      </w:r>
      <w:r>
        <w:rPr>
          <w:spacing w:val="-1"/>
        </w:rPr>
        <w:t> </w:t>
      </w:r>
      <w:r>
        <w:rPr/>
        <w:t>493–517.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840" w:right="917" w:hanging="720"/>
      </w:pPr>
      <w:r>
        <w:rPr/>
        <w:t>Shanfa,</w:t>
      </w:r>
      <w:r>
        <w:rPr>
          <w:spacing w:val="-2"/>
        </w:rPr>
        <w:t> </w:t>
      </w:r>
      <w:r>
        <w:rPr/>
        <w:t>F.,</w:t>
      </w:r>
      <w:r>
        <w:rPr>
          <w:spacing w:val="-1"/>
        </w:rPr>
        <w:t> </w:t>
      </w:r>
      <w:r>
        <w:rPr/>
        <w:t>Jiamo,</w:t>
      </w:r>
      <w:r>
        <w:rPr>
          <w:spacing w:val="1"/>
        </w:rPr>
        <w:t> </w:t>
      </w:r>
      <w:r>
        <w:rPr/>
        <w:t>F.,</w:t>
      </w:r>
      <w:r>
        <w:rPr>
          <w:spacing w:val="-3"/>
        </w:rPr>
        <w:t> </w:t>
      </w:r>
      <w:r>
        <w:rPr/>
        <w:t>Eglinton,</w:t>
      </w:r>
      <w:r>
        <w:rPr>
          <w:spacing w:val="-1"/>
        </w:rPr>
        <w:t> </w:t>
      </w:r>
      <w:r>
        <w:rPr/>
        <w:t>G.,</w:t>
      </w:r>
      <w:r>
        <w:rPr>
          <w:spacing w:val="-2"/>
        </w:rPr>
        <w:t> </w:t>
      </w:r>
      <w:r>
        <w:rPr/>
        <w:t>Brassell,</w:t>
      </w:r>
      <w:r>
        <w:rPr>
          <w:spacing w:val="-3"/>
        </w:rPr>
        <w:t> </w:t>
      </w:r>
      <w:r>
        <w:rPr/>
        <w:t>S.,</w:t>
      </w:r>
      <w:r>
        <w:rPr>
          <w:spacing w:val="-3"/>
        </w:rPr>
        <w:t> </w:t>
      </w:r>
      <w:r>
        <w:rPr/>
        <w:t>1989.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occurrence</w:t>
      </w:r>
      <w:r>
        <w:rPr>
          <w:spacing w:val="-1"/>
        </w:rPr>
        <w:t> </w:t>
      </w:r>
      <w:r>
        <w:rPr/>
        <w:t>and</w:t>
      </w:r>
      <w:r>
        <w:rPr>
          <w:spacing w:val="-3"/>
        </w:rPr>
        <w:t> </w:t>
      </w:r>
      <w:r>
        <w:rPr/>
        <w:t>geochemistry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Di</w:t>
      </w:r>
      <w:r>
        <w:rPr>
          <w:spacing w:val="-4"/>
        </w:rPr>
        <w:t> </w:t>
      </w:r>
      <w:r>
        <w:rPr/>
        <w:t>-</w:t>
      </w:r>
      <w:r>
        <w:rPr>
          <w:spacing w:val="-51"/>
        </w:rPr>
        <w:t> </w:t>
      </w:r>
      <w:r>
        <w:rPr/>
        <w:t>and trimethyl - 2- (4,8,12 trimethyltridecyl) chromans and benzohopanes in Fushun</w:t>
      </w:r>
      <w:r>
        <w:rPr>
          <w:spacing w:val="1"/>
        </w:rPr>
        <w:t> </w:t>
      </w:r>
      <w:r>
        <w:rPr/>
        <w:t>cannel</w:t>
      </w:r>
      <w:r>
        <w:rPr>
          <w:spacing w:val="-2"/>
        </w:rPr>
        <w:t> </w:t>
      </w:r>
      <w:r>
        <w:rPr/>
        <w:t>coal,</w:t>
      </w:r>
      <w:r>
        <w:rPr>
          <w:spacing w:val="-1"/>
        </w:rPr>
        <w:t> </w:t>
      </w:r>
      <w:r>
        <w:rPr/>
        <w:t>Northeast</w:t>
      </w:r>
      <w:r>
        <w:rPr>
          <w:spacing w:val="-3"/>
        </w:rPr>
        <w:t> </w:t>
      </w:r>
      <w:r>
        <w:rPr/>
        <w:t>China.</w:t>
      </w:r>
      <w:r>
        <w:rPr>
          <w:spacing w:val="-1"/>
        </w:rPr>
        <w:t> </w:t>
      </w:r>
      <w:r>
        <w:rPr/>
        <w:t>Chinese</w:t>
      </w:r>
      <w:r>
        <w:rPr>
          <w:spacing w:val="-2"/>
        </w:rPr>
        <w:t> </w:t>
      </w:r>
      <w:r>
        <w:rPr/>
        <w:t>Journal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Geochemistry</w:t>
      </w:r>
      <w:r>
        <w:rPr>
          <w:spacing w:val="-1"/>
        </w:rPr>
        <w:t> </w:t>
      </w:r>
      <w:r>
        <w:rPr/>
        <w:t>8,</w:t>
      </w:r>
      <w:r>
        <w:rPr>
          <w:spacing w:val="-3"/>
        </w:rPr>
        <w:t> </w:t>
      </w:r>
      <w:r>
        <w:rPr/>
        <w:t>317–321.</w:t>
      </w:r>
    </w:p>
    <w:p>
      <w:pPr>
        <w:pStyle w:val="BodyText"/>
      </w:pPr>
    </w:p>
    <w:p>
      <w:pPr>
        <w:pStyle w:val="BodyText"/>
        <w:ind w:left="840" w:right="727" w:hanging="720"/>
      </w:pPr>
      <w:r>
        <w:rPr/>
        <w:t>Simmons,</w:t>
      </w:r>
      <w:r>
        <w:rPr>
          <w:spacing w:val="-4"/>
        </w:rPr>
        <w:t> </w:t>
      </w:r>
      <w:r>
        <w:rPr/>
        <w:t>M.D.,</w:t>
      </w:r>
      <w:r>
        <w:rPr>
          <w:spacing w:val="-3"/>
        </w:rPr>
        <w:t> </w:t>
      </w:r>
      <w:r>
        <w:rPr/>
        <w:t>2012.</w:t>
      </w:r>
      <w:r>
        <w:rPr>
          <w:spacing w:val="-2"/>
        </w:rPr>
        <w:t> </w:t>
      </w:r>
      <w:r>
        <w:rPr/>
        <w:t>Chapter</w:t>
      </w:r>
      <w:r>
        <w:rPr>
          <w:spacing w:val="-4"/>
        </w:rPr>
        <w:t> </w:t>
      </w:r>
      <w:r>
        <w:rPr/>
        <w:t>13</w:t>
      </w:r>
      <w:r>
        <w:rPr>
          <w:spacing w:val="-2"/>
        </w:rPr>
        <w:t> </w:t>
      </w:r>
      <w:r>
        <w:rPr/>
        <w:t>-</w:t>
      </w:r>
      <w:r>
        <w:rPr>
          <w:spacing w:val="-3"/>
        </w:rPr>
        <w:t> </w:t>
      </w:r>
      <w:r>
        <w:rPr/>
        <w:t>Sequence</w:t>
      </w:r>
      <w:r>
        <w:rPr>
          <w:spacing w:val="-2"/>
        </w:rPr>
        <w:t> </w:t>
      </w:r>
      <w:r>
        <w:rPr/>
        <w:t>Stratigraphy and</w:t>
      </w:r>
      <w:r>
        <w:rPr>
          <w:spacing w:val="2"/>
        </w:rPr>
        <w:t> </w:t>
      </w:r>
      <w:r>
        <w:rPr/>
        <w:t>Sea-Level</w:t>
      </w:r>
      <w:r>
        <w:rPr>
          <w:spacing w:val="-4"/>
        </w:rPr>
        <w:t> </w:t>
      </w:r>
      <w:r>
        <w:rPr/>
        <w:t>Change,</w:t>
      </w:r>
      <w:r>
        <w:rPr>
          <w:spacing w:val="-4"/>
        </w:rPr>
        <w:t> </w:t>
      </w:r>
      <w:r>
        <w:rPr/>
        <w:t>in:</w:t>
      </w:r>
      <w:r>
        <w:rPr>
          <w:spacing w:val="-2"/>
        </w:rPr>
        <w:t> </w:t>
      </w:r>
      <w:r>
        <w:rPr/>
        <w:t>Gradstein,</w:t>
      </w:r>
      <w:r>
        <w:rPr>
          <w:spacing w:val="-52"/>
        </w:rPr>
        <w:t> </w:t>
      </w:r>
      <w:r>
        <w:rPr/>
        <w:t>F.M., Ogg, J.G., Schmitz, M.D., Ogg, G.M. (Eds.), The Geologic Time Scale. Elsevier,</w:t>
      </w:r>
      <w:r>
        <w:rPr>
          <w:spacing w:val="1"/>
        </w:rPr>
        <w:t> </w:t>
      </w:r>
      <w:r>
        <w:rPr/>
        <w:t>Boston,</w:t>
      </w:r>
      <w:r>
        <w:rPr>
          <w:spacing w:val="-3"/>
        </w:rPr>
        <w:t> </w:t>
      </w:r>
      <w:r>
        <w:rPr/>
        <w:t>pp. 239–267.</w:t>
      </w:r>
    </w:p>
    <w:p>
      <w:pPr>
        <w:pStyle w:val="BodyText"/>
        <w:spacing w:before="1"/>
      </w:pPr>
    </w:p>
    <w:p>
      <w:pPr>
        <w:pStyle w:val="BodyText"/>
        <w:ind w:left="840" w:right="873" w:hanging="720"/>
      </w:pPr>
      <w:r>
        <w:rPr/>
        <w:t>Sinninghe Damste, J.S., Keely, B.J., Betts, S.E., Baas, M., Maxwell, J.R., de Leeuw, J.W., 1993.</w:t>
      </w:r>
      <w:r>
        <w:rPr>
          <w:spacing w:val="1"/>
        </w:rPr>
        <w:t> </w:t>
      </w:r>
      <w:r>
        <w:rPr/>
        <w:t>Variations in abundances and distributions of isoprenoid chromans and long-chain</w:t>
      </w:r>
      <w:r>
        <w:rPr>
          <w:spacing w:val="1"/>
        </w:rPr>
        <w:t> </w:t>
      </w:r>
      <w:r>
        <w:rPr/>
        <w:t>alkylbenzenes</w:t>
      </w:r>
      <w:r>
        <w:rPr>
          <w:spacing w:val="-1"/>
        </w:rPr>
        <w:t> </w:t>
      </w:r>
      <w:r>
        <w:rPr/>
        <w:t>in sediments of</w:t>
      </w:r>
      <w:r>
        <w:rPr>
          <w:spacing w:val="-3"/>
        </w:rPr>
        <w:t> </w:t>
      </w:r>
      <w:r>
        <w:rPr/>
        <w:t>the Mulhouse</w:t>
      </w:r>
      <w:r>
        <w:rPr>
          <w:spacing w:val="-4"/>
        </w:rPr>
        <w:t> </w:t>
      </w:r>
      <w:r>
        <w:rPr/>
        <w:t>Basin: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molecular</w:t>
      </w:r>
      <w:r>
        <w:rPr>
          <w:spacing w:val="-4"/>
        </w:rPr>
        <w:t> </w:t>
      </w:r>
      <w:r>
        <w:rPr/>
        <w:t>sedimentary</w:t>
      </w:r>
      <w:r>
        <w:rPr>
          <w:spacing w:val="-1"/>
        </w:rPr>
        <w:t> </w:t>
      </w:r>
      <w:r>
        <w:rPr/>
        <w:t>record</w:t>
      </w:r>
      <w:r>
        <w:rPr>
          <w:spacing w:val="-3"/>
        </w:rPr>
        <w:t> </w:t>
      </w:r>
      <w:r>
        <w:rPr/>
        <w:t>of</w:t>
      </w:r>
      <w:r>
        <w:rPr>
          <w:spacing w:val="-52"/>
        </w:rPr>
        <w:t> </w:t>
      </w:r>
      <w:r>
        <w:rPr/>
        <w:t>palaeosalinity.</w:t>
      </w:r>
      <w:r>
        <w:rPr>
          <w:spacing w:val="-2"/>
        </w:rPr>
        <w:t> </w:t>
      </w:r>
      <w:r>
        <w:rPr/>
        <w:t>Organic</w:t>
      </w:r>
      <w:r>
        <w:rPr>
          <w:spacing w:val="-2"/>
        </w:rPr>
        <w:t> </w:t>
      </w:r>
      <w:r>
        <w:rPr/>
        <w:t>Geochemistry</w:t>
      </w:r>
      <w:r>
        <w:rPr>
          <w:spacing w:val="-1"/>
        </w:rPr>
        <w:t> </w:t>
      </w:r>
      <w:r>
        <w:rPr/>
        <w:t>20,</w:t>
      </w:r>
      <w:r>
        <w:rPr>
          <w:spacing w:val="-1"/>
        </w:rPr>
        <w:t> </w:t>
      </w:r>
      <w:r>
        <w:rPr/>
        <w:t>1201–1215.</w:t>
      </w:r>
    </w:p>
    <w:p>
      <w:pPr>
        <w:pStyle w:val="BodyText"/>
        <w:spacing w:before="12"/>
        <w:rPr>
          <w:sz w:val="23"/>
        </w:rPr>
      </w:pPr>
    </w:p>
    <w:p>
      <w:pPr>
        <w:pStyle w:val="BodyText"/>
        <w:ind w:left="840" w:right="965" w:hanging="720"/>
      </w:pPr>
      <w:r>
        <w:rPr/>
        <w:t>Sinninghe Damste, J.S., Kock-van Dalen, A.C., de Leeuw, J.W., Schenck, P.A., Guoying, S.,</w:t>
      </w:r>
      <w:r>
        <w:rPr>
          <w:spacing w:val="1"/>
        </w:rPr>
        <w:t> </w:t>
      </w:r>
      <w:r>
        <w:rPr/>
        <w:t>Brassell,</w:t>
      </w:r>
      <w:r>
        <w:rPr>
          <w:spacing w:val="-2"/>
        </w:rPr>
        <w:t> </w:t>
      </w:r>
      <w:r>
        <w:rPr/>
        <w:t>S.C.,</w:t>
      </w:r>
      <w:r>
        <w:rPr>
          <w:spacing w:val="-1"/>
        </w:rPr>
        <w:t> </w:t>
      </w:r>
      <w:r>
        <w:rPr/>
        <w:t>1987.</w:t>
      </w:r>
      <w:r>
        <w:rPr>
          <w:spacing w:val="-5"/>
        </w:rPr>
        <w:t> </w:t>
      </w:r>
      <w:r>
        <w:rPr/>
        <w:t>The</w:t>
      </w:r>
      <w:r>
        <w:rPr>
          <w:spacing w:val="-2"/>
        </w:rPr>
        <w:t> </w:t>
      </w:r>
      <w:r>
        <w:rPr/>
        <w:t>identification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mono-,</w:t>
      </w:r>
      <w:r>
        <w:rPr>
          <w:spacing w:val="-4"/>
        </w:rPr>
        <w:t> </w:t>
      </w:r>
      <w:r>
        <w:rPr/>
        <w:t>di-</w:t>
      </w:r>
      <w:r>
        <w:rPr>
          <w:spacing w:val="3"/>
        </w:rPr>
        <w:t> </w:t>
      </w:r>
      <w:r>
        <w:rPr/>
        <w:t>and</w:t>
      </w:r>
      <w:r>
        <w:rPr>
          <w:spacing w:val="-3"/>
        </w:rPr>
        <w:t> </w:t>
      </w:r>
      <w:r>
        <w:rPr/>
        <w:t>trimethyl</w:t>
      </w:r>
      <w:r>
        <w:rPr>
          <w:spacing w:val="-4"/>
        </w:rPr>
        <w:t> </w:t>
      </w:r>
      <w:r>
        <w:rPr/>
        <w:t>2-methyl-2-(4,8,12-</w:t>
      </w:r>
      <w:r>
        <w:rPr>
          <w:spacing w:val="-51"/>
        </w:rPr>
        <w:t> </w:t>
      </w:r>
      <w:r>
        <w:rPr/>
        <w:t>trimethyltridecyl)chromans and their occurrence in the geosphere. Geochimica et</w:t>
      </w:r>
      <w:r>
        <w:rPr>
          <w:spacing w:val="1"/>
        </w:rPr>
        <w:t> </w:t>
      </w:r>
      <w:r>
        <w:rPr/>
        <w:t>Cosmochimica</w:t>
      </w:r>
      <w:r>
        <w:rPr>
          <w:spacing w:val="-3"/>
        </w:rPr>
        <w:t> </w:t>
      </w:r>
      <w:r>
        <w:rPr/>
        <w:t>Acta</w:t>
      </w:r>
      <w:r>
        <w:rPr>
          <w:spacing w:val="-3"/>
        </w:rPr>
        <w:t> </w:t>
      </w:r>
      <w:r>
        <w:rPr/>
        <w:t>51,</w:t>
      </w:r>
      <w:r>
        <w:rPr>
          <w:spacing w:val="-3"/>
        </w:rPr>
        <w:t> </w:t>
      </w:r>
      <w:r>
        <w:rPr/>
        <w:t>2393–2400.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840" w:right="1019" w:hanging="720"/>
      </w:pPr>
      <w:r>
        <w:rPr/>
        <w:t>Slatt, R., Singh, P., Borges, G., Perez, R., Portas, R., Vallejo, J., Ammerman, M., Coffey, W.,</w:t>
      </w:r>
      <w:r>
        <w:rPr>
          <w:spacing w:val="1"/>
        </w:rPr>
        <w:t> </w:t>
      </w:r>
      <w:r>
        <w:rPr/>
        <w:t>Eslinger,</w:t>
      </w:r>
      <w:r>
        <w:rPr>
          <w:spacing w:val="-4"/>
        </w:rPr>
        <w:t> </w:t>
      </w:r>
      <w:r>
        <w:rPr/>
        <w:t>E.,</w:t>
      </w:r>
      <w:r>
        <w:rPr>
          <w:spacing w:val="-3"/>
        </w:rPr>
        <w:t> </w:t>
      </w:r>
      <w:r>
        <w:rPr/>
        <w:t>2009.</w:t>
      </w:r>
      <w:r>
        <w:rPr>
          <w:spacing w:val="-3"/>
        </w:rPr>
        <w:t> </w:t>
      </w:r>
      <w:r>
        <w:rPr/>
        <w:t>Reservoir</w:t>
      </w:r>
      <w:r>
        <w:rPr>
          <w:spacing w:val="-3"/>
        </w:rPr>
        <w:t> </w:t>
      </w:r>
      <w:r>
        <w:rPr/>
        <w:t>Characterization</w:t>
      </w:r>
      <w:r>
        <w:rPr>
          <w:spacing w:val="2"/>
        </w:rPr>
        <w:t> </w:t>
      </w:r>
      <w:r>
        <w:rPr/>
        <w:t>of</w:t>
      </w:r>
      <w:r>
        <w:rPr>
          <w:spacing w:val="1"/>
        </w:rPr>
        <w:t> </w:t>
      </w:r>
      <w:r>
        <w:rPr/>
        <w:t>Unconventional</w:t>
      </w:r>
      <w:r>
        <w:rPr>
          <w:spacing w:val="-3"/>
        </w:rPr>
        <w:t> </w:t>
      </w:r>
      <w:r>
        <w:rPr/>
        <w:t>Gas</w:t>
      </w:r>
      <w:r>
        <w:rPr>
          <w:spacing w:val="-4"/>
        </w:rPr>
        <w:t> </w:t>
      </w:r>
      <w:r>
        <w:rPr/>
        <w:t>Shales:</w:t>
      </w:r>
      <w:r>
        <w:rPr>
          <w:spacing w:val="-3"/>
        </w:rPr>
        <w:t> </w:t>
      </w:r>
      <w:r>
        <w:rPr/>
        <w:t>Example</w:t>
      </w:r>
      <w:r>
        <w:rPr>
          <w:spacing w:val="-51"/>
        </w:rPr>
        <w:t> </w:t>
      </w:r>
      <w:r>
        <w:rPr/>
        <w:t>from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Barnett</w:t>
      </w:r>
      <w:r>
        <w:rPr>
          <w:spacing w:val="-2"/>
        </w:rPr>
        <w:t> </w:t>
      </w:r>
      <w:r>
        <w:rPr/>
        <w:t>Shale,</w:t>
      </w:r>
      <w:r>
        <w:rPr>
          <w:spacing w:val="-2"/>
        </w:rPr>
        <w:t> </w:t>
      </w:r>
      <w:r>
        <w:rPr/>
        <w:t>Texas,</w:t>
      </w:r>
      <w:r>
        <w:rPr>
          <w:spacing w:val="-1"/>
        </w:rPr>
        <w:t> </w:t>
      </w:r>
      <w:r>
        <w:rPr/>
        <w:t>U.S.A.</w:t>
      </w:r>
      <w:r>
        <w:rPr>
          <w:spacing w:val="-3"/>
        </w:rPr>
        <w:t> </w:t>
      </w:r>
      <w:r>
        <w:rPr/>
        <w:t>AAPG</w:t>
      </w:r>
      <w:r>
        <w:rPr>
          <w:spacing w:val="-1"/>
        </w:rPr>
        <w:t> </w:t>
      </w:r>
      <w:r>
        <w:rPr/>
        <w:t>Search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Discovery</w:t>
      </w:r>
      <w:r>
        <w:rPr>
          <w:spacing w:val="1"/>
        </w:rPr>
        <w:t> </w:t>
      </w:r>
      <w:r>
        <w:rPr/>
        <w:t>article</w:t>
      </w:r>
      <w:r>
        <w:rPr>
          <w:spacing w:val="-2"/>
        </w:rPr>
        <w:t> </w:t>
      </w:r>
      <w:r>
        <w:rPr/>
        <w:t>30075,</w:t>
      </w:r>
      <w:r>
        <w:rPr>
          <w:spacing w:val="-3"/>
        </w:rPr>
        <w:t> </w:t>
      </w:r>
      <w:r>
        <w:rPr/>
        <w:t>25.</w:t>
      </w:r>
    </w:p>
    <w:p>
      <w:pPr>
        <w:pStyle w:val="BodyText"/>
        <w:spacing w:before="2"/>
      </w:pPr>
    </w:p>
    <w:p>
      <w:pPr>
        <w:pStyle w:val="BodyText"/>
        <w:ind w:left="840" w:right="898" w:hanging="720"/>
      </w:pPr>
      <w:r>
        <w:rPr/>
        <w:t>Slatt, R.M., Buckner, N., Abousleiman, Y., Sierra, R., Philp, P.R., Miceli-Romero, A., Portas, R.,</w:t>
      </w:r>
      <w:r>
        <w:rPr>
          <w:spacing w:val="1"/>
        </w:rPr>
        <w:t> </w:t>
      </w:r>
      <w:r>
        <w:rPr/>
        <w:t>O’Brien, N., Tran, M., Davis, R., Wawrzyniec, T., 2012a. Outcrop-behind Outcrop</w:t>
      </w:r>
      <w:r>
        <w:rPr>
          <w:spacing w:val="1"/>
        </w:rPr>
        <w:t> </w:t>
      </w:r>
      <w:r>
        <w:rPr/>
        <w:t>(Quarry):</w:t>
      </w:r>
      <w:r>
        <w:rPr>
          <w:spacing w:val="-4"/>
        </w:rPr>
        <w:t> </w:t>
      </w:r>
      <w:r>
        <w:rPr/>
        <w:t>Multiscale</w:t>
      </w:r>
      <w:r>
        <w:rPr>
          <w:spacing w:val="-3"/>
        </w:rPr>
        <w:t> </w:t>
      </w:r>
      <w:r>
        <w:rPr/>
        <w:t>Characterization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Woodford</w:t>
      </w:r>
      <w:r>
        <w:rPr>
          <w:spacing w:val="-4"/>
        </w:rPr>
        <w:t> </w:t>
      </w:r>
      <w:r>
        <w:rPr/>
        <w:t>Gas</w:t>
      </w:r>
      <w:r>
        <w:rPr>
          <w:spacing w:val="-2"/>
        </w:rPr>
        <w:t> </w:t>
      </w:r>
      <w:r>
        <w:rPr/>
        <w:t>Shale,</w:t>
      </w:r>
      <w:r>
        <w:rPr>
          <w:spacing w:val="-3"/>
        </w:rPr>
        <w:t> </w:t>
      </w:r>
      <w:r>
        <w:rPr/>
        <w:t>Oklahoma</w:t>
      </w:r>
      <w:r>
        <w:rPr>
          <w:spacing w:val="-3"/>
        </w:rPr>
        <w:t> </w:t>
      </w:r>
      <w:r>
        <w:rPr/>
        <w:t>382–402.</w:t>
      </w:r>
    </w:p>
    <w:p>
      <w:pPr>
        <w:spacing w:after="0"/>
        <w:sectPr>
          <w:pgSz w:w="12240" w:h="15840"/>
          <w:pgMar w:header="0" w:footer="934" w:top="1500" w:bottom="1200" w:left="1320" w:right="820"/>
        </w:sectPr>
      </w:pPr>
    </w:p>
    <w:p>
      <w:pPr>
        <w:pStyle w:val="BodyText"/>
        <w:spacing w:before="39"/>
        <w:ind w:left="840" w:right="917" w:hanging="720"/>
      </w:pPr>
      <w:r>
        <w:rPr/>
        <w:t>Slatt,</w:t>
      </w:r>
      <w:r>
        <w:rPr>
          <w:spacing w:val="-4"/>
        </w:rPr>
        <w:t> </w:t>
      </w:r>
      <w:r>
        <w:rPr/>
        <w:t>R.M.,</w:t>
      </w:r>
      <w:r>
        <w:rPr>
          <w:spacing w:val="-2"/>
        </w:rPr>
        <w:t> </w:t>
      </w:r>
      <w:r>
        <w:rPr/>
        <w:t>Philp,</w:t>
      </w:r>
      <w:r>
        <w:rPr>
          <w:spacing w:val="-3"/>
        </w:rPr>
        <w:t> </w:t>
      </w:r>
      <w:r>
        <w:rPr/>
        <w:t>P.R.,</w:t>
      </w:r>
      <w:r>
        <w:rPr>
          <w:spacing w:val="-2"/>
        </w:rPr>
        <w:t> </w:t>
      </w:r>
      <w:r>
        <w:rPr/>
        <w:t>Abousleiman,</w:t>
      </w:r>
      <w:r>
        <w:rPr>
          <w:spacing w:val="-2"/>
        </w:rPr>
        <w:t> </w:t>
      </w:r>
      <w:r>
        <w:rPr/>
        <w:t>Y.,</w:t>
      </w:r>
      <w:r>
        <w:rPr>
          <w:spacing w:val="-1"/>
        </w:rPr>
        <w:t> </w:t>
      </w:r>
      <w:r>
        <w:rPr/>
        <w:t>Singh,</w:t>
      </w:r>
      <w:r>
        <w:rPr>
          <w:spacing w:val="-3"/>
        </w:rPr>
        <w:t> </w:t>
      </w:r>
      <w:r>
        <w:rPr/>
        <w:t>P.,</w:t>
      </w:r>
      <w:r>
        <w:rPr>
          <w:spacing w:val="-2"/>
        </w:rPr>
        <w:t> </w:t>
      </w:r>
      <w:r>
        <w:rPr/>
        <w:t>Perez,</w:t>
      </w:r>
      <w:r>
        <w:rPr>
          <w:spacing w:val="2"/>
        </w:rPr>
        <w:t> </w:t>
      </w:r>
      <w:r>
        <w:rPr/>
        <w:t>R.,</w:t>
      </w:r>
      <w:r>
        <w:rPr>
          <w:spacing w:val="-3"/>
        </w:rPr>
        <w:t> </w:t>
      </w:r>
      <w:r>
        <w:rPr/>
        <w:t>Portas,</w:t>
      </w:r>
      <w:r>
        <w:rPr>
          <w:spacing w:val="-4"/>
        </w:rPr>
        <w:t> </w:t>
      </w:r>
      <w:r>
        <w:rPr/>
        <w:t>R.,</w:t>
      </w:r>
      <w:r>
        <w:rPr>
          <w:spacing w:val="-1"/>
        </w:rPr>
        <w:t> </w:t>
      </w:r>
      <w:r>
        <w:rPr/>
        <w:t>Marfurt,</w:t>
      </w:r>
      <w:r>
        <w:rPr>
          <w:spacing w:val="-2"/>
        </w:rPr>
        <w:t> </w:t>
      </w:r>
      <w:r>
        <w:rPr/>
        <w:t>K.J.,</w:t>
      </w:r>
      <w:r>
        <w:rPr>
          <w:spacing w:val="-3"/>
        </w:rPr>
        <w:t> </w:t>
      </w:r>
      <w:r>
        <w:rPr/>
        <w:t>Madrid-</w:t>
      </w:r>
      <w:r>
        <w:rPr>
          <w:spacing w:val="-51"/>
        </w:rPr>
        <w:t> </w:t>
      </w:r>
      <w:r>
        <w:rPr/>
        <w:t>Arroyo, S., O’Brien, N., Eslinger, E., Baruch, E.T., 2012b. Pore-to-regional-scale</w:t>
      </w:r>
      <w:r>
        <w:rPr>
          <w:spacing w:val="1"/>
        </w:rPr>
        <w:t> </w:t>
      </w:r>
      <w:r>
        <w:rPr/>
        <w:t>Integrated</w:t>
      </w:r>
      <w:r>
        <w:rPr>
          <w:spacing w:val="-4"/>
        </w:rPr>
        <w:t> </w:t>
      </w:r>
      <w:r>
        <w:rPr/>
        <w:t>Characterization</w:t>
      </w:r>
      <w:r>
        <w:rPr>
          <w:spacing w:val="2"/>
        </w:rPr>
        <w:t> </w:t>
      </w:r>
      <w:r>
        <w:rPr/>
        <w:t>Workflow</w:t>
      </w:r>
      <w:r>
        <w:rPr>
          <w:spacing w:val="-3"/>
        </w:rPr>
        <w:t> </w:t>
      </w:r>
      <w:r>
        <w:rPr/>
        <w:t>for</w:t>
      </w:r>
      <w:r>
        <w:rPr>
          <w:spacing w:val="1"/>
        </w:rPr>
        <w:t> </w:t>
      </w:r>
      <w:r>
        <w:rPr/>
        <w:t>Unconventional</w:t>
      </w:r>
      <w:r>
        <w:rPr>
          <w:spacing w:val="-5"/>
        </w:rPr>
        <w:t> </w:t>
      </w:r>
      <w:r>
        <w:rPr/>
        <w:t>Gas</w:t>
      </w:r>
      <w:r>
        <w:rPr>
          <w:spacing w:val="-2"/>
        </w:rPr>
        <w:t> </w:t>
      </w:r>
      <w:r>
        <w:rPr/>
        <w:t>Shales</w:t>
      </w:r>
      <w:r>
        <w:rPr>
          <w:spacing w:val="-2"/>
        </w:rPr>
        <w:t> </w:t>
      </w:r>
      <w:r>
        <w:rPr/>
        <w:t>127–150.</w:t>
      </w:r>
    </w:p>
    <w:p>
      <w:pPr>
        <w:pStyle w:val="BodyText"/>
        <w:spacing w:before="12"/>
        <w:rPr>
          <w:sz w:val="23"/>
        </w:rPr>
      </w:pPr>
    </w:p>
    <w:p>
      <w:pPr>
        <w:pStyle w:val="BodyText"/>
        <w:ind w:left="840" w:right="646" w:hanging="720"/>
      </w:pPr>
      <w:r>
        <w:rPr/>
        <w:t>Slatt, R.M., Rodriguez, N.D., 2012. Comparative sequence stratigraphy and organic</w:t>
      </w:r>
      <w:r>
        <w:rPr>
          <w:spacing w:val="1"/>
        </w:rPr>
        <w:t> </w:t>
      </w:r>
      <w:r>
        <w:rPr/>
        <w:t>geochemistry</w:t>
      </w:r>
      <w:r>
        <w:rPr>
          <w:spacing w:val="-1"/>
        </w:rPr>
        <w:t> </w:t>
      </w:r>
      <w:r>
        <w:rPr/>
        <w:t>of</w:t>
      </w:r>
      <w:r>
        <w:rPr>
          <w:spacing w:val="-4"/>
        </w:rPr>
        <w:t> </w:t>
      </w:r>
      <w:r>
        <w:rPr/>
        <w:t>gas</w:t>
      </w:r>
      <w:r>
        <w:rPr>
          <w:spacing w:val="-3"/>
        </w:rPr>
        <w:t> </w:t>
      </w:r>
      <w:r>
        <w:rPr/>
        <w:t>shales:</w:t>
      </w:r>
      <w:r>
        <w:rPr>
          <w:spacing w:val="-3"/>
        </w:rPr>
        <w:t> </w:t>
      </w:r>
      <w:r>
        <w:rPr/>
        <w:t>Commonality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coincidence?</w:t>
      </w:r>
      <w:r>
        <w:rPr>
          <w:spacing w:val="-3"/>
        </w:rPr>
        <w:t> </w:t>
      </w:r>
      <w:r>
        <w:rPr/>
        <w:t>Journal</w:t>
      </w:r>
      <w:r>
        <w:rPr>
          <w:spacing w:val="-5"/>
        </w:rPr>
        <w:t> </w:t>
      </w:r>
      <w:r>
        <w:rPr/>
        <w:t>of</w:t>
      </w:r>
      <w:r>
        <w:rPr>
          <w:spacing w:val="1"/>
        </w:rPr>
        <w:t> </w:t>
      </w:r>
      <w:r>
        <w:rPr/>
        <w:t>Natural</w:t>
      </w:r>
      <w:r>
        <w:rPr>
          <w:spacing w:val="-3"/>
        </w:rPr>
        <w:t> </w:t>
      </w:r>
      <w:r>
        <w:rPr/>
        <w:t>Gas</w:t>
      </w:r>
      <w:r>
        <w:rPr>
          <w:spacing w:val="-3"/>
        </w:rPr>
        <w:t> </w:t>
      </w:r>
      <w:r>
        <w:rPr/>
        <w:t>Science</w:t>
      </w:r>
      <w:r>
        <w:rPr>
          <w:spacing w:val="-51"/>
        </w:rPr>
        <w:t> </w:t>
      </w:r>
      <w:r>
        <w:rPr/>
        <w:t>and Engineering,</w:t>
      </w:r>
      <w:r>
        <w:rPr>
          <w:spacing w:val="-1"/>
        </w:rPr>
        <w:t> </w:t>
      </w:r>
      <w:r>
        <w:rPr/>
        <w:t>Unconventional</w:t>
      </w:r>
      <w:r>
        <w:rPr>
          <w:spacing w:val="-3"/>
        </w:rPr>
        <w:t> </w:t>
      </w:r>
      <w:r>
        <w:rPr/>
        <w:t>Natural</w:t>
      </w:r>
      <w:r>
        <w:rPr>
          <w:spacing w:val="-3"/>
        </w:rPr>
        <w:t> </w:t>
      </w:r>
      <w:r>
        <w:rPr/>
        <w:t>Gas</w:t>
      </w:r>
      <w:r>
        <w:rPr>
          <w:spacing w:val="-1"/>
        </w:rPr>
        <w:t> </w:t>
      </w:r>
      <w:r>
        <w:rPr/>
        <w:t>8,</w:t>
      </w:r>
      <w:r>
        <w:rPr>
          <w:spacing w:val="-3"/>
        </w:rPr>
        <w:t> </w:t>
      </w:r>
      <w:r>
        <w:rPr/>
        <w:t>68–84.</w:t>
      </w:r>
    </w:p>
    <w:p>
      <w:pPr>
        <w:pStyle w:val="BodyText"/>
        <w:spacing w:before="1"/>
      </w:pPr>
    </w:p>
    <w:p>
      <w:pPr>
        <w:pStyle w:val="BodyText"/>
        <w:ind w:left="840" w:right="983" w:hanging="720"/>
      </w:pPr>
      <w:r>
        <w:rPr/>
        <w:t>Sousa Júnior, G.R., Santos, A.L.S., de Lima, S.G., Lopes, J.A.D., Reis, F.A.M., Santos Neto, E.V.,</w:t>
      </w:r>
      <w:r>
        <w:rPr>
          <w:spacing w:val="-52"/>
        </w:rPr>
        <w:t> </w:t>
      </w:r>
      <w:r>
        <w:rPr/>
        <w:t>Chang,</w:t>
      </w:r>
      <w:r>
        <w:rPr>
          <w:spacing w:val="-3"/>
        </w:rPr>
        <w:t> </w:t>
      </w:r>
      <w:r>
        <w:rPr/>
        <w:t>H.K.,</w:t>
      </w:r>
      <w:r>
        <w:rPr>
          <w:spacing w:val="-3"/>
        </w:rPr>
        <w:t> </w:t>
      </w:r>
      <w:r>
        <w:rPr/>
        <w:t>2013.</w:t>
      </w:r>
      <w:r>
        <w:rPr>
          <w:spacing w:val="-3"/>
        </w:rPr>
        <w:t> </w:t>
      </w:r>
      <w:r>
        <w:rPr/>
        <w:t>Evidence</w:t>
      </w:r>
      <w:r>
        <w:rPr>
          <w:spacing w:val="-2"/>
        </w:rPr>
        <w:t> </w:t>
      </w:r>
      <w:r>
        <w:rPr/>
        <w:t>for</w:t>
      </w:r>
      <w:r>
        <w:rPr>
          <w:spacing w:val="-3"/>
        </w:rPr>
        <w:t> </w:t>
      </w:r>
      <w:r>
        <w:rPr/>
        <w:t>euphotic</w:t>
      </w:r>
      <w:r>
        <w:rPr>
          <w:spacing w:val="-6"/>
        </w:rPr>
        <w:t> </w:t>
      </w:r>
      <w:r>
        <w:rPr/>
        <w:t>zone anoxia</w:t>
      </w:r>
      <w:r>
        <w:rPr>
          <w:spacing w:val="-3"/>
        </w:rPr>
        <w:t> </w:t>
      </w:r>
      <w:r>
        <w:rPr/>
        <w:t>during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deposition</w:t>
      </w:r>
      <w:r>
        <w:rPr>
          <w:spacing w:val="1"/>
        </w:rPr>
        <w:t> </w:t>
      </w:r>
      <w:r>
        <w:rPr/>
        <w:t>of</w:t>
      </w:r>
      <w:r>
        <w:rPr>
          <w:spacing w:val="2"/>
        </w:rPr>
        <w:t> </w:t>
      </w:r>
      <w:r>
        <w:rPr/>
        <w:t>Aptian</w:t>
      </w:r>
      <w:r>
        <w:rPr>
          <w:spacing w:val="-52"/>
        </w:rPr>
        <w:t> </w:t>
      </w:r>
      <w:r>
        <w:rPr/>
        <w:t>source rocks based on aryl isoprenoids in petroleum, Sergipe–Alagoas Basin,</w:t>
      </w:r>
      <w:r>
        <w:rPr>
          <w:spacing w:val="1"/>
        </w:rPr>
        <w:t> </w:t>
      </w:r>
      <w:r>
        <w:rPr/>
        <w:t>northeastern</w:t>
      </w:r>
      <w:r>
        <w:rPr>
          <w:spacing w:val="-2"/>
        </w:rPr>
        <w:t> </w:t>
      </w:r>
      <w:r>
        <w:rPr/>
        <w:t>Brazil.</w:t>
      </w:r>
      <w:r>
        <w:rPr>
          <w:spacing w:val="-1"/>
        </w:rPr>
        <w:t> </w:t>
      </w:r>
      <w:r>
        <w:rPr/>
        <w:t>Organic</w:t>
      </w:r>
      <w:r>
        <w:rPr>
          <w:spacing w:val="-1"/>
        </w:rPr>
        <w:t> </w:t>
      </w:r>
      <w:r>
        <w:rPr/>
        <w:t>Geochemistry</w:t>
      </w:r>
      <w:r>
        <w:rPr>
          <w:spacing w:val="-2"/>
        </w:rPr>
        <w:t> </w:t>
      </w:r>
      <w:r>
        <w:rPr/>
        <w:t>63, 94–104.</w:t>
      </w:r>
    </w:p>
    <w:p>
      <w:pPr>
        <w:pStyle w:val="BodyText"/>
        <w:spacing w:before="12"/>
        <w:rPr>
          <w:sz w:val="23"/>
        </w:rPr>
      </w:pPr>
    </w:p>
    <w:p>
      <w:pPr>
        <w:pStyle w:val="BodyText"/>
        <w:ind w:left="840" w:right="694" w:hanging="720"/>
      </w:pPr>
      <w:r>
        <w:rPr/>
        <w:t>Spaak, G., Edwards, D.S., Allen, H.J., Grotheer, H., Summons, R.E., Coolen, M.J.L., Grice, K.,</w:t>
      </w:r>
      <w:r>
        <w:rPr>
          <w:spacing w:val="1"/>
        </w:rPr>
        <w:t> </w:t>
      </w:r>
      <w:r>
        <w:rPr/>
        <w:t>2018. Extent and persistence of photic zone euxinia in Middle–Late Devonian seas –</w:t>
      </w:r>
      <w:r>
        <w:rPr>
          <w:spacing w:val="1"/>
        </w:rPr>
        <w:t> </w:t>
      </w:r>
      <w:r>
        <w:rPr/>
        <w:t>Insights</w:t>
      </w:r>
      <w:r>
        <w:rPr>
          <w:spacing w:val="-4"/>
        </w:rPr>
        <w:t> </w:t>
      </w:r>
      <w:r>
        <w:rPr/>
        <w:t>from</w:t>
      </w:r>
      <w:r>
        <w:rPr>
          <w:spacing w:val="-3"/>
        </w:rPr>
        <w:t> </w:t>
      </w:r>
      <w:r>
        <w:rPr/>
        <w:t>the</w:t>
      </w:r>
      <w:r>
        <w:rPr>
          <w:spacing w:val="1"/>
        </w:rPr>
        <w:t> </w:t>
      </w:r>
      <w:r>
        <w:rPr/>
        <w:t>Canning</w:t>
      </w:r>
      <w:r>
        <w:rPr>
          <w:spacing w:val="-3"/>
        </w:rPr>
        <w:t> </w:t>
      </w:r>
      <w:r>
        <w:rPr/>
        <w:t>Basin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implications</w:t>
      </w:r>
      <w:r>
        <w:rPr>
          <w:spacing w:val="-6"/>
        </w:rPr>
        <w:t> </w:t>
      </w:r>
      <w:r>
        <w:rPr/>
        <w:t>for</w:t>
      </w:r>
      <w:r>
        <w:rPr>
          <w:spacing w:val="-4"/>
        </w:rPr>
        <w:t> </w:t>
      </w:r>
      <w:r>
        <w:rPr/>
        <w:t>petroleum</w:t>
      </w:r>
      <w:r>
        <w:rPr>
          <w:spacing w:val="1"/>
        </w:rPr>
        <w:t> </w:t>
      </w:r>
      <w:r>
        <w:rPr/>
        <w:t>source</w:t>
      </w:r>
      <w:r>
        <w:rPr>
          <w:spacing w:val="-1"/>
        </w:rPr>
        <w:t> </w:t>
      </w:r>
      <w:r>
        <w:rPr/>
        <w:t>rock</w:t>
      </w:r>
      <w:r>
        <w:rPr>
          <w:spacing w:val="-4"/>
        </w:rPr>
        <w:t> </w:t>
      </w:r>
      <w:r>
        <w:rPr/>
        <w:t>formation.</w:t>
      </w:r>
      <w:r>
        <w:rPr>
          <w:spacing w:val="-51"/>
        </w:rPr>
        <w:t> </w:t>
      </w:r>
      <w:r>
        <w:rPr/>
        <w:t>Marine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Petroleum</w:t>
      </w:r>
      <w:r>
        <w:rPr>
          <w:spacing w:val="-1"/>
        </w:rPr>
        <w:t> </w:t>
      </w:r>
      <w:r>
        <w:rPr/>
        <w:t>Geology</w:t>
      </w:r>
      <w:r>
        <w:rPr>
          <w:spacing w:val="-1"/>
        </w:rPr>
        <w:t> </w:t>
      </w:r>
      <w:r>
        <w:rPr/>
        <w:t>93,</w:t>
      </w:r>
      <w:r>
        <w:rPr>
          <w:spacing w:val="-1"/>
        </w:rPr>
        <w:t> </w:t>
      </w:r>
      <w:r>
        <w:rPr/>
        <w:t>33–56.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840" w:right="650" w:hanging="720"/>
      </w:pPr>
      <w:r>
        <w:rPr/>
        <w:t>Stuart Walker, J., Keely, B.J., 2004. Distribution and significance of chlorophyll derivatives and</w:t>
      </w:r>
      <w:r>
        <w:rPr>
          <w:spacing w:val="1"/>
        </w:rPr>
        <w:t> </w:t>
      </w:r>
      <w:r>
        <w:rPr/>
        <w:t>oxidation products during the spring phytoplankton bloom in the Celtic Sea April 2002.</w:t>
      </w:r>
      <w:r>
        <w:rPr>
          <w:spacing w:val="1"/>
        </w:rPr>
        <w:t> </w:t>
      </w:r>
      <w:r>
        <w:rPr/>
        <w:t>Organic</w:t>
      </w:r>
      <w:r>
        <w:rPr>
          <w:spacing w:val="-1"/>
        </w:rPr>
        <w:t> </w:t>
      </w:r>
      <w:r>
        <w:rPr/>
        <w:t>Geochemistry,</w:t>
      </w:r>
      <w:r>
        <w:rPr>
          <w:spacing w:val="-2"/>
        </w:rPr>
        <w:t> </w:t>
      </w:r>
      <w:r>
        <w:rPr/>
        <w:t>Advances</w:t>
      </w:r>
      <w:r>
        <w:rPr>
          <w:spacing w:val="-2"/>
        </w:rPr>
        <w:t> </w:t>
      </w:r>
      <w:r>
        <w:rPr/>
        <w:t>in</w:t>
      </w:r>
      <w:r>
        <w:rPr>
          <w:spacing w:val="1"/>
        </w:rPr>
        <w:t> </w:t>
      </w:r>
      <w:r>
        <w:rPr/>
        <w:t>Organic</w:t>
      </w:r>
      <w:r>
        <w:rPr>
          <w:spacing w:val="-5"/>
        </w:rPr>
        <w:t> </w:t>
      </w:r>
      <w:r>
        <w:rPr/>
        <w:t>Geochemistry</w:t>
      </w:r>
      <w:r>
        <w:rPr>
          <w:spacing w:val="-5"/>
        </w:rPr>
        <w:t> </w:t>
      </w:r>
      <w:r>
        <w:rPr/>
        <w:t>2003.</w:t>
      </w:r>
      <w:r>
        <w:rPr>
          <w:spacing w:val="-2"/>
        </w:rPr>
        <w:t> </w:t>
      </w:r>
      <w:r>
        <w:rPr/>
        <w:t>Proceedings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21st</w:t>
      </w:r>
      <w:r>
        <w:rPr>
          <w:spacing w:val="-52"/>
        </w:rPr>
        <w:t> </w:t>
      </w:r>
      <w:r>
        <w:rPr/>
        <w:t>International</w:t>
      </w:r>
      <w:r>
        <w:rPr>
          <w:spacing w:val="-3"/>
        </w:rPr>
        <w:t> </w:t>
      </w:r>
      <w:r>
        <w:rPr/>
        <w:t>Meeting</w:t>
      </w:r>
      <w:r>
        <w:rPr>
          <w:spacing w:val="-3"/>
        </w:rPr>
        <w:t> </w:t>
      </w:r>
      <w:r>
        <w:rPr/>
        <w:t>on</w:t>
      </w:r>
      <w:r>
        <w:rPr>
          <w:spacing w:val="-2"/>
        </w:rPr>
        <w:t> </w:t>
      </w:r>
      <w:r>
        <w:rPr/>
        <w:t>Organic</w:t>
      </w:r>
      <w:r>
        <w:rPr>
          <w:spacing w:val="-1"/>
        </w:rPr>
        <w:t> </w:t>
      </w:r>
      <w:r>
        <w:rPr/>
        <w:t>Geochemistry</w:t>
      </w:r>
      <w:r>
        <w:rPr>
          <w:spacing w:val="-2"/>
        </w:rPr>
        <w:t> </w:t>
      </w:r>
      <w:r>
        <w:rPr/>
        <w:t>35,</w:t>
      </w:r>
      <w:r>
        <w:rPr>
          <w:spacing w:val="1"/>
        </w:rPr>
        <w:t> </w:t>
      </w:r>
      <w:r>
        <w:rPr/>
        <w:t>1289–1298.</w:t>
      </w:r>
    </w:p>
    <w:p>
      <w:pPr>
        <w:pStyle w:val="BodyText"/>
        <w:spacing w:before="2"/>
      </w:pPr>
    </w:p>
    <w:p>
      <w:pPr>
        <w:pStyle w:val="BodyText"/>
        <w:ind w:left="840" w:right="660" w:hanging="720"/>
      </w:pPr>
      <w:r>
        <w:rPr/>
        <w:t>Suneson,</w:t>
      </w:r>
      <w:r>
        <w:rPr>
          <w:spacing w:val="-4"/>
        </w:rPr>
        <w:t> </w:t>
      </w:r>
      <w:r>
        <w:rPr/>
        <w:t>N.H.,</w:t>
      </w:r>
      <w:r>
        <w:rPr>
          <w:spacing w:val="-2"/>
        </w:rPr>
        <w:t> </w:t>
      </w:r>
      <w:r>
        <w:rPr/>
        <w:t>2012.</w:t>
      </w:r>
      <w:r>
        <w:rPr>
          <w:spacing w:val="-3"/>
        </w:rPr>
        <w:t> </w:t>
      </w:r>
      <w:r>
        <w:rPr/>
        <w:t>Arkoma</w:t>
      </w:r>
      <w:r>
        <w:rPr>
          <w:spacing w:val="-3"/>
        </w:rPr>
        <w:t> </w:t>
      </w:r>
      <w:r>
        <w:rPr/>
        <w:t>Basin</w:t>
      </w:r>
      <w:r>
        <w:rPr>
          <w:spacing w:val="-3"/>
        </w:rPr>
        <w:t> </w:t>
      </w:r>
      <w:r>
        <w:rPr/>
        <w:t>Petroleum -</w:t>
      </w:r>
      <w:r>
        <w:rPr>
          <w:spacing w:val="-3"/>
        </w:rPr>
        <w:t> </w:t>
      </w:r>
      <w:r>
        <w:rPr/>
        <w:t>Past, Present,</w:t>
      </w:r>
      <w:r>
        <w:rPr>
          <w:spacing w:val="1"/>
        </w:rPr>
        <w:t> </w:t>
      </w:r>
      <w:r>
        <w:rPr/>
        <w:t>and</w:t>
      </w:r>
      <w:r>
        <w:rPr>
          <w:spacing w:val="-3"/>
        </w:rPr>
        <w:t> </w:t>
      </w:r>
      <w:r>
        <w:rPr/>
        <w:t>Future.</w:t>
      </w:r>
      <w:r>
        <w:rPr>
          <w:spacing w:val="-6"/>
        </w:rPr>
        <w:t> </w:t>
      </w:r>
      <w:r>
        <w:rPr/>
        <w:t>Shale</w:t>
      </w:r>
      <w:r>
        <w:rPr>
          <w:spacing w:val="-3"/>
        </w:rPr>
        <w:t> </w:t>
      </w:r>
      <w:r>
        <w:rPr/>
        <w:t>Shaker</w:t>
      </w:r>
      <w:r>
        <w:rPr>
          <w:spacing w:val="-51"/>
        </w:rPr>
        <w:t> </w:t>
      </w:r>
      <w:r>
        <w:rPr/>
        <w:t>Oklahoma</w:t>
      </w:r>
      <w:r>
        <w:rPr>
          <w:spacing w:val="-2"/>
        </w:rPr>
        <w:t> </w:t>
      </w:r>
      <w:r>
        <w:rPr/>
        <w:t>City</w:t>
      </w:r>
      <w:r>
        <w:rPr>
          <w:spacing w:val="1"/>
        </w:rPr>
        <w:t> </w:t>
      </w:r>
      <w:r>
        <w:rPr/>
        <w:t>Geological</w:t>
      </w:r>
      <w:r>
        <w:rPr>
          <w:spacing w:val="3"/>
        </w:rPr>
        <w:t> </w:t>
      </w:r>
      <w:r>
        <w:rPr/>
        <w:t>Society</w:t>
      </w:r>
      <w:r>
        <w:rPr>
          <w:spacing w:val="-2"/>
        </w:rPr>
        <w:t> </w:t>
      </w:r>
      <w:r>
        <w:rPr/>
        <w:t>63,</w:t>
      </w:r>
      <w:r>
        <w:rPr>
          <w:spacing w:val="-2"/>
        </w:rPr>
        <w:t> </w:t>
      </w:r>
      <w:r>
        <w:rPr/>
        <w:t>35.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840" w:right="658" w:hanging="720"/>
      </w:pPr>
      <w:r>
        <w:rPr/>
        <w:t>Sutherland,</w:t>
      </w:r>
      <w:r>
        <w:rPr>
          <w:spacing w:val="-3"/>
        </w:rPr>
        <w:t> </w:t>
      </w:r>
      <w:r>
        <w:rPr/>
        <w:t>P.K.,</w:t>
      </w:r>
      <w:r>
        <w:rPr>
          <w:spacing w:val="-3"/>
        </w:rPr>
        <w:t> </w:t>
      </w:r>
      <w:r>
        <w:rPr/>
        <w:t>1988.</w:t>
      </w:r>
      <w:r>
        <w:rPr>
          <w:spacing w:val="-2"/>
        </w:rPr>
        <w:t> </w:t>
      </w:r>
      <w:r>
        <w:rPr/>
        <w:t>Late</w:t>
      </w:r>
      <w:r>
        <w:rPr>
          <w:spacing w:val="-1"/>
        </w:rPr>
        <w:t> </w:t>
      </w:r>
      <w:r>
        <w:rPr/>
        <w:t>Mississippian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Pennsylvanian depositional</w:t>
      </w:r>
      <w:r>
        <w:rPr>
          <w:spacing w:val="-5"/>
        </w:rPr>
        <w:t> </w:t>
      </w:r>
      <w:r>
        <w:rPr/>
        <w:t>history</w:t>
      </w:r>
      <w:r>
        <w:rPr>
          <w:spacing w:val="-3"/>
        </w:rPr>
        <w:t> </w:t>
      </w:r>
      <w:r>
        <w:rPr/>
        <w:t>in</w:t>
      </w:r>
      <w:r>
        <w:rPr>
          <w:spacing w:val="-5"/>
        </w:rPr>
        <w:t> </w:t>
      </w:r>
      <w:r>
        <w:rPr/>
        <w:t>the Arkoma</w:t>
      </w:r>
      <w:r>
        <w:rPr>
          <w:spacing w:val="-51"/>
        </w:rPr>
        <w:t> </w:t>
      </w:r>
      <w:r>
        <w:rPr/>
        <w:t>basin</w:t>
      </w:r>
      <w:r>
        <w:rPr>
          <w:spacing w:val="2"/>
        </w:rPr>
        <w:t> </w:t>
      </w:r>
      <w:r>
        <w:rPr/>
        <w:t>area,</w:t>
      </w:r>
      <w:r>
        <w:rPr>
          <w:spacing w:val="-1"/>
        </w:rPr>
        <w:t> </w:t>
      </w:r>
      <w:r>
        <w:rPr/>
        <w:t>Oklahoma</w:t>
      </w:r>
      <w:r>
        <w:rPr>
          <w:spacing w:val="-1"/>
        </w:rPr>
        <w:t> </w:t>
      </w:r>
      <w:r>
        <w:rPr/>
        <w:t>and</w:t>
      </w:r>
      <w:r>
        <w:rPr>
          <w:spacing w:val="2"/>
        </w:rPr>
        <w:t> </w:t>
      </w:r>
      <w:r>
        <w:rPr/>
        <w:t>Arkansas.</w:t>
      </w:r>
      <w:r>
        <w:rPr>
          <w:spacing w:val="-2"/>
        </w:rPr>
        <w:t> </w:t>
      </w:r>
      <w:r>
        <w:rPr/>
        <w:t>GSA</w:t>
      </w:r>
      <w:r>
        <w:rPr>
          <w:spacing w:val="-3"/>
        </w:rPr>
        <w:t> </w:t>
      </w:r>
      <w:r>
        <w:rPr/>
        <w:t>Bulletin</w:t>
      </w:r>
      <w:r>
        <w:rPr>
          <w:spacing w:val="-3"/>
        </w:rPr>
        <w:t> </w:t>
      </w:r>
      <w:r>
        <w:rPr/>
        <w:t>100,</w:t>
      </w:r>
      <w:r>
        <w:rPr>
          <w:spacing w:val="-2"/>
        </w:rPr>
        <w:t> </w:t>
      </w:r>
      <w:r>
        <w:rPr/>
        <w:t>1787–1802.</w:t>
      </w:r>
    </w:p>
    <w:p>
      <w:pPr>
        <w:pStyle w:val="BodyText"/>
      </w:pPr>
    </w:p>
    <w:p>
      <w:pPr>
        <w:pStyle w:val="BodyText"/>
        <w:ind w:left="840" w:right="660" w:hanging="720"/>
      </w:pPr>
      <w:r>
        <w:rPr/>
        <w:t>Treibs,</w:t>
      </w:r>
      <w:r>
        <w:rPr>
          <w:spacing w:val="-5"/>
        </w:rPr>
        <w:t> </w:t>
      </w:r>
      <w:r>
        <w:rPr/>
        <w:t>A.,</w:t>
      </w:r>
      <w:r>
        <w:rPr>
          <w:spacing w:val="-3"/>
        </w:rPr>
        <w:t> </w:t>
      </w:r>
      <w:r>
        <w:rPr/>
        <w:t>1936.</w:t>
      </w:r>
      <w:r>
        <w:rPr>
          <w:spacing w:val="-2"/>
        </w:rPr>
        <w:t> </w:t>
      </w:r>
      <w:r>
        <w:rPr/>
        <w:t>Chlorophyll-</w:t>
      </w:r>
      <w:r>
        <w:rPr>
          <w:spacing w:val="-3"/>
        </w:rPr>
        <w:t> </w:t>
      </w:r>
      <w:r>
        <w:rPr/>
        <w:t>und</w:t>
      </w:r>
      <w:r>
        <w:rPr>
          <w:spacing w:val="-5"/>
        </w:rPr>
        <w:t> </w:t>
      </w:r>
      <w:r>
        <w:rPr/>
        <w:t>Häminderivate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organischen</w:t>
      </w:r>
      <w:r>
        <w:rPr>
          <w:spacing w:val="1"/>
        </w:rPr>
        <w:t> </w:t>
      </w:r>
      <w:r>
        <w:rPr/>
        <w:t>Mineralstoffen.</w:t>
      </w:r>
      <w:r>
        <w:rPr>
          <w:spacing w:val="-4"/>
        </w:rPr>
        <w:t> </w:t>
      </w:r>
      <w:r>
        <w:rPr/>
        <w:t>Angewandte</w:t>
      </w:r>
      <w:r>
        <w:rPr>
          <w:spacing w:val="-51"/>
        </w:rPr>
        <w:t> </w:t>
      </w:r>
      <w:r>
        <w:rPr/>
        <w:t>Chemie</w:t>
      </w:r>
      <w:r>
        <w:rPr>
          <w:spacing w:val="-1"/>
        </w:rPr>
        <w:t> </w:t>
      </w:r>
      <w:r>
        <w:rPr/>
        <w:t>49,</w:t>
      </w:r>
      <w:r>
        <w:rPr>
          <w:spacing w:val="-1"/>
        </w:rPr>
        <w:t> </w:t>
      </w:r>
      <w:r>
        <w:rPr/>
        <w:t>682–686.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spacing w:before="1"/>
        <w:ind w:left="840" w:right="757" w:hanging="720"/>
      </w:pPr>
      <w:r>
        <w:rPr/>
        <w:t>Turner, B.W., Molinares-Blanco, C.E., Slatt, R.M., 2015. Chemostratigraphic,</w:t>
      </w:r>
      <w:r>
        <w:rPr>
          <w:spacing w:val="1"/>
        </w:rPr>
        <w:t> </w:t>
      </w:r>
      <w:r>
        <w:rPr/>
        <w:t>palynostratigraphic,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sequence</w:t>
      </w:r>
      <w:r>
        <w:rPr>
          <w:spacing w:val="-2"/>
        </w:rPr>
        <w:t> </w:t>
      </w:r>
      <w:r>
        <w:rPr/>
        <w:t>stratigraphic</w:t>
      </w:r>
      <w:r>
        <w:rPr>
          <w:spacing w:val="-5"/>
        </w:rPr>
        <w:t> </w:t>
      </w:r>
      <w:r>
        <w:rPr/>
        <w:t>analysis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1"/>
        </w:rPr>
        <w:t> </w:t>
      </w:r>
      <w:r>
        <w:rPr/>
        <w:t>Woodford</w:t>
      </w:r>
      <w:r>
        <w:rPr>
          <w:spacing w:val="-3"/>
        </w:rPr>
        <w:t> </w:t>
      </w:r>
      <w:r>
        <w:rPr/>
        <w:t>Shale,</w:t>
      </w:r>
      <w:r>
        <w:rPr>
          <w:spacing w:val="-2"/>
        </w:rPr>
        <w:t> </w:t>
      </w:r>
      <w:r>
        <w:rPr/>
        <w:t>Wyche</w:t>
      </w:r>
      <w:r>
        <w:rPr>
          <w:spacing w:val="-51"/>
        </w:rPr>
        <w:t> </w:t>
      </w:r>
      <w:r>
        <w:rPr/>
        <w:t>Farm</w:t>
      </w:r>
      <w:r>
        <w:rPr>
          <w:spacing w:val="-2"/>
        </w:rPr>
        <w:t> </w:t>
      </w:r>
      <w:r>
        <w:rPr/>
        <w:t>Quarry,</w:t>
      </w:r>
      <w:r>
        <w:rPr>
          <w:spacing w:val="-3"/>
        </w:rPr>
        <w:t> </w:t>
      </w:r>
      <w:r>
        <w:rPr/>
        <w:t>Pontotoc</w:t>
      </w:r>
      <w:r>
        <w:rPr>
          <w:spacing w:val="-2"/>
        </w:rPr>
        <w:t> </w:t>
      </w:r>
      <w:r>
        <w:rPr/>
        <w:t>County,</w:t>
      </w:r>
      <w:r>
        <w:rPr>
          <w:spacing w:val="-2"/>
        </w:rPr>
        <w:t> </w:t>
      </w:r>
      <w:r>
        <w:rPr/>
        <w:t>Oklahoma.</w:t>
      </w:r>
      <w:r>
        <w:rPr>
          <w:spacing w:val="-1"/>
        </w:rPr>
        <w:t> </w:t>
      </w:r>
      <w:r>
        <w:rPr/>
        <w:t>Interpretation</w:t>
      </w:r>
      <w:r>
        <w:rPr>
          <w:spacing w:val="-2"/>
        </w:rPr>
        <w:t> </w:t>
      </w:r>
      <w:r>
        <w:rPr/>
        <w:t>3,</w:t>
      </w:r>
      <w:r>
        <w:rPr>
          <w:spacing w:val="-1"/>
        </w:rPr>
        <w:t> </w:t>
      </w:r>
      <w:r>
        <w:rPr/>
        <w:t>SH1–SH9.</w:t>
      </w:r>
    </w:p>
    <w:p>
      <w:pPr>
        <w:pStyle w:val="BodyText"/>
        <w:spacing w:before="1"/>
      </w:pPr>
    </w:p>
    <w:p>
      <w:pPr>
        <w:pStyle w:val="BodyText"/>
        <w:ind w:left="840" w:right="910" w:hanging="720"/>
      </w:pPr>
      <w:r>
        <w:rPr/>
        <w:t>Turner, B.W., Tréanton, J.A., Slatt, R.M., 2016. The use of chemostratigraphy to refine</w:t>
      </w:r>
      <w:r>
        <w:rPr>
          <w:spacing w:val="1"/>
        </w:rPr>
        <w:t> </w:t>
      </w:r>
      <w:r>
        <w:rPr/>
        <w:t>ambiguous sequence</w:t>
      </w:r>
      <w:r>
        <w:rPr>
          <w:spacing w:val="-3"/>
        </w:rPr>
        <w:t> </w:t>
      </w:r>
      <w:r>
        <w:rPr/>
        <w:t>stratigraphic</w:t>
      </w:r>
      <w:r>
        <w:rPr>
          <w:spacing w:val="-1"/>
        </w:rPr>
        <w:t> </w:t>
      </w:r>
      <w:r>
        <w:rPr/>
        <w:t>correlations in</w:t>
      </w:r>
      <w:r>
        <w:rPr>
          <w:spacing w:val="-4"/>
        </w:rPr>
        <w:t> </w:t>
      </w:r>
      <w:r>
        <w:rPr/>
        <w:t>marine</w:t>
      </w:r>
      <w:r>
        <w:rPr>
          <w:spacing w:val="-3"/>
        </w:rPr>
        <w:t> </w:t>
      </w:r>
      <w:r>
        <w:rPr/>
        <w:t>mudrocks.</w:t>
      </w:r>
      <w:r>
        <w:rPr>
          <w:spacing w:val="-3"/>
        </w:rPr>
        <w:t> </w:t>
      </w:r>
      <w:r>
        <w:rPr/>
        <w:t>An</w:t>
      </w:r>
      <w:r>
        <w:rPr>
          <w:spacing w:val="-4"/>
        </w:rPr>
        <w:t> </w:t>
      </w:r>
      <w:r>
        <w:rPr/>
        <w:t>example</w:t>
      </w:r>
      <w:r>
        <w:rPr>
          <w:spacing w:val="-4"/>
        </w:rPr>
        <w:t> </w:t>
      </w:r>
      <w:r>
        <w:rPr/>
        <w:t>from</w:t>
      </w:r>
      <w:r>
        <w:rPr>
          <w:spacing w:val="-51"/>
        </w:rPr>
        <w:t> </w:t>
      </w:r>
      <w:r>
        <w:rPr/>
        <w:t>the</w:t>
      </w:r>
      <w:r>
        <w:rPr>
          <w:spacing w:val="-4"/>
        </w:rPr>
        <w:t> </w:t>
      </w:r>
      <w:r>
        <w:rPr/>
        <w:t>Woodford</w:t>
      </w:r>
      <w:r>
        <w:rPr>
          <w:spacing w:val="2"/>
        </w:rPr>
        <w:t> </w:t>
      </w:r>
      <w:r>
        <w:rPr/>
        <w:t>Shale,</w:t>
      </w:r>
      <w:r>
        <w:rPr>
          <w:spacing w:val="-5"/>
        </w:rPr>
        <w:t> </w:t>
      </w:r>
      <w:r>
        <w:rPr/>
        <w:t>Oklahoma,</w:t>
      </w:r>
      <w:r>
        <w:rPr>
          <w:spacing w:val="-2"/>
        </w:rPr>
        <w:t> </w:t>
      </w:r>
      <w:r>
        <w:rPr/>
        <w:t>USA.</w:t>
      </w:r>
      <w:r>
        <w:rPr>
          <w:spacing w:val="-5"/>
        </w:rPr>
        <w:t> </w:t>
      </w:r>
      <w:r>
        <w:rPr/>
        <w:t>Journal</w:t>
      </w:r>
      <w:r>
        <w:rPr>
          <w:spacing w:val="-5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Geological</w:t>
      </w:r>
      <w:r>
        <w:rPr>
          <w:spacing w:val="-3"/>
        </w:rPr>
        <w:t> </w:t>
      </w:r>
      <w:r>
        <w:rPr/>
        <w:t>Society 173, 854–868.</w:t>
      </w:r>
    </w:p>
    <w:p>
      <w:pPr>
        <w:pStyle w:val="BodyText"/>
        <w:spacing w:line="586" w:lineRule="exact" w:before="52"/>
        <w:ind w:left="120" w:right="694"/>
      </w:pPr>
      <w:r>
        <w:rPr/>
        <w:t>Urban, J.B., 1960. Microfossils of the Woodford Shale of Oklahoma. University of Oklahoma.</w:t>
      </w:r>
      <w:r>
        <w:rPr>
          <w:spacing w:val="1"/>
        </w:rPr>
        <w:t> </w:t>
      </w:r>
      <w:r>
        <w:rPr/>
        <w:t>van</w:t>
      </w:r>
      <w:r>
        <w:rPr>
          <w:spacing w:val="-2"/>
        </w:rPr>
        <w:t> </w:t>
      </w:r>
      <w:r>
        <w:rPr/>
        <w:t>Breugel,</w:t>
      </w:r>
      <w:r>
        <w:rPr>
          <w:spacing w:val="-4"/>
        </w:rPr>
        <w:t> </w:t>
      </w:r>
      <w:r>
        <w:rPr/>
        <w:t>Y.,</w:t>
      </w:r>
      <w:r>
        <w:rPr>
          <w:spacing w:val="-3"/>
        </w:rPr>
        <w:t> </w:t>
      </w:r>
      <w:r>
        <w:rPr/>
        <w:t>Baas,</w:t>
      </w:r>
      <w:r>
        <w:rPr>
          <w:spacing w:val="-3"/>
        </w:rPr>
        <w:t> </w:t>
      </w:r>
      <w:r>
        <w:rPr/>
        <w:t>M.,</w:t>
      </w:r>
      <w:r>
        <w:rPr>
          <w:spacing w:val="-4"/>
        </w:rPr>
        <w:t> </w:t>
      </w:r>
      <w:r>
        <w:rPr/>
        <w:t>Schouten,</w:t>
      </w:r>
      <w:r>
        <w:rPr>
          <w:spacing w:val="-1"/>
        </w:rPr>
        <w:t> </w:t>
      </w:r>
      <w:r>
        <w:rPr/>
        <w:t>S.,</w:t>
      </w:r>
      <w:r>
        <w:rPr>
          <w:spacing w:val="-3"/>
        </w:rPr>
        <w:t> </w:t>
      </w:r>
      <w:r>
        <w:rPr/>
        <w:t>Mattioli,</w:t>
      </w:r>
      <w:r>
        <w:rPr>
          <w:spacing w:val="-3"/>
        </w:rPr>
        <w:t> </w:t>
      </w:r>
      <w:r>
        <w:rPr/>
        <w:t>E.,</w:t>
      </w:r>
      <w:r>
        <w:rPr>
          <w:spacing w:val="-2"/>
        </w:rPr>
        <w:t> </w:t>
      </w:r>
      <w:r>
        <w:rPr/>
        <w:t>Damsté,</w:t>
      </w:r>
      <w:r>
        <w:rPr>
          <w:spacing w:val="-2"/>
        </w:rPr>
        <w:t> </w:t>
      </w:r>
      <w:r>
        <w:rPr/>
        <w:t>J.S.S.,</w:t>
      </w:r>
      <w:r>
        <w:rPr>
          <w:spacing w:val="-1"/>
        </w:rPr>
        <w:t> </w:t>
      </w:r>
      <w:r>
        <w:rPr/>
        <w:t>2006.</w:t>
      </w:r>
      <w:r>
        <w:rPr>
          <w:spacing w:val="-2"/>
        </w:rPr>
        <w:t> </w:t>
      </w:r>
      <w:r>
        <w:rPr/>
        <w:t>Isorenieratane</w:t>
      </w:r>
      <w:r>
        <w:rPr>
          <w:spacing w:val="-1"/>
        </w:rPr>
        <w:t> </w:t>
      </w:r>
      <w:r>
        <w:rPr/>
        <w:t>record</w:t>
      </w:r>
    </w:p>
    <w:p>
      <w:pPr>
        <w:pStyle w:val="BodyText"/>
        <w:spacing w:line="240" w:lineRule="exact"/>
        <w:ind w:left="840"/>
      </w:pPr>
      <w:r>
        <w:rPr/>
        <w:t>in</w:t>
      </w:r>
      <w:r>
        <w:rPr>
          <w:spacing w:val="2"/>
        </w:rPr>
        <w:t> </w:t>
      </w:r>
      <w:r>
        <w:rPr/>
        <w:t>black</w:t>
      </w:r>
      <w:r>
        <w:rPr>
          <w:spacing w:val="-3"/>
        </w:rPr>
        <w:t> </w:t>
      </w:r>
      <w:r>
        <w:rPr/>
        <w:t>shales</w:t>
      </w:r>
      <w:r>
        <w:rPr>
          <w:spacing w:val="-3"/>
        </w:rPr>
        <w:t> </w:t>
      </w:r>
      <w:r>
        <w:rPr/>
        <w:t>from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Paris</w:t>
      </w:r>
      <w:r>
        <w:rPr>
          <w:spacing w:val="-1"/>
        </w:rPr>
        <w:t> </w:t>
      </w:r>
      <w:r>
        <w:rPr/>
        <w:t>Basin,</w:t>
      </w:r>
      <w:r>
        <w:rPr>
          <w:spacing w:val="-2"/>
        </w:rPr>
        <w:t> </w:t>
      </w:r>
      <w:r>
        <w:rPr/>
        <w:t>France:</w:t>
      </w:r>
      <w:r>
        <w:rPr>
          <w:spacing w:val="-3"/>
        </w:rPr>
        <w:t> </w:t>
      </w:r>
      <w:r>
        <w:rPr/>
        <w:t>Constraints</w:t>
      </w:r>
      <w:r>
        <w:rPr>
          <w:spacing w:val="1"/>
        </w:rPr>
        <w:t> </w:t>
      </w:r>
      <w:r>
        <w:rPr/>
        <w:t>on</w:t>
      </w:r>
      <w:r>
        <w:rPr>
          <w:spacing w:val="2"/>
        </w:rPr>
        <w:t> </w:t>
      </w:r>
      <w:r>
        <w:rPr/>
        <w:t>recycling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respired</w:t>
      </w:r>
      <w:r>
        <w:rPr>
          <w:spacing w:val="-3"/>
        </w:rPr>
        <w:t> </w:t>
      </w:r>
      <w:r>
        <w:rPr/>
        <w:t>CO2</w:t>
      </w:r>
      <w:r>
        <w:rPr>
          <w:spacing w:val="-2"/>
        </w:rPr>
        <w:t> </w:t>
      </w:r>
      <w:r>
        <w:rPr/>
        <w:t>as</w:t>
      </w:r>
    </w:p>
    <w:p>
      <w:pPr>
        <w:spacing w:after="0" w:line="240" w:lineRule="exact"/>
        <w:sectPr>
          <w:pgSz w:w="12240" w:h="15840"/>
          <w:pgMar w:header="0" w:footer="934" w:top="1400" w:bottom="1200" w:left="1320" w:right="820"/>
        </w:sectPr>
      </w:pPr>
    </w:p>
    <w:p>
      <w:pPr>
        <w:pStyle w:val="BodyText"/>
        <w:spacing w:before="39"/>
        <w:ind w:left="840" w:right="1212"/>
      </w:pPr>
      <w:r>
        <w:rPr/>
        <w:t>a</w:t>
      </w:r>
      <w:r>
        <w:rPr>
          <w:spacing w:val="-3"/>
        </w:rPr>
        <w:t> </w:t>
      </w:r>
      <w:r>
        <w:rPr/>
        <w:t>mechanism</w:t>
      </w:r>
      <w:r>
        <w:rPr>
          <w:spacing w:val="-2"/>
        </w:rPr>
        <w:t> </w:t>
      </w:r>
      <w:r>
        <w:rPr/>
        <w:t>for</w:t>
      </w:r>
      <w:r>
        <w:rPr>
          <w:spacing w:val="-3"/>
        </w:rPr>
        <w:t> </w:t>
      </w:r>
      <w:r>
        <w:rPr/>
        <w:t>negative</w:t>
      </w:r>
      <w:r>
        <w:rPr>
          <w:spacing w:val="-2"/>
        </w:rPr>
        <w:t> </w:t>
      </w:r>
      <w:r>
        <w:rPr/>
        <w:t>carbon</w:t>
      </w:r>
      <w:r>
        <w:rPr>
          <w:spacing w:val="1"/>
        </w:rPr>
        <w:t> </w:t>
      </w:r>
      <w:r>
        <w:rPr/>
        <w:t>isotope shifts</w:t>
      </w:r>
      <w:r>
        <w:rPr>
          <w:spacing w:val="-2"/>
        </w:rPr>
        <w:t> </w:t>
      </w:r>
      <w:r>
        <w:rPr/>
        <w:t>during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Toarcian</w:t>
      </w:r>
      <w:r>
        <w:rPr>
          <w:spacing w:val="-4"/>
        </w:rPr>
        <w:t> </w:t>
      </w:r>
      <w:r>
        <w:rPr/>
        <w:t>oceanic</w:t>
      </w:r>
      <w:r>
        <w:rPr>
          <w:spacing w:val="-2"/>
        </w:rPr>
        <w:t> </w:t>
      </w:r>
      <w:r>
        <w:rPr/>
        <w:t>anoxic</w:t>
      </w:r>
      <w:r>
        <w:rPr>
          <w:spacing w:val="-51"/>
        </w:rPr>
        <w:t> </w:t>
      </w:r>
      <w:r>
        <w:rPr/>
        <w:t>event.</w:t>
      </w:r>
      <w:r>
        <w:rPr>
          <w:spacing w:val="-3"/>
        </w:rPr>
        <w:t> </w:t>
      </w:r>
      <w:r>
        <w:rPr/>
        <w:t>Paleoceanography</w:t>
      </w:r>
      <w:r>
        <w:rPr>
          <w:spacing w:val="-2"/>
        </w:rPr>
        <w:t> </w:t>
      </w:r>
      <w:r>
        <w:rPr/>
        <w:t>21.</w:t>
      </w:r>
      <w:r>
        <w:rPr>
          <w:spacing w:val="-2"/>
        </w:rPr>
        <w:t> </w:t>
      </w:r>
      <w:r>
        <w:rPr/>
        <w:t>doi:https://doi.org/10.1029/2006PA001305</w:t>
      </w:r>
    </w:p>
    <w:p>
      <w:pPr>
        <w:pStyle w:val="BodyText"/>
        <w:spacing w:before="12"/>
        <w:rPr>
          <w:sz w:val="23"/>
        </w:rPr>
      </w:pPr>
    </w:p>
    <w:p>
      <w:pPr>
        <w:pStyle w:val="BodyText"/>
        <w:ind w:left="120"/>
      </w:pPr>
      <w:r>
        <w:rPr/>
        <w:t>van</w:t>
      </w:r>
      <w:r>
        <w:rPr>
          <w:spacing w:val="-2"/>
        </w:rPr>
        <w:t> </w:t>
      </w:r>
      <w:r>
        <w:rPr/>
        <w:t>Breugel,</w:t>
      </w:r>
      <w:r>
        <w:rPr>
          <w:spacing w:val="-4"/>
        </w:rPr>
        <w:t> </w:t>
      </w:r>
      <w:r>
        <w:rPr/>
        <w:t>Y.,</w:t>
      </w:r>
      <w:r>
        <w:rPr>
          <w:spacing w:val="-4"/>
        </w:rPr>
        <w:t> </w:t>
      </w:r>
      <w:r>
        <w:rPr/>
        <w:t>Schouten,</w:t>
      </w:r>
      <w:r>
        <w:rPr>
          <w:spacing w:val="1"/>
        </w:rPr>
        <w:t> </w:t>
      </w:r>
      <w:r>
        <w:rPr/>
        <w:t>S.,</w:t>
      </w:r>
      <w:r>
        <w:rPr>
          <w:spacing w:val="-1"/>
        </w:rPr>
        <w:t> </w:t>
      </w:r>
      <w:r>
        <w:rPr/>
        <w:t>Paetzel,</w:t>
      </w:r>
      <w:r>
        <w:rPr>
          <w:spacing w:val="-4"/>
        </w:rPr>
        <w:t> </w:t>
      </w:r>
      <w:r>
        <w:rPr/>
        <w:t>M.,</w:t>
      </w:r>
      <w:r>
        <w:rPr>
          <w:spacing w:val="-2"/>
        </w:rPr>
        <w:t> </w:t>
      </w:r>
      <w:r>
        <w:rPr/>
        <w:t>Ossebaar,</w:t>
      </w:r>
      <w:r>
        <w:rPr>
          <w:spacing w:val="1"/>
        </w:rPr>
        <w:t> </w:t>
      </w:r>
      <w:r>
        <w:rPr/>
        <w:t>J.,</w:t>
      </w:r>
      <w:r>
        <w:rPr>
          <w:spacing w:val="-1"/>
        </w:rPr>
        <w:t> </w:t>
      </w:r>
      <w:r>
        <w:rPr/>
        <w:t>Sinninghe</w:t>
      </w:r>
      <w:r>
        <w:rPr>
          <w:spacing w:val="-3"/>
        </w:rPr>
        <w:t> </w:t>
      </w:r>
      <w:r>
        <w:rPr/>
        <w:t>Damsté,</w:t>
      </w:r>
      <w:r>
        <w:rPr>
          <w:spacing w:val="-1"/>
        </w:rPr>
        <w:t> </w:t>
      </w:r>
      <w:r>
        <w:rPr/>
        <w:t>J.S.,</w:t>
      </w:r>
      <w:r>
        <w:rPr>
          <w:spacing w:val="-4"/>
        </w:rPr>
        <w:t> </w:t>
      </w:r>
      <w:r>
        <w:rPr/>
        <w:t>2005.</w:t>
      </w:r>
    </w:p>
    <w:p>
      <w:pPr>
        <w:pStyle w:val="BodyText"/>
        <w:ind w:left="840" w:right="738"/>
      </w:pPr>
      <w:r>
        <w:rPr/>
        <w:t>Reconstruction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δ13C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chemocline</w:t>
      </w:r>
      <w:r>
        <w:rPr>
          <w:spacing w:val="-4"/>
        </w:rPr>
        <w:t> </w:t>
      </w:r>
      <w:r>
        <w:rPr/>
        <w:t>CO2</w:t>
      </w:r>
      <w:r>
        <w:rPr>
          <w:spacing w:val="-2"/>
        </w:rPr>
        <w:t> </w:t>
      </w:r>
      <w:r>
        <w:rPr/>
        <w:t>(aq)</w:t>
      </w:r>
      <w:r>
        <w:rPr>
          <w:spacing w:val="-1"/>
        </w:rPr>
        <w:t> </w:t>
      </w:r>
      <w:r>
        <w:rPr/>
        <w:t>in</w:t>
      </w:r>
      <w:r>
        <w:rPr>
          <w:spacing w:val="1"/>
        </w:rPr>
        <w:t> </w:t>
      </w:r>
      <w:r>
        <w:rPr/>
        <w:t>past</w:t>
      </w:r>
      <w:r>
        <w:rPr>
          <w:spacing w:val="2"/>
        </w:rPr>
        <w:t> </w:t>
      </w:r>
      <w:r>
        <w:rPr/>
        <w:t>oceans and</w:t>
      </w:r>
      <w:r>
        <w:rPr>
          <w:spacing w:val="-2"/>
        </w:rPr>
        <w:t> </w:t>
      </w:r>
      <w:r>
        <w:rPr/>
        <w:t>lakes</w:t>
      </w:r>
      <w:r>
        <w:rPr>
          <w:spacing w:val="-4"/>
        </w:rPr>
        <w:t> </w:t>
      </w:r>
      <w:r>
        <w:rPr/>
        <w:t>using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δ13C</w:t>
      </w:r>
      <w:r>
        <w:rPr>
          <w:spacing w:val="-51"/>
        </w:rPr>
        <w:t> </w:t>
      </w:r>
      <w:r>
        <w:rPr/>
        <w:t>of</w:t>
      </w:r>
      <w:r>
        <w:rPr>
          <w:spacing w:val="-2"/>
        </w:rPr>
        <w:t> </w:t>
      </w:r>
      <w:r>
        <w:rPr/>
        <w:t>fossil</w:t>
      </w:r>
      <w:r>
        <w:rPr>
          <w:spacing w:val="-1"/>
        </w:rPr>
        <w:t> </w:t>
      </w:r>
      <w:r>
        <w:rPr/>
        <w:t>isorenieratene.</w:t>
      </w:r>
      <w:r>
        <w:rPr>
          <w:spacing w:val="-2"/>
        </w:rPr>
        <w:t> </w:t>
      </w:r>
      <w:r>
        <w:rPr/>
        <w:t>Earth</w:t>
      </w:r>
      <w:r>
        <w:rPr>
          <w:spacing w:val="-3"/>
        </w:rPr>
        <w:t> </w:t>
      </w:r>
      <w:r>
        <w:rPr/>
        <w:t>and</w:t>
      </w:r>
      <w:r>
        <w:rPr>
          <w:spacing w:val="-1"/>
        </w:rPr>
        <w:t> </w:t>
      </w:r>
      <w:r>
        <w:rPr/>
        <w:t>Planetary</w:t>
      </w:r>
      <w:r>
        <w:rPr>
          <w:spacing w:val="-2"/>
        </w:rPr>
        <w:t> </w:t>
      </w:r>
      <w:r>
        <w:rPr/>
        <w:t>Science</w:t>
      </w:r>
      <w:r>
        <w:rPr>
          <w:spacing w:val="-1"/>
        </w:rPr>
        <w:t> </w:t>
      </w:r>
      <w:r>
        <w:rPr/>
        <w:t>Letters</w:t>
      </w:r>
      <w:r>
        <w:rPr>
          <w:spacing w:val="-4"/>
        </w:rPr>
        <w:t> </w:t>
      </w:r>
      <w:r>
        <w:rPr/>
        <w:t>235,</w:t>
      </w:r>
      <w:r>
        <w:rPr>
          <w:spacing w:val="-1"/>
        </w:rPr>
        <w:t> </w:t>
      </w:r>
      <w:r>
        <w:rPr/>
        <w:t>421–434.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840" w:right="660" w:hanging="720"/>
      </w:pPr>
      <w:r>
        <w:rPr/>
        <w:t>van der Meer, M.T.J., Schouten, S., Sinninghe Damsté, J.S., 1998. The effect of the reversed</w:t>
      </w:r>
      <w:r>
        <w:rPr>
          <w:spacing w:val="1"/>
        </w:rPr>
        <w:t> </w:t>
      </w:r>
      <w:r>
        <w:rPr/>
        <w:t>tricarboxylic</w:t>
      </w:r>
      <w:r>
        <w:rPr>
          <w:spacing w:val="-1"/>
        </w:rPr>
        <w:t> </w:t>
      </w:r>
      <w:r>
        <w:rPr/>
        <w:t>acid</w:t>
      </w:r>
      <w:r>
        <w:rPr>
          <w:spacing w:val="-4"/>
        </w:rPr>
        <w:t> </w:t>
      </w:r>
      <w:r>
        <w:rPr/>
        <w:t>cycle on</w:t>
      </w:r>
      <w:r>
        <w:rPr>
          <w:spacing w:val="1"/>
        </w:rPr>
        <w:t> </w:t>
      </w:r>
      <w:r>
        <w:rPr/>
        <w:t>the</w:t>
      </w:r>
      <w:r>
        <w:rPr>
          <w:spacing w:val="-4"/>
        </w:rPr>
        <w:t> </w:t>
      </w:r>
      <w:r>
        <w:rPr/>
        <w:t>13C</w:t>
      </w:r>
      <w:r>
        <w:rPr>
          <w:spacing w:val="-3"/>
        </w:rPr>
        <w:t> </w:t>
      </w:r>
      <w:r>
        <w:rPr/>
        <w:t>contents</w:t>
      </w:r>
      <w:r>
        <w:rPr>
          <w:spacing w:val="-3"/>
        </w:rPr>
        <w:t> </w:t>
      </w:r>
      <w:r>
        <w:rPr/>
        <w:t>of bacterial</w:t>
      </w:r>
      <w:r>
        <w:rPr>
          <w:spacing w:val="-2"/>
        </w:rPr>
        <w:t> </w:t>
      </w:r>
      <w:r>
        <w:rPr/>
        <w:t>lipids.</w:t>
      </w:r>
      <w:r>
        <w:rPr>
          <w:spacing w:val="-3"/>
        </w:rPr>
        <w:t> </w:t>
      </w:r>
      <w:r>
        <w:rPr/>
        <w:t>Organic</w:t>
      </w:r>
      <w:r>
        <w:rPr>
          <w:spacing w:val="-4"/>
        </w:rPr>
        <w:t> </w:t>
      </w:r>
      <w:r>
        <w:rPr/>
        <w:t>Geochemistry</w:t>
      </w:r>
      <w:r>
        <w:rPr>
          <w:spacing w:val="-4"/>
        </w:rPr>
        <w:t> </w:t>
      </w:r>
      <w:r>
        <w:rPr/>
        <w:t>28,</w:t>
      </w:r>
      <w:r>
        <w:rPr>
          <w:spacing w:val="-51"/>
        </w:rPr>
        <w:t> </w:t>
      </w:r>
      <w:r>
        <w:rPr/>
        <w:t>527–533.</w:t>
      </w:r>
    </w:p>
    <w:p>
      <w:pPr>
        <w:pStyle w:val="BodyText"/>
        <w:spacing w:before="2"/>
      </w:pPr>
    </w:p>
    <w:p>
      <w:pPr>
        <w:pStyle w:val="BodyText"/>
        <w:ind w:left="840" w:right="1423" w:hanging="720"/>
      </w:pPr>
      <w:r>
        <w:rPr/>
        <w:t>van</w:t>
      </w:r>
      <w:r>
        <w:rPr>
          <w:spacing w:val="-3"/>
        </w:rPr>
        <w:t> </w:t>
      </w:r>
      <w:r>
        <w:rPr/>
        <w:t>Gemerden, H.,</w:t>
      </w:r>
      <w:r>
        <w:rPr>
          <w:spacing w:val="-3"/>
        </w:rPr>
        <w:t> </w:t>
      </w:r>
      <w:r>
        <w:rPr/>
        <w:t>1983.</w:t>
      </w:r>
      <w:r>
        <w:rPr>
          <w:spacing w:val="-5"/>
        </w:rPr>
        <w:t> </w:t>
      </w:r>
      <w:r>
        <w:rPr/>
        <w:t>Physiological</w:t>
      </w:r>
      <w:r>
        <w:rPr>
          <w:spacing w:val="-5"/>
        </w:rPr>
        <w:t> </w:t>
      </w:r>
      <w:r>
        <w:rPr/>
        <w:t>ecology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purple</w:t>
      </w:r>
      <w:r>
        <w:rPr>
          <w:spacing w:val="1"/>
        </w:rPr>
        <w:t> </w:t>
      </w:r>
      <w:r>
        <w:rPr/>
        <w:t>and</w:t>
      </w:r>
      <w:r>
        <w:rPr>
          <w:spacing w:val="-4"/>
        </w:rPr>
        <w:t> </w:t>
      </w:r>
      <w:r>
        <w:rPr/>
        <w:t>green</w:t>
      </w:r>
      <w:r>
        <w:rPr>
          <w:spacing w:val="2"/>
        </w:rPr>
        <w:t> </w:t>
      </w:r>
      <w:r>
        <w:rPr/>
        <w:t>bacteria.</w:t>
      </w:r>
      <w:r>
        <w:rPr>
          <w:spacing w:val="-4"/>
        </w:rPr>
        <w:t> </w:t>
      </w:r>
      <w:r>
        <w:rPr/>
        <w:t>Annales de</w:t>
      </w:r>
      <w:r>
        <w:rPr>
          <w:spacing w:val="-51"/>
        </w:rPr>
        <w:t> </w:t>
      </w:r>
      <w:r>
        <w:rPr/>
        <w:t>l’Institut</w:t>
      </w:r>
      <w:r>
        <w:rPr>
          <w:spacing w:val="-3"/>
        </w:rPr>
        <w:t> </w:t>
      </w:r>
      <w:r>
        <w:rPr/>
        <w:t>Pasteur</w:t>
      </w:r>
      <w:r>
        <w:rPr>
          <w:spacing w:val="-1"/>
        </w:rPr>
        <w:t> </w:t>
      </w:r>
      <w:r>
        <w:rPr/>
        <w:t>/</w:t>
      </w:r>
      <w:r>
        <w:rPr>
          <w:spacing w:val="-1"/>
        </w:rPr>
        <w:t> </w:t>
      </w:r>
      <w:r>
        <w:rPr/>
        <w:t>Microbiologie</w:t>
      </w:r>
      <w:r>
        <w:rPr>
          <w:spacing w:val="-2"/>
        </w:rPr>
        <w:t> </w:t>
      </w:r>
      <w:r>
        <w:rPr/>
        <w:t>134,</w:t>
      </w:r>
      <w:r>
        <w:rPr>
          <w:spacing w:val="-1"/>
        </w:rPr>
        <w:t> </w:t>
      </w:r>
      <w:r>
        <w:rPr/>
        <w:t>73–92.</w:t>
      </w:r>
    </w:p>
    <w:p>
      <w:pPr>
        <w:pStyle w:val="BodyText"/>
        <w:spacing w:before="12"/>
        <w:rPr>
          <w:sz w:val="23"/>
        </w:rPr>
      </w:pPr>
    </w:p>
    <w:p>
      <w:pPr>
        <w:pStyle w:val="BodyText"/>
        <w:ind w:left="840" w:right="660" w:hanging="720"/>
      </w:pPr>
      <w:r>
        <w:rPr/>
        <w:t>Wang,</w:t>
      </w:r>
      <w:r>
        <w:rPr>
          <w:spacing w:val="-3"/>
        </w:rPr>
        <w:t> </w:t>
      </w:r>
      <w:r>
        <w:rPr/>
        <w:t>K.,</w:t>
      </w:r>
      <w:r>
        <w:rPr>
          <w:spacing w:val="-3"/>
        </w:rPr>
        <w:t> </w:t>
      </w:r>
      <w:r>
        <w:rPr/>
        <w:t>Attrep,</w:t>
      </w:r>
      <w:r>
        <w:rPr>
          <w:spacing w:val="-2"/>
        </w:rPr>
        <w:t> </w:t>
      </w:r>
      <w:r>
        <w:rPr/>
        <w:t>M.,</w:t>
      </w:r>
      <w:r>
        <w:rPr>
          <w:spacing w:val="-3"/>
        </w:rPr>
        <w:t> </w:t>
      </w:r>
      <w:r>
        <w:rPr/>
        <w:t>Orth,</w:t>
      </w:r>
      <w:r>
        <w:rPr>
          <w:spacing w:val="1"/>
        </w:rPr>
        <w:t> </w:t>
      </w:r>
      <w:r>
        <w:rPr/>
        <w:t>C.J.,</w:t>
      </w:r>
      <w:r>
        <w:rPr>
          <w:spacing w:val="-5"/>
        </w:rPr>
        <w:t> </w:t>
      </w:r>
      <w:r>
        <w:rPr/>
        <w:t>1993.</w:t>
      </w:r>
      <w:r>
        <w:rPr>
          <w:spacing w:val="-1"/>
        </w:rPr>
        <w:t> </w:t>
      </w:r>
      <w:r>
        <w:rPr/>
        <w:t>Global</w:t>
      </w:r>
      <w:r>
        <w:rPr>
          <w:spacing w:val="-2"/>
        </w:rPr>
        <w:t> </w:t>
      </w:r>
      <w:r>
        <w:rPr/>
        <w:t>iridium</w:t>
      </w:r>
      <w:r>
        <w:rPr>
          <w:spacing w:val="1"/>
        </w:rPr>
        <w:t> </w:t>
      </w:r>
      <w:r>
        <w:rPr/>
        <w:t>anomaly,</w:t>
      </w:r>
      <w:r>
        <w:rPr>
          <w:spacing w:val="-4"/>
        </w:rPr>
        <w:t> </w:t>
      </w:r>
      <w:r>
        <w:rPr/>
        <w:t>mass</w:t>
      </w:r>
      <w:r>
        <w:rPr>
          <w:spacing w:val="-5"/>
        </w:rPr>
        <w:t> </w:t>
      </w:r>
      <w:r>
        <w:rPr/>
        <w:t>extinction,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redox</w:t>
      </w:r>
      <w:r>
        <w:rPr>
          <w:spacing w:val="-51"/>
        </w:rPr>
        <w:t> </w:t>
      </w:r>
      <w:r>
        <w:rPr/>
        <w:t>change</w:t>
      </w:r>
      <w:r>
        <w:rPr>
          <w:spacing w:val="-2"/>
        </w:rPr>
        <w:t> </w:t>
      </w:r>
      <w:r>
        <w:rPr/>
        <w:t>at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Devonian-Carboniferous</w:t>
      </w:r>
      <w:r>
        <w:rPr>
          <w:spacing w:val="-2"/>
        </w:rPr>
        <w:t> </w:t>
      </w:r>
      <w:r>
        <w:rPr/>
        <w:t>boundary.</w:t>
      </w:r>
      <w:r>
        <w:rPr>
          <w:spacing w:val="-4"/>
        </w:rPr>
        <w:t> </w:t>
      </w:r>
      <w:r>
        <w:rPr/>
        <w:t>Geology</w:t>
      </w:r>
      <w:r>
        <w:rPr>
          <w:spacing w:val="-1"/>
        </w:rPr>
        <w:t> </w:t>
      </w:r>
      <w:r>
        <w:rPr/>
        <w:t>21,</w:t>
      </w:r>
      <w:r>
        <w:rPr>
          <w:spacing w:val="-1"/>
        </w:rPr>
        <w:t> </w:t>
      </w:r>
      <w:r>
        <w:rPr/>
        <w:t>1071–1074.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spacing w:before="1"/>
        <w:ind w:left="840" w:right="728" w:hanging="720"/>
      </w:pPr>
      <w:r>
        <w:rPr/>
        <w:t>Wignall,</w:t>
      </w:r>
      <w:r>
        <w:rPr>
          <w:spacing w:val="-2"/>
        </w:rPr>
        <w:t> </w:t>
      </w:r>
      <w:r>
        <w:rPr/>
        <w:t>P.B.,</w:t>
      </w:r>
      <w:r>
        <w:rPr>
          <w:spacing w:val="-2"/>
        </w:rPr>
        <w:t> </w:t>
      </w:r>
      <w:r>
        <w:rPr/>
        <w:t>Kozur,</w:t>
      </w:r>
      <w:r>
        <w:rPr>
          <w:spacing w:val="-4"/>
        </w:rPr>
        <w:t> </w:t>
      </w:r>
      <w:r>
        <w:rPr/>
        <w:t>H.,</w:t>
      </w:r>
      <w:r>
        <w:rPr>
          <w:spacing w:val="-3"/>
        </w:rPr>
        <w:t> </w:t>
      </w:r>
      <w:r>
        <w:rPr/>
        <w:t>Hallam,</w:t>
      </w:r>
      <w:r>
        <w:rPr>
          <w:spacing w:val="-2"/>
        </w:rPr>
        <w:t> </w:t>
      </w:r>
      <w:r>
        <w:rPr/>
        <w:t>A.,</w:t>
      </w:r>
      <w:r>
        <w:rPr>
          <w:spacing w:val="-2"/>
        </w:rPr>
        <w:t> </w:t>
      </w:r>
      <w:r>
        <w:rPr/>
        <w:t>1996.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/>
        <w:t>the timing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palaeoenvironmental</w:t>
      </w:r>
      <w:r>
        <w:rPr>
          <w:spacing w:val="-4"/>
        </w:rPr>
        <w:t> </w:t>
      </w:r>
      <w:r>
        <w:rPr/>
        <w:t>changes</w:t>
      </w:r>
      <w:r>
        <w:rPr>
          <w:spacing w:val="-2"/>
        </w:rPr>
        <w:t> </w:t>
      </w:r>
      <w:r>
        <w:rPr/>
        <w:t>at</w:t>
      </w:r>
      <w:r>
        <w:rPr>
          <w:spacing w:val="2"/>
        </w:rPr>
        <w:t> </w:t>
      </w:r>
      <w:r>
        <w:rPr/>
        <w:t>the</w:t>
      </w:r>
      <w:r>
        <w:rPr>
          <w:spacing w:val="-51"/>
        </w:rPr>
        <w:t> </w:t>
      </w:r>
      <w:r>
        <w:rPr/>
        <w:t>Permo-Triassic (P/TR) boundary using conodont biostratigraphy. Historical Biology 12,</w:t>
      </w:r>
      <w:r>
        <w:rPr>
          <w:spacing w:val="1"/>
        </w:rPr>
        <w:t> </w:t>
      </w:r>
      <w:r>
        <w:rPr/>
        <w:t>39–62.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840" w:right="737" w:hanging="720"/>
      </w:pPr>
      <w:r>
        <w:rPr/>
        <w:t>Zhang, Y., Schulz, F., Rytting, B.M., Walters, C.C., Kaiser, K., Metz, J.N., Harper, M.R., Merchant,</w:t>
      </w:r>
      <w:r>
        <w:rPr>
          <w:spacing w:val="-52"/>
        </w:rPr>
        <w:t> </w:t>
      </w:r>
      <w:r>
        <w:rPr/>
        <w:t>S.S.,</w:t>
      </w:r>
      <w:r>
        <w:rPr>
          <w:spacing w:val="-3"/>
        </w:rPr>
        <w:t> </w:t>
      </w:r>
      <w:r>
        <w:rPr/>
        <w:t>Mennito,</w:t>
      </w:r>
      <w:r>
        <w:rPr>
          <w:spacing w:val="1"/>
        </w:rPr>
        <w:t> </w:t>
      </w:r>
      <w:r>
        <w:rPr/>
        <w:t>A.S.,</w:t>
      </w:r>
      <w:r>
        <w:rPr>
          <w:spacing w:val="-2"/>
        </w:rPr>
        <w:t> </w:t>
      </w:r>
      <w:r>
        <w:rPr/>
        <w:t>Qian,</w:t>
      </w:r>
      <w:r>
        <w:rPr>
          <w:spacing w:val="-2"/>
        </w:rPr>
        <w:t> </w:t>
      </w:r>
      <w:r>
        <w:rPr/>
        <w:t>K.,</w:t>
      </w:r>
      <w:r>
        <w:rPr>
          <w:spacing w:val="-2"/>
        </w:rPr>
        <w:t> </w:t>
      </w:r>
      <w:r>
        <w:rPr/>
        <w:t>Kushnerick,</w:t>
      </w:r>
      <w:r>
        <w:rPr>
          <w:spacing w:val="1"/>
        </w:rPr>
        <w:t> </w:t>
      </w:r>
      <w:r>
        <w:rPr/>
        <w:t>J.D.,</w:t>
      </w:r>
      <w:r>
        <w:rPr>
          <w:spacing w:val="-4"/>
        </w:rPr>
        <w:t> </w:t>
      </w:r>
      <w:r>
        <w:rPr/>
        <w:t>Kilpatrick,</w:t>
      </w:r>
      <w:r>
        <w:rPr>
          <w:spacing w:val="-3"/>
        </w:rPr>
        <w:t> </w:t>
      </w:r>
      <w:r>
        <w:rPr/>
        <w:t>P.K.,</w:t>
      </w:r>
      <w:r>
        <w:rPr>
          <w:spacing w:val="-2"/>
        </w:rPr>
        <w:t> </w:t>
      </w:r>
      <w:r>
        <w:rPr/>
        <w:t>Gross,</w:t>
      </w:r>
      <w:r>
        <w:rPr>
          <w:spacing w:val="-2"/>
        </w:rPr>
        <w:t> </w:t>
      </w:r>
      <w:r>
        <w:rPr/>
        <w:t>L.,</w:t>
      </w:r>
      <w:r>
        <w:rPr>
          <w:spacing w:val="-5"/>
        </w:rPr>
        <w:t> </w:t>
      </w:r>
      <w:r>
        <w:rPr/>
        <w:t>2019.</w:t>
      </w:r>
      <w:r>
        <w:rPr>
          <w:spacing w:val="-2"/>
        </w:rPr>
        <w:t> </w:t>
      </w:r>
      <w:r>
        <w:rPr/>
        <w:t>Elucidating</w:t>
      </w:r>
      <w:r>
        <w:rPr>
          <w:spacing w:val="-51"/>
        </w:rPr>
        <w:t> </w:t>
      </w:r>
      <w:r>
        <w:rPr/>
        <w:t>the Geometric Substitution of Petroporphyrins by Spectroscopic Analysis and Atomic</w:t>
      </w:r>
      <w:r>
        <w:rPr>
          <w:spacing w:val="1"/>
        </w:rPr>
        <w:t> </w:t>
      </w:r>
      <w:r>
        <w:rPr/>
        <w:t>Force</w:t>
      </w:r>
      <w:r>
        <w:rPr>
          <w:spacing w:val="-2"/>
        </w:rPr>
        <w:t> </w:t>
      </w:r>
      <w:r>
        <w:rPr/>
        <w:t>Microscopy</w:t>
      </w:r>
      <w:r>
        <w:rPr>
          <w:spacing w:val="-1"/>
        </w:rPr>
        <w:t> </w:t>
      </w:r>
      <w:r>
        <w:rPr/>
        <w:t>Molecular</w:t>
      </w:r>
      <w:r>
        <w:rPr>
          <w:spacing w:val="-1"/>
        </w:rPr>
        <w:t> </w:t>
      </w:r>
      <w:r>
        <w:rPr/>
        <w:t>Imaging.</w:t>
      </w:r>
      <w:r>
        <w:rPr>
          <w:spacing w:val="-2"/>
        </w:rPr>
        <w:t> </w:t>
      </w:r>
      <w:r>
        <w:rPr/>
        <w:t>Energy</w:t>
      </w:r>
      <w:r>
        <w:rPr>
          <w:spacing w:val="-2"/>
        </w:rPr>
        <w:t> </w:t>
      </w:r>
      <w:r>
        <w:rPr/>
        <w:t>&amp;</w:t>
      </w:r>
      <w:r>
        <w:rPr>
          <w:spacing w:val="-2"/>
        </w:rPr>
        <w:t> </w:t>
      </w:r>
      <w:r>
        <w:rPr/>
        <w:t>Fuels</w:t>
      </w:r>
      <w:r>
        <w:rPr>
          <w:spacing w:val="-1"/>
        </w:rPr>
        <w:t> </w:t>
      </w:r>
      <w:r>
        <w:rPr/>
        <w:t>2019,</w:t>
      </w:r>
      <w:r>
        <w:rPr>
          <w:spacing w:val="-3"/>
        </w:rPr>
        <w:t> </w:t>
      </w:r>
      <w:r>
        <w:rPr/>
        <w:t>6088–6097.</w:t>
      </w:r>
    </w:p>
    <w:p>
      <w:pPr>
        <w:spacing w:after="0"/>
        <w:sectPr>
          <w:pgSz w:w="12240" w:h="15840"/>
          <w:pgMar w:header="0" w:footer="934" w:top="1400" w:bottom="1200" w:left="1320" w:right="820"/>
        </w:sectPr>
      </w:pPr>
    </w:p>
    <w:p>
      <w:pPr>
        <w:pStyle w:val="Heading2"/>
        <w:spacing w:before="39"/>
        <w:ind w:left="120" w:firstLine="0"/>
      </w:pPr>
      <w:r>
        <w:rPr/>
        <w:t>APPENDIX</w:t>
      </w:r>
      <w:r>
        <w:rPr>
          <w:spacing w:val="-2"/>
        </w:rPr>
        <w:t> </w:t>
      </w:r>
      <w:r>
        <w:rPr/>
        <w:t>I</w:t>
      </w:r>
      <w:r>
        <w:rPr>
          <w:spacing w:val="-2"/>
        </w:rPr>
        <w:t> </w:t>
      </w:r>
      <w:r>
        <w:rPr/>
        <w:t>Compound</w:t>
      </w:r>
      <w:r>
        <w:rPr>
          <w:spacing w:val="-5"/>
        </w:rPr>
        <w:t> </w:t>
      </w:r>
      <w:r>
        <w:rPr/>
        <w:t>Structures</w:t>
      </w:r>
    </w:p>
    <w:p>
      <w:pPr>
        <w:pStyle w:val="BodyText"/>
        <w:spacing w:before="7"/>
        <w:rPr>
          <w:b/>
          <w:sz w:val="12"/>
        </w:rPr>
      </w:pPr>
      <w:r>
        <w:rPr/>
        <w:drawing>
          <wp:anchor distT="0" distB="0" distL="0" distR="0" allowOverlap="1" layoutInCell="1" locked="0" behindDoc="0" simplePos="0" relativeHeight="216">
            <wp:simplePos x="0" y="0"/>
            <wp:positionH relativeFrom="page">
              <wp:posOffset>1691639</wp:posOffset>
            </wp:positionH>
            <wp:positionV relativeFrom="paragraph">
              <wp:posOffset>113303</wp:posOffset>
            </wp:positionV>
            <wp:extent cx="4246394" cy="7615142"/>
            <wp:effectExtent l="0" t="0" r="0" b="0"/>
            <wp:wrapTopAndBottom/>
            <wp:docPr id="67" name="image3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" name="image34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46394" cy="76151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2"/>
        </w:rPr>
        <w:sectPr>
          <w:pgSz w:w="12240" w:h="15840"/>
          <w:pgMar w:header="0" w:footer="934" w:top="1400" w:bottom="1200" w:left="1320" w:right="820"/>
        </w:sectPr>
      </w:pPr>
    </w:p>
    <w:p>
      <w:pPr>
        <w:pStyle w:val="BodyText"/>
        <w:ind w:left="2366"/>
        <w:rPr>
          <w:sz w:val="20"/>
        </w:rPr>
      </w:pPr>
      <w:r>
        <w:rPr>
          <w:sz w:val="20"/>
        </w:rPr>
        <w:drawing>
          <wp:inline distT="0" distB="0" distL="0" distR="0">
            <wp:extent cx="3075012" cy="4754880"/>
            <wp:effectExtent l="0" t="0" r="0" b="0"/>
            <wp:docPr id="69" name="image3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" name="image35.jpe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5012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5"/>
        <w:rPr>
          <w:b/>
          <w:sz w:val="23"/>
        </w:rPr>
      </w:pPr>
      <w:r>
        <w:rPr/>
        <w:drawing>
          <wp:anchor distT="0" distB="0" distL="0" distR="0" allowOverlap="1" layoutInCell="1" locked="0" behindDoc="0" simplePos="0" relativeHeight="217">
            <wp:simplePos x="0" y="0"/>
            <wp:positionH relativeFrom="page">
              <wp:posOffset>2389632</wp:posOffset>
            </wp:positionH>
            <wp:positionV relativeFrom="paragraph">
              <wp:posOffset>196698</wp:posOffset>
            </wp:positionV>
            <wp:extent cx="3023615" cy="2682240"/>
            <wp:effectExtent l="0" t="0" r="0" b="0"/>
            <wp:wrapTopAndBottom/>
            <wp:docPr id="71" name="image3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2" name="image36.jpe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3615" cy="2682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3"/>
        </w:rPr>
        <w:sectPr>
          <w:pgSz w:w="12240" w:h="15840"/>
          <w:pgMar w:header="0" w:footer="934" w:top="1480" w:bottom="1120" w:left="1320" w:right="820"/>
        </w:sectPr>
      </w:pPr>
    </w:p>
    <w:p>
      <w:pPr>
        <w:pStyle w:val="BodyText"/>
        <w:ind w:left="1257"/>
        <w:rPr>
          <w:sz w:val="20"/>
        </w:rPr>
      </w:pPr>
      <w:r>
        <w:rPr>
          <w:sz w:val="20"/>
        </w:rPr>
        <w:drawing>
          <wp:inline distT="0" distB="0" distL="0" distR="0">
            <wp:extent cx="4360123" cy="6906482"/>
            <wp:effectExtent l="0" t="0" r="0" b="0"/>
            <wp:docPr id="73" name="image3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4" name="image37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0123" cy="6906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footerReference w:type="default" r:id="rId69"/>
          <w:pgSz w:w="12240" w:h="15840"/>
          <w:pgMar w:footer="934" w:header="0" w:top="1440" w:bottom="1120" w:left="1320" w:right="820"/>
        </w:sectPr>
      </w:pPr>
    </w:p>
    <w:p>
      <w:pPr>
        <w:spacing w:before="39"/>
        <w:ind w:left="120" w:right="0" w:firstLine="0"/>
        <w:jc w:val="left"/>
        <w:rPr>
          <w:b/>
          <w:sz w:val="24"/>
        </w:rPr>
      </w:pPr>
      <w:r>
        <w:rPr>
          <w:b/>
          <w:sz w:val="24"/>
        </w:rPr>
        <w:t>APPENDIX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II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Tables</w:t>
      </w:r>
    </w:p>
    <w:p>
      <w:pPr>
        <w:spacing w:before="182"/>
        <w:ind w:left="120" w:right="0" w:firstLine="0"/>
        <w:jc w:val="left"/>
        <w:rPr>
          <w:sz w:val="22"/>
        </w:rPr>
      </w:pPr>
      <w:r>
        <w:rPr>
          <w:sz w:val="22"/>
        </w:rPr>
        <w:t>Table</w:t>
      </w:r>
      <w:r>
        <w:rPr>
          <w:spacing w:val="-2"/>
          <w:sz w:val="22"/>
        </w:rPr>
        <w:t> </w:t>
      </w:r>
      <w:r>
        <w:rPr>
          <w:sz w:val="22"/>
        </w:rPr>
        <w:t>2.</w:t>
      </w:r>
      <w:r>
        <w:rPr>
          <w:spacing w:val="-4"/>
          <w:sz w:val="22"/>
        </w:rPr>
        <w:t> </w:t>
      </w:r>
      <w:r>
        <w:rPr>
          <w:sz w:val="22"/>
        </w:rPr>
        <w:t>Aromatic</w:t>
      </w:r>
      <w:r>
        <w:rPr>
          <w:spacing w:val="-1"/>
          <w:sz w:val="22"/>
        </w:rPr>
        <w:t> </w:t>
      </w:r>
      <w:r>
        <w:rPr>
          <w:sz w:val="22"/>
        </w:rPr>
        <w:t>Carotenoid</w:t>
      </w:r>
      <w:r>
        <w:rPr>
          <w:spacing w:val="-4"/>
          <w:sz w:val="22"/>
        </w:rPr>
        <w:t> </w:t>
      </w:r>
      <w:r>
        <w:rPr>
          <w:sz w:val="22"/>
        </w:rPr>
        <w:t>Methylation</w:t>
      </w:r>
      <w:r>
        <w:rPr>
          <w:spacing w:val="-1"/>
          <w:sz w:val="22"/>
        </w:rPr>
        <w:t> </w:t>
      </w:r>
      <w:r>
        <w:rPr>
          <w:sz w:val="22"/>
        </w:rPr>
        <w:t>Derivatives(</w:t>
      </w:r>
      <w:r>
        <w:rPr>
          <w:b/>
          <w:sz w:val="22"/>
        </w:rPr>
        <w:t>I-VI</w:t>
      </w:r>
      <w:r>
        <w:rPr>
          <w:sz w:val="22"/>
        </w:rPr>
        <w:t>).</w:t>
      </w:r>
      <w:r>
        <w:rPr>
          <w:spacing w:val="-1"/>
          <w:sz w:val="22"/>
        </w:rPr>
        <w:t> </w:t>
      </w:r>
      <w:r>
        <w:rPr>
          <w:sz w:val="22"/>
        </w:rPr>
        <w:t>Concentrations</w:t>
      </w:r>
      <w:r>
        <w:rPr>
          <w:spacing w:val="-2"/>
          <w:sz w:val="22"/>
        </w:rPr>
        <w:t> </w:t>
      </w:r>
      <w:r>
        <w:rPr>
          <w:sz w:val="22"/>
        </w:rPr>
        <w:t>are</w:t>
      </w:r>
      <w:r>
        <w:rPr>
          <w:spacing w:val="-3"/>
          <w:sz w:val="22"/>
        </w:rPr>
        <w:t> </w:t>
      </w:r>
      <w:r>
        <w:rPr>
          <w:sz w:val="22"/>
        </w:rPr>
        <w:t>in</w:t>
      </w:r>
      <w:r>
        <w:rPr>
          <w:spacing w:val="-1"/>
          <w:sz w:val="22"/>
        </w:rPr>
        <w:t> </w:t>
      </w:r>
      <w:r>
        <w:rPr>
          <w:sz w:val="22"/>
        </w:rPr>
        <w:t>ng/g</w:t>
      </w:r>
      <w:r>
        <w:rPr>
          <w:spacing w:val="-1"/>
          <w:sz w:val="22"/>
        </w:rPr>
        <w:t> </w:t>
      </w:r>
      <w:r>
        <w:rPr>
          <w:sz w:val="22"/>
        </w:rPr>
        <w:t>OC</w:t>
      </w:r>
    </w:p>
    <w:p>
      <w:pPr>
        <w:pStyle w:val="BodyText"/>
        <w:spacing w:before="7"/>
        <w:rPr>
          <w:sz w:val="16"/>
        </w:rPr>
      </w:pPr>
    </w:p>
    <w:tbl>
      <w:tblPr>
        <w:tblW w:w="0" w:type="auto"/>
        <w:jc w:val="left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6"/>
        <w:gridCol w:w="734"/>
        <w:gridCol w:w="1245"/>
        <w:gridCol w:w="1259"/>
        <w:gridCol w:w="1187"/>
        <w:gridCol w:w="1365"/>
        <w:gridCol w:w="1315"/>
        <w:gridCol w:w="1260"/>
      </w:tblGrid>
      <w:tr>
        <w:trPr>
          <w:trHeight w:val="390" w:hRule="atLeast"/>
        </w:trPr>
        <w:tc>
          <w:tcPr>
            <w:tcW w:w="806" w:type="dxa"/>
            <w:shd w:val="clear" w:color="auto" w:fill="4472C3"/>
          </w:tcPr>
          <w:p>
            <w:pPr>
              <w:pStyle w:val="TableParagraph"/>
              <w:spacing w:line="240" w:lineRule="auto" w:before="9"/>
              <w:ind w:left="0"/>
              <w:jc w:val="left"/>
              <w:rPr>
                <w:sz w:val="15"/>
              </w:rPr>
            </w:pPr>
          </w:p>
          <w:p>
            <w:pPr>
              <w:pStyle w:val="TableParagraph"/>
              <w:spacing w:line="178" w:lineRule="exact" w:before="1"/>
              <w:ind w:left="111" w:right="101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Sample</w:t>
            </w:r>
          </w:p>
        </w:tc>
        <w:tc>
          <w:tcPr>
            <w:tcW w:w="734" w:type="dxa"/>
            <w:shd w:val="clear" w:color="auto" w:fill="4472C3"/>
          </w:tcPr>
          <w:p>
            <w:pPr>
              <w:pStyle w:val="TableParagraph"/>
              <w:spacing w:line="194" w:lineRule="exact"/>
              <w:ind w:left="124" w:right="112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Depth</w:t>
            </w:r>
          </w:p>
          <w:p>
            <w:pPr>
              <w:pStyle w:val="TableParagraph"/>
              <w:spacing w:line="177" w:lineRule="exact"/>
              <w:ind w:left="122" w:right="113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(ft)</w:t>
            </w:r>
          </w:p>
        </w:tc>
        <w:tc>
          <w:tcPr>
            <w:tcW w:w="1245" w:type="dxa"/>
            <w:shd w:val="clear" w:color="auto" w:fill="4472C3"/>
          </w:tcPr>
          <w:p>
            <w:pPr>
              <w:pStyle w:val="TableParagraph"/>
              <w:spacing w:line="194" w:lineRule="exact"/>
              <w:ind w:left="94" w:right="80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C38</w:t>
            </w:r>
            <w:r>
              <w:rPr>
                <w:b/>
                <w:color w:val="FFFFFF"/>
                <w:spacing w:val="-3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Carotenoid</w:t>
            </w:r>
          </w:p>
          <w:p>
            <w:pPr>
              <w:pStyle w:val="TableParagraph"/>
              <w:spacing w:line="177" w:lineRule="exact"/>
              <w:ind w:left="93" w:right="80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(ng/g OC)</w:t>
            </w:r>
          </w:p>
        </w:tc>
        <w:tc>
          <w:tcPr>
            <w:tcW w:w="1259" w:type="dxa"/>
            <w:shd w:val="clear" w:color="auto" w:fill="4472C3"/>
          </w:tcPr>
          <w:p>
            <w:pPr>
              <w:pStyle w:val="TableParagraph"/>
              <w:spacing w:line="194" w:lineRule="exact"/>
              <w:ind w:left="100" w:right="89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C39</w:t>
            </w:r>
            <w:r>
              <w:rPr>
                <w:b/>
                <w:color w:val="FFFFFF"/>
                <w:spacing w:val="-3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Carotenoid</w:t>
            </w:r>
          </w:p>
          <w:p>
            <w:pPr>
              <w:pStyle w:val="TableParagraph"/>
              <w:spacing w:line="177" w:lineRule="exact"/>
              <w:ind w:left="100" w:right="86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(ng/g OC)</w:t>
            </w:r>
          </w:p>
        </w:tc>
        <w:tc>
          <w:tcPr>
            <w:tcW w:w="1187" w:type="dxa"/>
            <w:shd w:val="clear" w:color="auto" w:fill="4472C3"/>
          </w:tcPr>
          <w:p>
            <w:pPr>
              <w:pStyle w:val="TableParagraph"/>
              <w:spacing w:line="194" w:lineRule="exact"/>
              <w:ind w:left="90" w:right="74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Isorenieratane</w:t>
            </w:r>
          </w:p>
          <w:p>
            <w:pPr>
              <w:pStyle w:val="TableParagraph"/>
              <w:spacing w:line="177" w:lineRule="exact"/>
              <w:ind w:left="90" w:right="74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(ng/g OC)</w:t>
            </w:r>
          </w:p>
        </w:tc>
        <w:tc>
          <w:tcPr>
            <w:tcW w:w="1365" w:type="dxa"/>
            <w:shd w:val="clear" w:color="auto" w:fill="4472C3"/>
          </w:tcPr>
          <w:p>
            <w:pPr>
              <w:pStyle w:val="TableParagraph"/>
              <w:spacing w:line="194" w:lineRule="exact"/>
              <w:ind w:left="91" w:right="74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Paleorenieratane</w:t>
            </w:r>
          </w:p>
          <w:p>
            <w:pPr>
              <w:pStyle w:val="TableParagraph"/>
              <w:spacing w:line="177" w:lineRule="exact"/>
              <w:ind w:left="91" w:right="73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(ng/g OC)</w:t>
            </w:r>
          </w:p>
        </w:tc>
        <w:tc>
          <w:tcPr>
            <w:tcW w:w="1315" w:type="dxa"/>
            <w:shd w:val="clear" w:color="auto" w:fill="4472C3"/>
          </w:tcPr>
          <w:p>
            <w:pPr>
              <w:pStyle w:val="TableParagraph"/>
              <w:spacing w:line="194" w:lineRule="exact"/>
              <w:ind w:left="134" w:right="111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C41</w:t>
            </w:r>
            <w:r>
              <w:rPr>
                <w:b/>
                <w:color w:val="FFFFFF"/>
                <w:spacing w:val="-3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Carotenoid</w:t>
            </w:r>
          </w:p>
          <w:p>
            <w:pPr>
              <w:pStyle w:val="TableParagraph"/>
              <w:spacing w:line="177" w:lineRule="exact"/>
              <w:ind w:left="132" w:right="111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(ng/g OC)</w:t>
            </w:r>
          </w:p>
        </w:tc>
        <w:tc>
          <w:tcPr>
            <w:tcW w:w="1260" w:type="dxa"/>
            <w:shd w:val="clear" w:color="auto" w:fill="4472C3"/>
          </w:tcPr>
          <w:p>
            <w:pPr>
              <w:pStyle w:val="TableParagraph"/>
              <w:spacing w:line="194" w:lineRule="exact"/>
              <w:ind w:left="103" w:right="87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C42</w:t>
            </w:r>
            <w:r>
              <w:rPr>
                <w:b/>
                <w:color w:val="FFFFFF"/>
                <w:spacing w:val="-3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Carotenoid</w:t>
            </w:r>
          </w:p>
          <w:p>
            <w:pPr>
              <w:pStyle w:val="TableParagraph"/>
              <w:spacing w:line="177" w:lineRule="exact"/>
              <w:ind w:left="103" w:right="84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(ng/g OC)</w:t>
            </w:r>
          </w:p>
        </w:tc>
      </w:tr>
      <w:tr>
        <w:trPr>
          <w:trHeight w:val="194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ind w:left="111" w:right="97"/>
              <w:rPr>
                <w:sz w:val="16"/>
              </w:rPr>
            </w:pPr>
            <w:r>
              <w:rPr>
                <w:sz w:val="16"/>
              </w:rPr>
              <w:t>WCH-1</w:t>
            </w:r>
          </w:p>
        </w:tc>
        <w:tc>
          <w:tcPr>
            <w:tcW w:w="734" w:type="dxa"/>
            <w:shd w:val="clear" w:color="auto" w:fill="D8E1F2"/>
          </w:tcPr>
          <w:p>
            <w:pPr>
              <w:pStyle w:val="TableParagraph"/>
              <w:ind w:left="124" w:right="112"/>
              <w:rPr>
                <w:sz w:val="16"/>
              </w:rPr>
            </w:pPr>
            <w:r>
              <w:rPr>
                <w:sz w:val="16"/>
              </w:rPr>
              <w:t>74.00</w:t>
            </w:r>
          </w:p>
        </w:tc>
        <w:tc>
          <w:tcPr>
            <w:tcW w:w="1245" w:type="dxa"/>
            <w:shd w:val="clear" w:color="auto" w:fill="D8E1F2"/>
          </w:tcPr>
          <w:p>
            <w:pPr>
              <w:pStyle w:val="TableParagraph"/>
              <w:ind w:left="94" w:right="79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59" w:type="dxa"/>
            <w:shd w:val="clear" w:color="auto" w:fill="D8E1F2"/>
          </w:tcPr>
          <w:p>
            <w:pPr>
              <w:pStyle w:val="TableParagraph"/>
              <w:ind w:left="100" w:right="88"/>
              <w:rPr>
                <w:sz w:val="16"/>
              </w:rPr>
            </w:pPr>
            <w:r>
              <w:rPr>
                <w:sz w:val="16"/>
              </w:rPr>
              <w:t>1.97</w:t>
            </w:r>
          </w:p>
        </w:tc>
        <w:tc>
          <w:tcPr>
            <w:tcW w:w="1187" w:type="dxa"/>
            <w:shd w:val="clear" w:color="auto" w:fill="D8E1F2"/>
          </w:tcPr>
          <w:p>
            <w:pPr>
              <w:pStyle w:val="TableParagraph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>3.25</w:t>
            </w:r>
          </w:p>
        </w:tc>
        <w:tc>
          <w:tcPr>
            <w:tcW w:w="1365" w:type="dxa"/>
            <w:shd w:val="clear" w:color="auto" w:fill="D8E1F2"/>
          </w:tcPr>
          <w:p>
            <w:pPr>
              <w:pStyle w:val="TableParagraph"/>
              <w:ind w:left="0" w:right="525"/>
              <w:jc w:val="right"/>
              <w:rPr>
                <w:sz w:val="16"/>
              </w:rPr>
            </w:pPr>
            <w:r>
              <w:rPr>
                <w:sz w:val="16"/>
              </w:rPr>
              <w:t>7.77</w:t>
            </w:r>
          </w:p>
        </w:tc>
        <w:tc>
          <w:tcPr>
            <w:tcW w:w="1315" w:type="dxa"/>
            <w:shd w:val="clear" w:color="auto" w:fill="D8E1F2"/>
          </w:tcPr>
          <w:p>
            <w:pPr>
              <w:pStyle w:val="TableParagraph"/>
              <w:ind w:left="134" w:right="111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ind w:left="103" w:right="87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6" w:lineRule="exact"/>
              <w:ind w:left="111" w:right="97"/>
              <w:rPr>
                <w:sz w:val="16"/>
              </w:rPr>
            </w:pPr>
            <w:r>
              <w:rPr>
                <w:sz w:val="16"/>
              </w:rPr>
              <w:t>WCH-2</w:t>
            </w:r>
          </w:p>
        </w:tc>
        <w:tc>
          <w:tcPr>
            <w:tcW w:w="734" w:type="dxa"/>
          </w:tcPr>
          <w:p>
            <w:pPr>
              <w:pStyle w:val="TableParagraph"/>
              <w:spacing w:line="176" w:lineRule="exact"/>
              <w:ind w:left="124" w:right="112"/>
              <w:rPr>
                <w:sz w:val="16"/>
              </w:rPr>
            </w:pPr>
            <w:r>
              <w:rPr>
                <w:sz w:val="16"/>
              </w:rPr>
              <w:t>75.50</w:t>
            </w:r>
          </w:p>
        </w:tc>
        <w:tc>
          <w:tcPr>
            <w:tcW w:w="1245" w:type="dxa"/>
          </w:tcPr>
          <w:p>
            <w:pPr>
              <w:pStyle w:val="TableParagraph"/>
              <w:spacing w:line="176" w:lineRule="exact"/>
              <w:ind w:left="94" w:right="79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59" w:type="dxa"/>
          </w:tcPr>
          <w:p>
            <w:pPr>
              <w:pStyle w:val="TableParagraph"/>
              <w:spacing w:line="176" w:lineRule="exact"/>
              <w:ind w:left="100" w:right="88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187" w:type="dxa"/>
          </w:tcPr>
          <w:p>
            <w:pPr>
              <w:pStyle w:val="TableParagraph"/>
              <w:spacing w:line="176" w:lineRule="exact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>2.24</w:t>
            </w:r>
          </w:p>
        </w:tc>
        <w:tc>
          <w:tcPr>
            <w:tcW w:w="1365" w:type="dxa"/>
          </w:tcPr>
          <w:p>
            <w:pPr>
              <w:pStyle w:val="TableParagraph"/>
              <w:spacing w:line="176" w:lineRule="exact"/>
              <w:ind w:left="0" w:right="525"/>
              <w:jc w:val="right"/>
              <w:rPr>
                <w:sz w:val="16"/>
              </w:rPr>
            </w:pPr>
            <w:r>
              <w:rPr>
                <w:sz w:val="16"/>
              </w:rPr>
              <w:t>3.63</w:t>
            </w:r>
          </w:p>
        </w:tc>
        <w:tc>
          <w:tcPr>
            <w:tcW w:w="1315" w:type="dxa"/>
          </w:tcPr>
          <w:p>
            <w:pPr>
              <w:pStyle w:val="TableParagraph"/>
              <w:spacing w:line="176" w:lineRule="exact"/>
              <w:ind w:left="134" w:right="111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60" w:type="dxa"/>
          </w:tcPr>
          <w:p>
            <w:pPr>
              <w:pStyle w:val="TableParagraph"/>
              <w:spacing w:line="176" w:lineRule="exact"/>
              <w:ind w:left="103" w:right="87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</w:tr>
      <w:tr>
        <w:trPr>
          <w:trHeight w:val="194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ind w:left="111" w:right="97"/>
              <w:rPr>
                <w:sz w:val="16"/>
              </w:rPr>
            </w:pPr>
            <w:r>
              <w:rPr>
                <w:sz w:val="16"/>
              </w:rPr>
              <w:t>WCH-3</w:t>
            </w:r>
          </w:p>
        </w:tc>
        <w:tc>
          <w:tcPr>
            <w:tcW w:w="734" w:type="dxa"/>
            <w:shd w:val="clear" w:color="auto" w:fill="D8E1F2"/>
          </w:tcPr>
          <w:p>
            <w:pPr>
              <w:pStyle w:val="TableParagraph"/>
              <w:ind w:left="124" w:right="112"/>
              <w:rPr>
                <w:sz w:val="16"/>
              </w:rPr>
            </w:pPr>
            <w:r>
              <w:rPr>
                <w:sz w:val="16"/>
              </w:rPr>
              <w:t>77.08</w:t>
            </w:r>
          </w:p>
        </w:tc>
        <w:tc>
          <w:tcPr>
            <w:tcW w:w="1245" w:type="dxa"/>
            <w:shd w:val="clear" w:color="auto" w:fill="D8E1F2"/>
          </w:tcPr>
          <w:p>
            <w:pPr>
              <w:pStyle w:val="TableParagraph"/>
              <w:ind w:left="94" w:right="79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59" w:type="dxa"/>
            <w:shd w:val="clear" w:color="auto" w:fill="D8E1F2"/>
          </w:tcPr>
          <w:p>
            <w:pPr>
              <w:pStyle w:val="TableParagraph"/>
              <w:ind w:left="100" w:right="88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187" w:type="dxa"/>
            <w:shd w:val="clear" w:color="auto" w:fill="D8E1F2"/>
          </w:tcPr>
          <w:p>
            <w:pPr>
              <w:pStyle w:val="TableParagraph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>1.36</w:t>
            </w:r>
          </w:p>
        </w:tc>
        <w:tc>
          <w:tcPr>
            <w:tcW w:w="1365" w:type="dxa"/>
            <w:shd w:val="clear" w:color="auto" w:fill="D8E1F2"/>
          </w:tcPr>
          <w:p>
            <w:pPr>
              <w:pStyle w:val="TableParagraph"/>
              <w:ind w:left="0" w:right="525"/>
              <w:jc w:val="right"/>
              <w:rPr>
                <w:sz w:val="16"/>
              </w:rPr>
            </w:pPr>
            <w:r>
              <w:rPr>
                <w:sz w:val="16"/>
              </w:rPr>
              <w:t>2.46</w:t>
            </w:r>
          </w:p>
        </w:tc>
        <w:tc>
          <w:tcPr>
            <w:tcW w:w="1315" w:type="dxa"/>
            <w:shd w:val="clear" w:color="auto" w:fill="D8E1F2"/>
          </w:tcPr>
          <w:p>
            <w:pPr>
              <w:pStyle w:val="TableParagraph"/>
              <w:ind w:left="134" w:right="111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ind w:left="103" w:right="87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6" w:lineRule="exact"/>
              <w:ind w:left="111" w:right="97"/>
              <w:rPr>
                <w:sz w:val="16"/>
              </w:rPr>
            </w:pPr>
            <w:r>
              <w:rPr>
                <w:sz w:val="16"/>
              </w:rPr>
              <w:t>WCH-4</w:t>
            </w:r>
          </w:p>
        </w:tc>
        <w:tc>
          <w:tcPr>
            <w:tcW w:w="734" w:type="dxa"/>
          </w:tcPr>
          <w:p>
            <w:pPr>
              <w:pStyle w:val="TableParagraph"/>
              <w:spacing w:line="176" w:lineRule="exact"/>
              <w:ind w:left="124" w:right="112"/>
              <w:rPr>
                <w:sz w:val="16"/>
              </w:rPr>
            </w:pPr>
            <w:r>
              <w:rPr>
                <w:sz w:val="16"/>
              </w:rPr>
              <w:t>78.00</w:t>
            </w:r>
          </w:p>
        </w:tc>
        <w:tc>
          <w:tcPr>
            <w:tcW w:w="1245" w:type="dxa"/>
          </w:tcPr>
          <w:p>
            <w:pPr>
              <w:pStyle w:val="TableParagraph"/>
              <w:spacing w:line="176" w:lineRule="exact"/>
              <w:ind w:left="94" w:right="79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59" w:type="dxa"/>
          </w:tcPr>
          <w:p>
            <w:pPr>
              <w:pStyle w:val="TableParagraph"/>
              <w:spacing w:line="176" w:lineRule="exact"/>
              <w:ind w:left="100" w:right="88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187" w:type="dxa"/>
          </w:tcPr>
          <w:p>
            <w:pPr>
              <w:pStyle w:val="TableParagraph"/>
              <w:spacing w:line="176" w:lineRule="exact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>1.99</w:t>
            </w:r>
          </w:p>
        </w:tc>
        <w:tc>
          <w:tcPr>
            <w:tcW w:w="1365" w:type="dxa"/>
          </w:tcPr>
          <w:p>
            <w:pPr>
              <w:pStyle w:val="TableParagraph"/>
              <w:spacing w:line="176" w:lineRule="exact"/>
              <w:ind w:left="0" w:right="525"/>
              <w:jc w:val="right"/>
              <w:rPr>
                <w:sz w:val="16"/>
              </w:rPr>
            </w:pPr>
            <w:r>
              <w:rPr>
                <w:sz w:val="16"/>
              </w:rPr>
              <w:t>4.35</w:t>
            </w:r>
          </w:p>
        </w:tc>
        <w:tc>
          <w:tcPr>
            <w:tcW w:w="1315" w:type="dxa"/>
          </w:tcPr>
          <w:p>
            <w:pPr>
              <w:pStyle w:val="TableParagraph"/>
              <w:spacing w:line="176" w:lineRule="exact"/>
              <w:ind w:left="134" w:right="111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60" w:type="dxa"/>
          </w:tcPr>
          <w:p>
            <w:pPr>
              <w:pStyle w:val="TableParagraph"/>
              <w:spacing w:line="176" w:lineRule="exact"/>
              <w:ind w:left="103" w:right="87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</w:tr>
      <w:tr>
        <w:trPr>
          <w:trHeight w:val="194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ind w:left="111" w:right="97"/>
              <w:rPr>
                <w:sz w:val="16"/>
              </w:rPr>
            </w:pPr>
            <w:r>
              <w:rPr>
                <w:sz w:val="16"/>
              </w:rPr>
              <w:t>WCH-5</w:t>
            </w:r>
          </w:p>
        </w:tc>
        <w:tc>
          <w:tcPr>
            <w:tcW w:w="734" w:type="dxa"/>
            <w:shd w:val="clear" w:color="auto" w:fill="D8E1F2"/>
          </w:tcPr>
          <w:p>
            <w:pPr>
              <w:pStyle w:val="TableParagraph"/>
              <w:ind w:left="124" w:right="112"/>
              <w:rPr>
                <w:sz w:val="16"/>
              </w:rPr>
            </w:pPr>
            <w:r>
              <w:rPr>
                <w:sz w:val="16"/>
              </w:rPr>
              <w:t>79.67</w:t>
            </w:r>
          </w:p>
        </w:tc>
        <w:tc>
          <w:tcPr>
            <w:tcW w:w="1245" w:type="dxa"/>
            <w:shd w:val="clear" w:color="auto" w:fill="D8E1F2"/>
          </w:tcPr>
          <w:p>
            <w:pPr>
              <w:pStyle w:val="TableParagraph"/>
              <w:ind w:left="94" w:right="79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59" w:type="dxa"/>
            <w:shd w:val="clear" w:color="auto" w:fill="D8E1F2"/>
          </w:tcPr>
          <w:p>
            <w:pPr>
              <w:pStyle w:val="TableParagraph"/>
              <w:ind w:left="100" w:right="88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187" w:type="dxa"/>
            <w:shd w:val="clear" w:color="auto" w:fill="D8E1F2"/>
          </w:tcPr>
          <w:p>
            <w:pPr>
              <w:pStyle w:val="TableParagraph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>1.64</w:t>
            </w:r>
          </w:p>
        </w:tc>
        <w:tc>
          <w:tcPr>
            <w:tcW w:w="1365" w:type="dxa"/>
            <w:shd w:val="clear" w:color="auto" w:fill="D8E1F2"/>
          </w:tcPr>
          <w:p>
            <w:pPr>
              <w:pStyle w:val="TableParagraph"/>
              <w:ind w:left="0" w:right="525"/>
              <w:jc w:val="right"/>
              <w:rPr>
                <w:sz w:val="16"/>
              </w:rPr>
            </w:pPr>
            <w:r>
              <w:rPr>
                <w:sz w:val="16"/>
              </w:rPr>
              <w:t>2.87</w:t>
            </w:r>
          </w:p>
        </w:tc>
        <w:tc>
          <w:tcPr>
            <w:tcW w:w="1315" w:type="dxa"/>
            <w:shd w:val="clear" w:color="auto" w:fill="D8E1F2"/>
          </w:tcPr>
          <w:p>
            <w:pPr>
              <w:pStyle w:val="TableParagraph"/>
              <w:ind w:left="134" w:right="111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ind w:left="103" w:right="87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6" w:lineRule="exact"/>
              <w:ind w:left="111" w:right="97"/>
              <w:rPr>
                <w:sz w:val="16"/>
              </w:rPr>
            </w:pPr>
            <w:r>
              <w:rPr>
                <w:sz w:val="16"/>
              </w:rPr>
              <w:t>WCH-6</w:t>
            </w:r>
          </w:p>
        </w:tc>
        <w:tc>
          <w:tcPr>
            <w:tcW w:w="734" w:type="dxa"/>
          </w:tcPr>
          <w:p>
            <w:pPr>
              <w:pStyle w:val="TableParagraph"/>
              <w:spacing w:line="176" w:lineRule="exact"/>
              <w:ind w:left="124" w:right="112"/>
              <w:rPr>
                <w:sz w:val="16"/>
              </w:rPr>
            </w:pPr>
            <w:r>
              <w:rPr>
                <w:sz w:val="16"/>
              </w:rPr>
              <w:t>80.67</w:t>
            </w:r>
          </w:p>
        </w:tc>
        <w:tc>
          <w:tcPr>
            <w:tcW w:w="1245" w:type="dxa"/>
          </w:tcPr>
          <w:p>
            <w:pPr>
              <w:pStyle w:val="TableParagraph"/>
              <w:spacing w:line="176" w:lineRule="exact"/>
              <w:ind w:left="94" w:right="79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59" w:type="dxa"/>
          </w:tcPr>
          <w:p>
            <w:pPr>
              <w:pStyle w:val="TableParagraph"/>
              <w:spacing w:line="176" w:lineRule="exact"/>
              <w:ind w:left="100" w:right="88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187" w:type="dxa"/>
          </w:tcPr>
          <w:p>
            <w:pPr>
              <w:pStyle w:val="TableParagraph"/>
              <w:spacing w:line="176" w:lineRule="exact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>1.74</w:t>
            </w:r>
          </w:p>
        </w:tc>
        <w:tc>
          <w:tcPr>
            <w:tcW w:w="1365" w:type="dxa"/>
          </w:tcPr>
          <w:p>
            <w:pPr>
              <w:pStyle w:val="TableParagraph"/>
              <w:spacing w:line="176" w:lineRule="exact"/>
              <w:ind w:left="0" w:right="525"/>
              <w:jc w:val="right"/>
              <w:rPr>
                <w:sz w:val="16"/>
              </w:rPr>
            </w:pPr>
            <w:r>
              <w:rPr>
                <w:sz w:val="16"/>
              </w:rPr>
              <w:t>3.47</w:t>
            </w:r>
          </w:p>
        </w:tc>
        <w:tc>
          <w:tcPr>
            <w:tcW w:w="1315" w:type="dxa"/>
          </w:tcPr>
          <w:p>
            <w:pPr>
              <w:pStyle w:val="TableParagraph"/>
              <w:spacing w:line="176" w:lineRule="exact"/>
              <w:ind w:left="134" w:right="111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60" w:type="dxa"/>
          </w:tcPr>
          <w:p>
            <w:pPr>
              <w:pStyle w:val="TableParagraph"/>
              <w:spacing w:line="176" w:lineRule="exact"/>
              <w:ind w:left="103" w:right="87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</w:tr>
      <w:tr>
        <w:trPr>
          <w:trHeight w:val="193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ind w:left="111" w:right="97"/>
              <w:rPr>
                <w:sz w:val="16"/>
              </w:rPr>
            </w:pPr>
            <w:r>
              <w:rPr>
                <w:sz w:val="16"/>
              </w:rPr>
              <w:t>WCH-7</w:t>
            </w:r>
          </w:p>
        </w:tc>
        <w:tc>
          <w:tcPr>
            <w:tcW w:w="734" w:type="dxa"/>
            <w:shd w:val="clear" w:color="auto" w:fill="D8E1F2"/>
          </w:tcPr>
          <w:p>
            <w:pPr>
              <w:pStyle w:val="TableParagraph"/>
              <w:ind w:left="124" w:right="112"/>
              <w:rPr>
                <w:sz w:val="16"/>
              </w:rPr>
            </w:pPr>
            <w:r>
              <w:rPr>
                <w:sz w:val="16"/>
              </w:rPr>
              <w:t>81.00</w:t>
            </w:r>
          </w:p>
        </w:tc>
        <w:tc>
          <w:tcPr>
            <w:tcW w:w="1245" w:type="dxa"/>
            <w:shd w:val="clear" w:color="auto" w:fill="D8E1F2"/>
          </w:tcPr>
          <w:p>
            <w:pPr>
              <w:pStyle w:val="TableParagraph"/>
              <w:ind w:left="94" w:right="79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59" w:type="dxa"/>
            <w:shd w:val="clear" w:color="auto" w:fill="D8E1F2"/>
          </w:tcPr>
          <w:p>
            <w:pPr>
              <w:pStyle w:val="TableParagraph"/>
              <w:ind w:left="100" w:right="88"/>
              <w:rPr>
                <w:sz w:val="16"/>
              </w:rPr>
            </w:pPr>
            <w:r>
              <w:rPr>
                <w:sz w:val="16"/>
              </w:rPr>
              <w:t>0.86</w:t>
            </w:r>
          </w:p>
        </w:tc>
        <w:tc>
          <w:tcPr>
            <w:tcW w:w="1187" w:type="dxa"/>
            <w:shd w:val="clear" w:color="auto" w:fill="D8E1F2"/>
          </w:tcPr>
          <w:p>
            <w:pPr>
              <w:pStyle w:val="TableParagraph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>2.41</w:t>
            </w:r>
          </w:p>
        </w:tc>
        <w:tc>
          <w:tcPr>
            <w:tcW w:w="1365" w:type="dxa"/>
            <w:shd w:val="clear" w:color="auto" w:fill="D8E1F2"/>
          </w:tcPr>
          <w:p>
            <w:pPr>
              <w:pStyle w:val="TableParagraph"/>
              <w:ind w:left="0" w:right="525"/>
              <w:jc w:val="right"/>
              <w:rPr>
                <w:sz w:val="16"/>
              </w:rPr>
            </w:pPr>
            <w:r>
              <w:rPr>
                <w:sz w:val="16"/>
              </w:rPr>
              <w:t>4.18</w:t>
            </w:r>
          </w:p>
        </w:tc>
        <w:tc>
          <w:tcPr>
            <w:tcW w:w="1315" w:type="dxa"/>
            <w:shd w:val="clear" w:color="auto" w:fill="D8E1F2"/>
          </w:tcPr>
          <w:p>
            <w:pPr>
              <w:pStyle w:val="TableParagraph"/>
              <w:ind w:left="134" w:right="111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ind w:left="103" w:right="87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5" w:lineRule="exact" w:before="1"/>
              <w:ind w:left="111" w:right="97"/>
              <w:rPr>
                <w:sz w:val="16"/>
              </w:rPr>
            </w:pPr>
            <w:r>
              <w:rPr>
                <w:sz w:val="16"/>
              </w:rPr>
              <w:t>WCH-8</w:t>
            </w:r>
          </w:p>
        </w:tc>
        <w:tc>
          <w:tcPr>
            <w:tcW w:w="734" w:type="dxa"/>
          </w:tcPr>
          <w:p>
            <w:pPr>
              <w:pStyle w:val="TableParagraph"/>
              <w:spacing w:line="175" w:lineRule="exact" w:before="1"/>
              <w:ind w:left="124" w:right="112"/>
              <w:rPr>
                <w:sz w:val="16"/>
              </w:rPr>
            </w:pPr>
            <w:r>
              <w:rPr>
                <w:sz w:val="16"/>
              </w:rPr>
              <w:t>84.50</w:t>
            </w:r>
          </w:p>
        </w:tc>
        <w:tc>
          <w:tcPr>
            <w:tcW w:w="1245" w:type="dxa"/>
          </w:tcPr>
          <w:p>
            <w:pPr>
              <w:pStyle w:val="TableParagraph"/>
              <w:spacing w:line="175" w:lineRule="exact" w:before="1"/>
              <w:ind w:left="94" w:right="79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59" w:type="dxa"/>
          </w:tcPr>
          <w:p>
            <w:pPr>
              <w:pStyle w:val="TableParagraph"/>
              <w:spacing w:line="175" w:lineRule="exact" w:before="1"/>
              <w:ind w:left="100" w:right="88"/>
              <w:rPr>
                <w:sz w:val="16"/>
              </w:rPr>
            </w:pPr>
            <w:r>
              <w:rPr>
                <w:sz w:val="16"/>
              </w:rPr>
              <w:t>0.95</w:t>
            </w:r>
          </w:p>
        </w:tc>
        <w:tc>
          <w:tcPr>
            <w:tcW w:w="1187" w:type="dxa"/>
          </w:tcPr>
          <w:p>
            <w:pPr>
              <w:pStyle w:val="TableParagraph"/>
              <w:spacing w:line="175" w:lineRule="exact" w:before="1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>1.79</w:t>
            </w:r>
          </w:p>
        </w:tc>
        <w:tc>
          <w:tcPr>
            <w:tcW w:w="1365" w:type="dxa"/>
          </w:tcPr>
          <w:p>
            <w:pPr>
              <w:pStyle w:val="TableParagraph"/>
              <w:spacing w:line="175" w:lineRule="exact" w:before="1"/>
              <w:ind w:left="0" w:right="525"/>
              <w:jc w:val="right"/>
              <w:rPr>
                <w:sz w:val="16"/>
              </w:rPr>
            </w:pPr>
            <w:r>
              <w:rPr>
                <w:sz w:val="16"/>
              </w:rPr>
              <w:t>3.87</w:t>
            </w:r>
          </w:p>
        </w:tc>
        <w:tc>
          <w:tcPr>
            <w:tcW w:w="1315" w:type="dxa"/>
          </w:tcPr>
          <w:p>
            <w:pPr>
              <w:pStyle w:val="TableParagraph"/>
              <w:spacing w:line="175" w:lineRule="exact" w:before="1"/>
              <w:ind w:left="134" w:right="111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60" w:type="dxa"/>
          </w:tcPr>
          <w:p>
            <w:pPr>
              <w:pStyle w:val="TableParagraph"/>
              <w:spacing w:line="175" w:lineRule="exact" w:before="1"/>
              <w:ind w:left="103" w:right="87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</w:tr>
      <w:tr>
        <w:trPr>
          <w:trHeight w:val="193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ind w:left="111" w:right="97"/>
              <w:rPr>
                <w:sz w:val="16"/>
              </w:rPr>
            </w:pPr>
            <w:r>
              <w:rPr>
                <w:sz w:val="16"/>
              </w:rPr>
              <w:t>WCH-9</w:t>
            </w:r>
          </w:p>
        </w:tc>
        <w:tc>
          <w:tcPr>
            <w:tcW w:w="734" w:type="dxa"/>
            <w:shd w:val="clear" w:color="auto" w:fill="D8E1F2"/>
          </w:tcPr>
          <w:p>
            <w:pPr>
              <w:pStyle w:val="TableParagraph"/>
              <w:ind w:left="124" w:right="112"/>
              <w:rPr>
                <w:sz w:val="16"/>
              </w:rPr>
            </w:pPr>
            <w:r>
              <w:rPr>
                <w:sz w:val="16"/>
              </w:rPr>
              <w:t>88.00</w:t>
            </w:r>
          </w:p>
        </w:tc>
        <w:tc>
          <w:tcPr>
            <w:tcW w:w="1245" w:type="dxa"/>
            <w:shd w:val="clear" w:color="auto" w:fill="D8E1F2"/>
          </w:tcPr>
          <w:p>
            <w:pPr>
              <w:pStyle w:val="TableParagraph"/>
              <w:ind w:left="94" w:right="79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59" w:type="dxa"/>
            <w:shd w:val="clear" w:color="auto" w:fill="D8E1F2"/>
          </w:tcPr>
          <w:p>
            <w:pPr>
              <w:pStyle w:val="TableParagraph"/>
              <w:ind w:left="100" w:right="88"/>
              <w:rPr>
                <w:sz w:val="16"/>
              </w:rPr>
            </w:pPr>
            <w:r>
              <w:rPr>
                <w:sz w:val="16"/>
              </w:rPr>
              <w:t>0.63</w:t>
            </w:r>
          </w:p>
        </w:tc>
        <w:tc>
          <w:tcPr>
            <w:tcW w:w="1187" w:type="dxa"/>
            <w:shd w:val="clear" w:color="auto" w:fill="D8E1F2"/>
          </w:tcPr>
          <w:p>
            <w:pPr>
              <w:pStyle w:val="TableParagraph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>2.51</w:t>
            </w:r>
          </w:p>
        </w:tc>
        <w:tc>
          <w:tcPr>
            <w:tcW w:w="1365" w:type="dxa"/>
            <w:shd w:val="clear" w:color="auto" w:fill="D8E1F2"/>
          </w:tcPr>
          <w:p>
            <w:pPr>
              <w:pStyle w:val="TableParagraph"/>
              <w:ind w:left="0" w:right="525"/>
              <w:jc w:val="right"/>
              <w:rPr>
                <w:sz w:val="16"/>
              </w:rPr>
            </w:pPr>
            <w:r>
              <w:rPr>
                <w:sz w:val="16"/>
              </w:rPr>
              <w:t>4.61</w:t>
            </w:r>
          </w:p>
        </w:tc>
        <w:tc>
          <w:tcPr>
            <w:tcW w:w="1315" w:type="dxa"/>
            <w:shd w:val="clear" w:color="auto" w:fill="D8E1F2"/>
          </w:tcPr>
          <w:p>
            <w:pPr>
              <w:pStyle w:val="TableParagraph"/>
              <w:ind w:left="134" w:right="111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ind w:left="103" w:right="87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5" w:lineRule="exact" w:before="1"/>
              <w:ind w:left="111" w:right="100"/>
              <w:rPr>
                <w:sz w:val="16"/>
              </w:rPr>
            </w:pPr>
            <w:r>
              <w:rPr>
                <w:sz w:val="16"/>
              </w:rPr>
              <w:t>WCH-10</w:t>
            </w:r>
          </w:p>
        </w:tc>
        <w:tc>
          <w:tcPr>
            <w:tcW w:w="734" w:type="dxa"/>
          </w:tcPr>
          <w:p>
            <w:pPr>
              <w:pStyle w:val="TableParagraph"/>
              <w:spacing w:line="175" w:lineRule="exact" w:before="1"/>
              <w:ind w:left="124" w:right="112"/>
              <w:rPr>
                <w:sz w:val="16"/>
              </w:rPr>
            </w:pPr>
            <w:r>
              <w:rPr>
                <w:sz w:val="16"/>
              </w:rPr>
              <w:t>91.50</w:t>
            </w:r>
          </w:p>
        </w:tc>
        <w:tc>
          <w:tcPr>
            <w:tcW w:w="1245" w:type="dxa"/>
          </w:tcPr>
          <w:p>
            <w:pPr>
              <w:pStyle w:val="TableParagraph"/>
              <w:spacing w:line="175" w:lineRule="exact" w:before="1"/>
              <w:ind w:left="94" w:right="79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59" w:type="dxa"/>
          </w:tcPr>
          <w:p>
            <w:pPr>
              <w:pStyle w:val="TableParagraph"/>
              <w:spacing w:line="175" w:lineRule="exact" w:before="1"/>
              <w:ind w:left="100" w:right="88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187" w:type="dxa"/>
          </w:tcPr>
          <w:p>
            <w:pPr>
              <w:pStyle w:val="TableParagraph"/>
              <w:spacing w:line="175" w:lineRule="exact" w:before="1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>0.63</w:t>
            </w:r>
          </w:p>
        </w:tc>
        <w:tc>
          <w:tcPr>
            <w:tcW w:w="1365" w:type="dxa"/>
          </w:tcPr>
          <w:p>
            <w:pPr>
              <w:pStyle w:val="TableParagraph"/>
              <w:spacing w:line="175" w:lineRule="exact" w:before="1"/>
              <w:ind w:left="0" w:right="525"/>
              <w:jc w:val="right"/>
              <w:rPr>
                <w:sz w:val="16"/>
              </w:rPr>
            </w:pPr>
            <w:r>
              <w:rPr>
                <w:sz w:val="16"/>
              </w:rPr>
              <w:t>0.81</w:t>
            </w:r>
          </w:p>
        </w:tc>
        <w:tc>
          <w:tcPr>
            <w:tcW w:w="1315" w:type="dxa"/>
          </w:tcPr>
          <w:p>
            <w:pPr>
              <w:pStyle w:val="TableParagraph"/>
              <w:spacing w:line="175" w:lineRule="exact" w:before="1"/>
              <w:ind w:left="134" w:right="111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60" w:type="dxa"/>
          </w:tcPr>
          <w:p>
            <w:pPr>
              <w:pStyle w:val="TableParagraph"/>
              <w:spacing w:line="175" w:lineRule="exact" w:before="1"/>
              <w:ind w:left="103" w:right="87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</w:tr>
      <w:tr>
        <w:trPr>
          <w:trHeight w:val="196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spacing w:line="176" w:lineRule="exact"/>
              <w:ind w:left="111" w:right="97"/>
              <w:rPr>
                <w:sz w:val="16"/>
              </w:rPr>
            </w:pPr>
            <w:r>
              <w:rPr>
                <w:sz w:val="16"/>
              </w:rPr>
              <w:t>Wch-40</w:t>
            </w:r>
          </w:p>
        </w:tc>
        <w:tc>
          <w:tcPr>
            <w:tcW w:w="734" w:type="dxa"/>
            <w:shd w:val="clear" w:color="auto" w:fill="D8E1F2"/>
          </w:tcPr>
          <w:p>
            <w:pPr>
              <w:pStyle w:val="TableParagraph"/>
              <w:spacing w:line="176" w:lineRule="exact"/>
              <w:ind w:left="124" w:right="112"/>
              <w:rPr>
                <w:sz w:val="16"/>
              </w:rPr>
            </w:pPr>
            <w:r>
              <w:rPr>
                <w:sz w:val="16"/>
              </w:rPr>
              <w:t>93.83</w:t>
            </w:r>
          </w:p>
        </w:tc>
        <w:tc>
          <w:tcPr>
            <w:tcW w:w="1245" w:type="dxa"/>
            <w:shd w:val="clear" w:color="auto" w:fill="D8E1F2"/>
          </w:tcPr>
          <w:p>
            <w:pPr>
              <w:pStyle w:val="TableParagraph"/>
              <w:spacing w:line="176" w:lineRule="exact"/>
              <w:ind w:left="94" w:right="79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59" w:type="dxa"/>
            <w:shd w:val="clear" w:color="auto" w:fill="D8E1F2"/>
          </w:tcPr>
          <w:p>
            <w:pPr>
              <w:pStyle w:val="TableParagraph"/>
              <w:spacing w:line="176" w:lineRule="exact"/>
              <w:ind w:left="100" w:right="88"/>
              <w:rPr>
                <w:sz w:val="16"/>
              </w:rPr>
            </w:pPr>
            <w:r>
              <w:rPr>
                <w:sz w:val="16"/>
              </w:rPr>
              <w:t>1.70</w:t>
            </w:r>
          </w:p>
        </w:tc>
        <w:tc>
          <w:tcPr>
            <w:tcW w:w="1187" w:type="dxa"/>
            <w:shd w:val="clear" w:color="auto" w:fill="D8E1F2"/>
          </w:tcPr>
          <w:p>
            <w:pPr>
              <w:pStyle w:val="TableParagraph"/>
              <w:spacing w:line="176" w:lineRule="exact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>5.72</w:t>
            </w:r>
          </w:p>
        </w:tc>
        <w:tc>
          <w:tcPr>
            <w:tcW w:w="1365" w:type="dxa"/>
            <w:shd w:val="clear" w:color="auto" w:fill="D8E1F2"/>
          </w:tcPr>
          <w:p>
            <w:pPr>
              <w:pStyle w:val="TableParagraph"/>
              <w:spacing w:line="176" w:lineRule="exact"/>
              <w:ind w:left="0" w:right="484"/>
              <w:jc w:val="right"/>
              <w:rPr>
                <w:sz w:val="16"/>
              </w:rPr>
            </w:pPr>
            <w:r>
              <w:rPr>
                <w:sz w:val="16"/>
              </w:rPr>
              <w:t>10.01</w:t>
            </w:r>
          </w:p>
        </w:tc>
        <w:tc>
          <w:tcPr>
            <w:tcW w:w="1315" w:type="dxa"/>
            <w:shd w:val="clear" w:color="auto" w:fill="D8E1F2"/>
          </w:tcPr>
          <w:p>
            <w:pPr>
              <w:pStyle w:val="TableParagraph"/>
              <w:spacing w:line="176" w:lineRule="exact"/>
              <w:ind w:left="134" w:right="111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spacing w:line="176" w:lineRule="exact"/>
              <w:ind w:left="103" w:right="87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</w:tr>
      <w:tr>
        <w:trPr>
          <w:trHeight w:val="194" w:hRule="atLeast"/>
        </w:trPr>
        <w:tc>
          <w:tcPr>
            <w:tcW w:w="806" w:type="dxa"/>
          </w:tcPr>
          <w:p>
            <w:pPr>
              <w:pStyle w:val="TableParagraph"/>
              <w:ind w:left="111" w:right="100"/>
              <w:rPr>
                <w:sz w:val="16"/>
              </w:rPr>
            </w:pPr>
            <w:r>
              <w:rPr>
                <w:sz w:val="16"/>
              </w:rPr>
              <w:t>WCH-11</w:t>
            </w:r>
          </w:p>
        </w:tc>
        <w:tc>
          <w:tcPr>
            <w:tcW w:w="734" w:type="dxa"/>
          </w:tcPr>
          <w:p>
            <w:pPr>
              <w:pStyle w:val="TableParagraph"/>
              <w:ind w:left="124" w:right="112"/>
              <w:rPr>
                <w:sz w:val="16"/>
              </w:rPr>
            </w:pPr>
            <w:r>
              <w:rPr>
                <w:sz w:val="16"/>
              </w:rPr>
              <w:t>94.33</w:t>
            </w:r>
          </w:p>
        </w:tc>
        <w:tc>
          <w:tcPr>
            <w:tcW w:w="1245" w:type="dxa"/>
          </w:tcPr>
          <w:p>
            <w:pPr>
              <w:pStyle w:val="TableParagraph"/>
              <w:ind w:left="94" w:right="79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59" w:type="dxa"/>
          </w:tcPr>
          <w:p>
            <w:pPr>
              <w:pStyle w:val="TableParagraph"/>
              <w:ind w:left="100" w:right="88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187" w:type="dxa"/>
          </w:tcPr>
          <w:p>
            <w:pPr>
              <w:pStyle w:val="TableParagraph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>0.50</w:t>
            </w:r>
          </w:p>
        </w:tc>
        <w:tc>
          <w:tcPr>
            <w:tcW w:w="1365" w:type="dxa"/>
          </w:tcPr>
          <w:p>
            <w:pPr>
              <w:pStyle w:val="TableParagraph"/>
              <w:ind w:left="0" w:right="525"/>
              <w:jc w:val="right"/>
              <w:rPr>
                <w:sz w:val="16"/>
              </w:rPr>
            </w:pPr>
            <w:r>
              <w:rPr>
                <w:sz w:val="16"/>
              </w:rPr>
              <w:t>0.94</w:t>
            </w:r>
          </w:p>
        </w:tc>
        <w:tc>
          <w:tcPr>
            <w:tcW w:w="1315" w:type="dxa"/>
          </w:tcPr>
          <w:p>
            <w:pPr>
              <w:pStyle w:val="TableParagraph"/>
              <w:ind w:left="134" w:right="111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60" w:type="dxa"/>
          </w:tcPr>
          <w:p>
            <w:pPr>
              <w:pStyle w:val="TableParagraph"/>
              <w:ind w:left="103" w:right="87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</w:tr>
      <w:tr>
        <w:trPr>
          <w:trHeight w:val="196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spacing w:line="176" w:lineRule="exact"/>
              <w:ind w:left="111" w:right="100"/>
              <w:rPr>
                <w:sz w:val="16"/>
              </w:rPr>
            </w:pPr>
            <w:r>
              <w:rPr>
                <w:sz w:val="16"/>
              </w:rPr>
              <w:t>WCH-12</w:t>
            </w:r>
          </w:p>
        </w:tc>
        <w:tc>
          <w:tcPr>
            <w:tcW w:w="734" w:type="dxa"/>
            <w:shd w:val="clear" w:color="auto" w:fill="D8E1F2"/>
          </w:tcPr>
          <w:p>
            <w:pPr>
              <w:pStyle w:val="TableParagraph"/>
              <w:spacing w:line="176" w:lineRule="exact"/>
              <w:ind w:left="124" w:right="112"/>
              <w:rPr>
                <w:sz w:val="16"/>
              </w:rPr>
            </w:pPr>
            <w:r>
              <w:rPr>
                <w:sz w:val="16"/>
              </w:rPr>
              <w:t>98.00</w:t>
            </w:r>
          </w:p>
        </w:tc>
        <w:tc>
          <w:tcPr>
            <w:tcW w:w="1245" w:type="dxa"/>
            <w:shd w:val="clear" w:color="auto" w:fill="D8E1F2"/>
          </w:tcPr>
          <w:p>
            <w:pPr>
              <w:pStyle w:val="TableParagraph"/>
              <w:spacing w:line="176" w:lineRule="exact"/>
              <w:ind w:left="94" w:right="79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59" w:type="dxa"/>
            <w:shd w:val="clear" w:color="auto" w:fill="D8E1F2"/>
          </w:tcPr>
          <w:p>
            <w:pPr>
              <w:pStyle w:val="TableParagraph"/>
              <w:spacing w:line="176" w:lineRule="exact"/>
              <w:ind w:left="100" w:right="88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187" w:type="dxa"/>
            <w:shd w:val="clear" w:color="auto" w:fill="D8E1F2"/>
          </w:tcPr>
          <w:p>
            <w:pPr>
              <w:pStyle w:val="TableParagraph"/>
              <w:spacing w:line="176" w:lineRule="exact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>0.47</w:t>
            </w:r>
          </w:p>
        </w:tc>
        <w:tc>
          <w:tcPr>
            <w:tcW w:w="1365" w:type="dxa"/>
            <w:shd w:val="clear" w:color="auto" w:fill="D8E1F2"/>
          </w:tcPr>
          <w:p>
            <w:pPr>
              <w:pStyle w:val="TableParagraph"/>
              <w:spacing w:line="176" w:lineRule="exact"/>
              <w:ind w:left="0" w:right="525"/>
              <w:jc w:val="right"/>
              <w:rPr>
                <w:sz w:val="16"/>
              </w:rPr>
            </w:pPr>
            <w:r>
              <w:rPr>
                <w:sz w:val="16"/>
              </w:rPr>
              <w:t>0.77</w:t>
            </w:r>
          </w:p>
        </w:tc>
        <w:tc>
          <w:tcPr>
            <w:tcW w:w="1315" w:type="dxa"/>
            <w:shd w:val="clear" w:color="auto" w:fill="D8E1F2"/>
          </w:tcPr>
          <w:p>
            <w:pPr>
              <w:pStyle w:val="TableParagraph"/>
              <w:spacing w:line="176" w:lineRule="exact"/>
              <w:ind w:left="134" w:right="111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spacing w:line="176" w:lineRule="exact"/>
              <w:ind w:left="103" w:right="87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</w:tr>
      <w:tr>
        <w:trPr>
          <w:trHeight w:val="194" w:hRule="atLeast"/>
        </w:trPr>
        <w:tc>
          <w:tcPr>
            <w:tcW w:w="806" w:type="dxa"/>
          </w:tcPr>
          <w:p>
            <w:pPr>
              <w:pStyle w:val="TableParagraph"/>
              <w:ind w:left="111" w:right="100"/>
              <w:rPr>
                <w:sz w:val="16"/>
              </w:rPr>
            </w:pPr>
            <w:r>
              <w:rPr>
                <w:sz w:val="16"/>
              </w:rPr>
              <w:t>WCH-13</w:t>
            </w:r>
          </w:p>
        </w:tc>
        <w:tc>
          <w:tcPr>
            <w:tcW w:w="734" w:type="dxa"/>
          </w:tcPr>
          <w:p>
            <w:pPr>
              <w:pStyle w:val="TableParagraph"/>
              <w:ind w:left="124" w:right="113"/>
              <w:rPr>
                <w:sz w:val="16"/>
              </w:rPr>
            </w:pPr>
            <w:r>
              <w:rPr>
                <w:sz w:val="16"/>
              </w:rPr>
              <w:t>102.17</w:t>
            </w:r>
          </w:p>
        </w:tc>
        <w:tc>
          <w:tcPr>
            <w:tcW w:w="1245" w:type="dxa"/>
          </w:tcPr>
          <w:p>
            <w:pPr>
              <w:pStyle w:val="TableParagraph"/>
              <w:ind w:left="94" w:right="79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59" w:type="dxa"/>
          </w:tcPr>
          <w:p>
            <w:pPr>
              <w:pStyle w:val="TableParagraph"/>
              <w:ind w:left="100" w:right="88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187" w:type="dxa"/>
          </w:tcPr>
          <w:p>
            <w:pPr>
              <w:pStyle w:val="TableParagraph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>1.39</w:t>
            </w:r>
          </w:p>
        </w:tc>
        <w:tc>
          <w:tcPr>
            <w:tcW w:w="1365" w:type="dxa"/>
          </w:tcPr>
          <w:p>
            <w:pPr>
              <w:pStyle w:val="TableParagraph"/>
              <w:ind w:left="0" w:right="525"/>
              <w:jc w:val="right"/>
              <w:rPr>
                <w:sz w:val="16"/>
              </w:rPr>
            </w:pPr>
            <w:r>
              <w:rPr>
                <w:sz w:val="16"/>
              </w:rPr>
              <w:t>0.61</w:t>
            </w:r>
          </w:p>
        </w:tc>
        <w:tc>
          <w:tcPr>
            <w:tcW w:w="1315" w:type="dxa"/>
          </w:tcPr>
          <w:p>
            <w:pPr>
              <w:pStyle w:val="TableParagraph"/>
              <w:ind w:left="134" w:right="111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60" w:type="dxa"/>
          </w:tcPr>
          <w:p>
            <w:pPr>
              <w:pStyle w:val="TableParagraph"/>
              <w:ind w:left="103" w:right="87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</w:tr>
      <w:tr>
        <w:trPr>
          <w:trHeight w:val="196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spacing w:line="176" w:lineRule="exact"/>
              <w:ind w:left="111" w:right="100"/>
              <w:rPr>
                <w:sz w:val="16"/>
              </w:rPr>
            </w:pPr>
            <w:r>
              <w:rPr>
                <w:sz w:val="16"/>
              </w:rPr>
              <w:t>WCH-14</w:t>
            </w:r>
          </w:p>
        </w:tc>
        <w:tc>
          <w:tcPr>
            <w:tcW w:w="734" w:type="dxa"/>
            <w:shd w:val="clear" w:color="auto" w:fill="D8E1F2"/>
          </w:tcPr>
          <w:p>
            <w:pPr>
              <w:pStyle w:val="TableParagraph"/>
              <w:spacing w:line="176" w:lineRule="exact"/>
              <w:ind w:left="124" w:right="113"/>
              <w:rPr>
                <w:sz w:val="16"/>
              </w:rPr>
            </w:pPr>
            <w:r>
              <w:rPr>
                <w:sz w:val="16"/>
              </w:rPr>
              <w:t>105.50</w:t>
            </w:r>
          </w:p>
        </w:tc>
        <w:tc>
          <w:tcPr>
            <w:tcW w:w="1245" w:type="dxa"/>
            <w:shd w:val="clear" w:color="auto" w:fill="D8E1F2"/>
          </w:tcPr>
          <w:p>
            <w:pPr>
              <w:pStyle w:val="TableParagraph"/>
              <w:spacing w:line="176" w:lineRule="exact"/>
              <w:ind w:left="94" w:right="79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59" w:type="dxa"/>
            <w:shd w:val="clear" w:color="auto" w:fill="D8E1F2"/>
          </w:tcPr>
          <w:p>
            <w:pPr>
              <w:pStyle w:val="TableParagraph"/>
              <w:spacing w:line="176" w:lineRule="exact"/>
              <w:ind w:left="100" w:right="88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187" w:type="dxa"/>
            <w:shd w:val="clear" w:color="auto" w:fill="D8E1F2"/>
          </w:tcPr>
          <w:p>
            <w:pPr>
              <w:pStyle w:val="TableParagraph"/>
              <w:spacing w:line="176" w:lineRule="exact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>1.85</w:t>
            </w:r>
          </w:p>
        </w:tc>
        <w:tc>
          <w:tcPr>
            <w:tcW w:w="1365" w:type="dxa"/>
            <w:shd w:val="clear" w:color="auto" w:fill="D8E1F2"/>
          </w:tcPr>
          <w:p>
            <w:pPr>
              <w:pStyle w:val="TableParagraph"/>
              <w:spacing w:line="176" w:lineRule="exact"/>
              <w:ind w:left="0" w:right="525"/>
              <w:jc w:val="right"/>
              <w:rPr>
                <w:sz w:val="16"/>
              </w:rPr>
            </w:pPr>
            <w:r>
              <w:rPr>
                <w:sz w:val="16"/>
              </w:rPr>
              <w:t>0.76</w:t>
            </w:r>
          </w:p>
        </w:tc>
        <w:tc>
          <w:tcPr>
            <w:tcW w:w="1315" w:type="dxa"/>
            <w:shd w:val="clear" w:color="auto" w:fill="D8E1F2"/>
          </w:tcPr>
          <w:p>
            <w:pPr>
              <w:pStyle w:val="TableParagraph"/>
              <w:spacing w:line="176" w:lineRule="exact"/>
              <w:ind w:left="134" w:right="111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spacing w:line="176" w:lineRule="exact"/>
              <w:ind w:left="103" w:right="87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</w:tr>
      <w:tr>
        <w:trPr>
          <w:trHeight w:val="194" w:hRule="atLeast"/>
        </w:trPr>
        <w:tc>
          <w:tcPr>
            <w:tcW w:w="806" w:type="dxa"/>
          </w:tcPr>
          <w:p>
            <w:pPr>
              <w:pStyle w:val="TableParagraph"/>
              <w:ind w:left="111" w:right="97"/>
              <w:rPr>
                <w:sz w:val="16"/>
              </w:rPr>
            </w:pPr>
            <w:r>
              <w:rPr>
                <w:sz w:val="16"/>
              </w:rPr>
              <w:t>Wch-41</w:t>
            </w:r>
          </w:p>
        </w:tc>
        <w:tc>
          <w:tcPr>
            <w:tcW w:w="734" w:type="dxa"/>
          </w:tcPr>
          <w:p>
            <w:pPr>
              <w:pStyle w:val="TableParagraph"/>
              <w:ind w:left="124" w:right="113"/>
              <w:rPr>
                <w:sz w:val="16"/>
              </w:rPr>
            </w:pPr>
            <w:r>
              <w:rPr>
                <w:sz w:val="16"/>
              </w:rPr>
              <w:t>109.17</w:t>
            </w:r>
          </w:p>
        </w:tc>
        <w:tc>
          <w:tcPr>
            <w:tcW w:w="1245" w:type="dxa"/>
          </w:tcPr>
          <w:p>
            <w:pPr>
              <w:pStyle w:val="TableParagraph"/>
              <w:ind w:left="94" w:right="79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59" w:type="dxa"/>
          </w:tcPr>
          <w:p>
            <w:pPr>
              <w:pStyle w:val="TableParagraph"/>
              <w:ind w:left="100" w:right="88"/>
              <w:rPr>
                <w:sz w:val="16"/>
              </w:rPr>
            </w:pPr>
            <w:r>
              <w:rPr>
                <w:sz w:val="16"/>
              </w:rPr>
              <w:t>3.32</w:t>
            </w:r>
          </w:p>
        </w:tc>
        <w:tc>
          <w:tcPr>
            <w:tcW w:w="1187" w:type="dxa"/>
          </w:tcPr>
          <w:p>
            <w:pPr>
              <w:pStyle w:val="TableParagraph"/>
              <w:ind w:left="412"/>
              <w:jc w:val="left"/>
              <w:rPr>
                <w:sz w:val="16"/>
              </w:rPr>
            </w:pPr>
            <w:r>
              <w:rPr>
                <w:sz w:val="16"/>
              </w:rPr>
              <w:t>13.14</w:t>
            </w:r>
          </w:p>
        </w:tc>
        <w:tc>
          <w:tcPr>
            <w:tcW w:w="1365" w:type="dxa"/>
          </w:tcPr>
          <w:p>
            <w:pPr>
              <w:pStyle w:val="TableParagraph"/>
              <w:ind w:left="0" w:right="525"/>
              <w:jc w:val="right"/>
              <w:rPr>
                <w:sz w:val="16"/>
              </w:rPr>
            </w:pPr>
            <w:r>
              <w:rPr>
                <w:sz w:val="16"/>
              </w:rPr>
              <w:t>7.41</w:t>
            </w:r>
          </w:p>
        </w:tc>
        <w:tc>
          <w:tcPr>
            <w:tcW w:w="1315" w:type="dxa"/>
          </w:tcPr>
          <w:p>
            <w:pPr>
              <w:pStyle w:val="TableParagraph"/>
              <w:ind w:left="134" w:right="111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60" w:type="dxa"/>
          </w:tcPr>
          <w:p>
            <w:pPr>
              <w:pStyle w:val="TableParagraph"/>
              <w:ind w:left="103" w:right="87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</w:tr>
      <w:tr>
        <w:trPr>
          <w:trHeight w:val="196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spacing w:line="176" w:lineRule="exact"/>
              <w:ind w:left="111" w:right="97"/>
              <w:rPr>
                <w:sz w:val="16"/>
              </w:rPr>
            </w:pPr>
            <w:r>
              <w:rPr>
                <w:sz w:val="16"/>
              </w:rPr>
              <w:t>Wch-42</w:t>
            </w:r>
          </w:p>
        </w:tc>
        <w:tc>
          <w:tcPr>
            <w:tcW w:w="734" w:type="dxa"/>
            <w:shd w:val="clear" w:color="auto" w:fill="D8E1F2"/>
          </w:tcPr>
          <w:p>
            <w:pPr>
              <w:pStyle w:val="TableParagraph"/>
              <w:spacing w:line="176" w:lineRule="exact"/>
              <w:ind w:left="124" w:right="113"/>
              <w:rPr>
                <w:sz w:val="16"/>
              </w:rPr>
            </w:pPr>
            <w:r>
              <w:rPr>
                <w:sz w:val="16"/>
              </w:rPr>
              <w:t>112.50</w:t>
            </w:r>
          </w:p>
        </w:tc>
        <w:tc>
          <w:tcPr>
            <w:tcW w:w="1245" w:type="dxa"/>
            <w:shd w:val="clear" w:color="auto" w:fill="D8E1F2"/>
          </w:tcPr>
          <w:p>
            <w:pPr>
              <w:pStyle w:val="TableParagraph"/>
              <w:spacing w:line="176" w:lineRule="exact"/>
              <w:ind w:left="94" w:right="79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59" w:type="dxa"/>
            <w:shd w:val="clear" w:color="auto" w:fill="D8E1F2"/>
          </w:tcPr>
          <w:p>
            <w:pPr>
              <w:pStyle w:val="TableParagraph"/>
              <w:spacing w:line="176" w:lineRule="exact"/>
              <w:ind w:left="100" w:right="88"/>
              <w:rPr>
                <w:sz w:val="16"/>
              </w:rPr>
            </w:pPr>
            <w:r>
              <w:rPr>
                <w:sz w:val="16"/>
              </w:rPr>
              <w:t>2.65</w:t>
            </w:r>
          </w:p>
        </w:tc>
        <w:tc>
          <w:tcPr>
            <w:tcW w:w="1187" w:type="dxa"/>
            <w:shd w:val="clear" w:color="auto" w:fill="D8E1F2"/>
          </w:tcPr>
          <w:p>
            <w:pPr>
              <w:pStyle w:val="TableParagraph"/>
              <w:spacing w:line="176" w:lineRule="exact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>8.47</w:t>
            </w:r>
          </w:p>
        </w:tc>
        <w:tc>
          <w:tcPr>
            <w:tcW w:w="1365" w:type="dxa"/>
            <w:shd w:val="clear" w:color="auto" w:fill="D8E1F2"/>
          </w:tcPr>
          <w:p>
            <w:pPr>
              <w:pStyle w:val="TableParagraph"/>
              <w:spacing w:line="176" w:lineRule="exact"/>
              <w:ind w:left="0" w:right="525"/>
              <w:jc w:val="right"/>
              <w:rPr>
                <w:sz w:val="16"/>
              </w:rPr>
            </w:pPr>
            <w:r>
              <w:rPr>
                <w:sz w:val="16"/>
              </w:rPr>
              <w:t>4.24</w:t>
            </w:r>
          </w:p>
        </w:tc>
        <w:tc>
          <w:tcPr>
            <w:tcW w:w="1315" w:type="dxa"/>
            <w:shd w:val="clear" w:color="auto" w:fill="D8E1F2"/>
          </w:tcPr>
          <w:p>
            <w:pPr>
              <w:pStyle w:val="TableParagraph"/>
              <w:spacing w:line="176" w:lineRule="exact"/>
              <w:ind w:left="134" w:right="111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spacing w:line="176" w:lineRule="exact"/>
              <w:ind w:left="103" w:right="87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</w:tr>
      <w:tr>
        <w:trPr>
          <w:trHeight w:val="194" w:hRule="atLeast"/>
        </w:trPr>
        <w:tc>
          <w:tcPr>
            <w:tcW w:w="806" w:type="dxa"/>
          </w:tcPr>
          <w:p>
            <w:pPr>
              <w:pStyle w:val="TableParagraph"/>
              <w:ind w:left="111" w:right="100"/>
              <w:rPr>
                <w:sz w:val="16"/>
              </w:rPr>
            </w:pPr>
            <w:r>
              <w:rPr>
                <w:sz w:val="16"/>
              </w:rPr>
              <w:t>WCH-15</w:t>
            </w:r>
          </w:p>
        </w:tc>
        <w:tc>
          <w:tcPr>
            <w:tcW w:w="734" w:type="dxa"/>
          </w:tcPr>
          <w:p>
            <w:pPr>
              <w:pStyle w:val="TableParagraph"/>
              <w:ind w:left="124" w:right="113"/>
              <w:rPr>
                <w:sz w:val="16"/>
              </w:rPr>
            </w:pPr>
            <w:r>
              <w:rPr>
                <w:sz w:val="16"/>
              </w:rPr>
              <w:t>115.00</w:t>
            </w:r>
          </w:p>
        </w:tc>
        <w:tc>
          <w:tcPr>
            <w:tcW w:w="1245" w:type="dxa"/>
          </w:tcPr>
          <w:p>
            <w:pPr>
              <w:pStyle w:val="TableParagraph"/>
              <w:ind w:left="94" w:right="79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59" w:type="dxa"/>
          </w:tcPr>
          <w:p>
            <w:pPr>
              <w:pStyle w:val="TableParagraph"/>
              <w:ind w:left="100" w:right="88"/>
              <w:rPr>
                <w:sz w:val="16"/>
              </w:rPr>
            </w:pPr>
            <w:r>
              <w:rPr>
                <w:sz w:val="16"/>
              </w:rPr>
              <w:t>0.10</w:t>
            </w:r>
          </w:p>
        </w:tc>
        <w:tc>
          <w:tcPr>
            <w:tcW w:w="1187" w:type="dxa"/>
          </w:tcPr>
          <w:p>
            <w:pPr>
              <w:pStyle w:val="TableParagraph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>1.41</w:t>
            </w:r>
          </w:p>
        </w:tc>
        <w:tc>
          <w:tcPr>
            <w:tcW w:w="1365" w:type="dxa"/>
          </w:tcPr>
          <w:p>
            <w:pPr>
              <w:pStyle w:val="TableParagraph"/>
              <w:ind w:left="0" w:right="525"/>
              <w:jc w:val="right"/>
              <w:rPr>
                <w:sz w:val="16"/>
              </w:rPr>
            </w:pPr>
            <w:r>
              <w:rPr>
                <w:sz w:val="16"/>
              </w:rPr>
              <w:t>0.87</w:t>
            </w:r>
          </w:p>
        </w:tc>
        <w:tc>
          <w:tcPr>
            <w:tcW w:w="1315" w:type="dxa"/>
          </w:tcPr>
          <w:p>
            <w:pPr>
              <w:pStyle w:val="TableParagraph"/>
              <w:ind w:left="134" w:right="111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60" w:type="dxa"/>
          </w:tcPr>
          <w:p>
            <w:pPr>
              <w:pStyle w:val="TableParagraph"/>
              <w:ind w:left="103" w:right="87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</w:tr>
      <w:tr>
        <w:trPr>
          <w:trHeight w:val="196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111" w:right="100"/>
              <w:rPr>
                <w:sz w:val="16"/>
              </w:rPr>
            </w:pPr>
            <w:r>
              <w:rPr>
                <w:sz w:val="16"/>
              </w:rPr>
              <w:t>WCH-16</w:t>
            </w:r>
          </w:p>
        </w:tc>
        <w:tc>
          <w:tcPr>
            <w:tcW w:w="734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124" w:right="113"/>
              <w:rPr>
                <w:sz w:val="16"/>
              </w:rPr>
            </w:pPr>
            <w:r>
              <w:rPr>
                <w:sz w:val="16"/>
              </w:rPr>
              <w:t>118.00</w:t>
            </w:r>
          </w:p>
        </w:tc>
        <w:tc>
          <w:tcPr>
            <w:tcW w:w="1245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94" w:right="79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59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100" w:right="88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187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>0.47</w:t>
            </w:r>
          </w:p>
        </w:tc>
        <w:tc>
          <w:tcPr>
            <w:tcW w:w="1365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0" w:right="525"/>
              <w:jc w:val="right"/>
              <w:rPr>
                <w:sz w:val="16"/>
              </w:rPr>
            </w:pPr>
            <w:r>
              <w:rPr>
                <w:sz w:val="16"/>
              </w:rPr>
              <w:t>0.27</w:t>
            </w:r>
          </w:p>
        </w:tc>
        <w:tc>
          <w:tcPr>
            <w:tcW w:w="1315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134" w:right="111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103" w:right="87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</w:tr>
      <w:tr>
        <w:trPr>
          <w:trHeight w:val="193" w:hRule="atLeast"/>
        </w:trPr>
        <w:tc>
          <w:tcPr>
            <w:tcW w:w="806" w:type="dxa"/>
          </w:tcPr>
          <w:p>
            <w:pPr>
              <w:pStyle w:val="TableParagraph"/>
              <w:ind w:left="111" w:right="100"/>
              <w:rPr>
                <w:sz w:val="16"/>
              </w:rPr>
            </w:pPr>
            <w:r>
              <w:rPr>
                <w:sz w:val="16"/>
              </w:rPr>
              <w:t>WCH-17</w:t>
            </w:r>
          </w:p>
        </w:tc>
        <w:tc>
          <w:tcPr>
            <w:tcW w:w="734" w:type="dxa"/>
          </w:tcPr>
          <w:p>
            <w:pPr>
              <w:pStyle w:val="TableParagraph"/>
              <w:ind w:left="124" w:right="113"/>
              <w:rPr>
                <w:sz w:val="16"/>
              </w:rPr>
            </w:pPr>
            <w:r>
              <w:rPr>
                <w:sz w:val="16"/>
              </w:rPr>
              <w:t>121.00</w:t>
            </w:r>
          </w:p>
        </w:tc>
        <w:tc>
          <w:tcPr>
            <w:tcW w:w="1245" w:type="dxa"/>
          </w:tcPr>
          <w:p>
            <w:pPr>
              <w:pStyle w:val="TableParagraph"/>
              <w:ind w:left="94" w:right="79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59" w:type="dxa"/>
          </w:tcPr>
          <w:p>
            <w:pPr>
              <w:pStyle w:val="TableParagraph"/>
              <w:ind w:left="100" w:right="88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187" w:type="dxa"/>
          </w:tcPr>
          <w:p>
            <w:pPr>
              <w:pStyle w:val="TableParagraph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>3.12</w:t>
            </w:r>
          </w:p>
        </w:tc>
        <w:tc>
          <w:tcPr>
            <w:tcW w:w="1365" w:type="dxa"/>
          </w:tcPr>
          <w:p>
            <w:pPr>
              <w:pStyle w:val="TableParagraph"/>
              <w:ind w:left="0" w:right="525"/>
              <w:jc w:val="right"/>
              <w:rPr>
                <w:sz w:val="16"/>
              </w:rPr>
            </w:pPr>
            <w:r>
              <w:rPr>
                <w:sz w:val="16"/>
              </w:rPr>
              <w:t>5.26</w:t>
            </w:r>
          </w:p>
        </w:tc>
        <w:tc>
          <w:tcPr>
            <w:tcW w:w="1315" w:type="dxa"/>
          </w:tcPr>
          <w:p>
            <w:pPr>
              <w:pStyle w:val="TableParagraph"/>
              <w:ind w:left="134" w:right="111"/>
              <w:rPr>
                <w:sz w:val="16"/>
              </w:rPr>
            </w:pPr>
            <w:r>
              <w:rPr>
                <w:sz w:val="16"/>
              </w:rPr>
              <w:t>0.89</w:t>
            </w:r>
          </w:p>
        </w:tc>
        <w:tc>
          <w:tcPr>
            <w:tcW w:w="1260" w:type="dxa"/>
          </w:tcPr>
          <w:p>
            <w:pPr>
              <w:pStyle w:val="TableParagraph"/>
              <w:ind w:left="103" w:right="87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</w:tr>
      <w:tr>
        <w:trPr>
          <w:trHeight w:val="196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111" w:right="100"/>
              <w:rPr>
                <w:sz w:val="16"/>
              </w:rPr>
            </w:pPr>
            <w:r>
              <w:rPr>
                <w:sz w:val="16"/>
              </w:rPr>
              <w:t>WCH-18</w:t>
            </w:r>
          </w:p>
        </w:tc>
        <w:tc>
          <w:tcPr>
            <w:tcW w:w="734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124" w:right="113"/>
              <w:rPr>
                <w:sz w:val="16"/>
              </w:rPr>
            </w:pPr>
            <w:r>
              <w:rPr>
                <w:sz w:val="16"/>
              </w:rPr>
              <w:t>124.42</w:t>
            </w:r>
          </w:p>
        </w:tc>
        <w:tc>
          <w:tcPr>
            <w:tcW w:w="1245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94" w:right="79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59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100" w:right="88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187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>0.47</w:t>
            </w:r>
          </w:p>
        </w:tc>
        <w:tc>
          <w:tcPr>
            <w:tcW w:w="1365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0" w:right="525"/>
              <w:jc w:val="right"/>
              <w:rPr>
                <w:sz w:val="16"/>
              </w:rPr>
            </w:pPr>
            <w:r>
              <w:rPr>
                <w:sz w:val="16"/>
              </w:rPr>
              <w:t>0.87</w:t>
            </w:r>
          </w:p>
        </w:tc>
        <w:tc>
          <w:tcPr>
            <w:tcW w:w="1315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134" w:right="111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103" w:right="87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6" w:lineRule="exact"/>
              <w:ind w:left="111" w:right="97"/>
              <w:rPr>
                <w:sz w:val="16"/>
              </w:rPr>
            </w:pPr>
            <w:r>
              <w:rPr>
                <w:sz w:val="16"/>
              </w:rPr>
              <w:t>Wch-43</w:t>
            </w:r>
          </w:p>
        </w:tc>
        <w:tc>
          <w:tcPr>
            <w:tcW w:w="734" w:type="dxa"/>
          </w:tcPr>
          <w:p>
            <w:pPr>
              <w:pStyle w:val="TableParagraph"/>
              <w:spacing w:line="176" w:lineRule="exact"/>
              <w:ind w:left="124" w:right="113"/>
              <w:rPr>
                <w:sz w:val="16"/>
              </w:rPr>
            </w:pPr>
            <w:r>
              <w:rPr>
                <w:sz w:val="16"/>
              </w:rPr>
              <w:t>126.17</w:t>
            </w:r>
          </w:p>
        </w:tc>
        <w:tc>
          <w:tcPr>
            <w:tcW w:w="1245" w:type="dxa"/>
          </w:tcPr>
          <w:p>
            <w:pPr>
              <w:pStyle w:val="TableParagraph"/>
              <w:spacing w:line="176" w:lineRule="exact"/>
              <w:ind w:left="94" w:right="79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59" w:type="dxa"/>
          </w:tcPr>
          <w:p>
            <w:pPr>
              <w:pStyle w:val="TableParagraph"/>
              <w:spacing w:line="176" w:lineRule="exact"/>
              <w:ind w:left="100" w:right="88"/>
              <w:rPr>
                <w:sz w:val="16"/>
              </w:rPr>
            </w:pPr>
            <w:r>
              <w:rPr>
                <w:sz w:val="16"/>
              </w:rPr>
              <w:t>1.31</w:t>
            </w:r>
          </w:p>
        </w:tc>
        <w:tc>
          <w:tcPr>
            <w:tcW w:w="1187" w:type="dxa"/>
          </w:tcPr>
          <w:p>
            <w:pPr>
              <w:pStyle w:val="TableParagraph"/>
              <w:spacing w:line="176" w:lineRule="exact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>1.86</w:t>
            </w:r>
          </w:p>
        </w:tc>
        <w:tc>
          <w:tcPr>
            <w:tcW w:w="1365" w:type="dxa"/>
          </w:tcPr>
          <w:p>
            <w:pPr>
              <w:pStyle w:val="TableParagraph"/>
              <w:spacing w:line="176" w:lineRule="exact"/>
              <w:ind w:left="0" w:right="525"/>
              <w:jc w:val="right"/>
              <w:rPr>
                <w:sz w:val="16"/>
              </w:rPr>
            </w:pPr>
            <w:r>
              <w:rPr>
                <w:sz w:val="16"/>
              </w:rPr>
              <w:t>5.04</w:t>
            </w:r>
          </w:p>
        </w:tc>
        <w:tc>
          <w:tcPr>
            <w:tcW w:w="1315" w:type="dxa"/>
          </w:tcPr>
          <w:p>
            <w:pPr>
              <w:pStyle w:val="TableParagraph"/>
              <w:spacing w:line="176" w:lineRule="exact"/>
              <w:ind w:left="134" w:right="111"/>
              <w:rPr>
                <w:sz w:val="16"/>
              </w:rPr>
            </w:pPr>
            <w:r>
              <w:rPr>
                <w:sz w:val="16"/>
              </w:rPr>
              <w:t>0.78</w:t>
            </w:r>
          </w:p>
        </w:tc>
        <w:tc>
          <w:tcPr>
            <w:tcW w:w="1260" w:type="dxa"/>
          </w:tcPr>
          <w:p>
            <w:pPr>
              <w:pStyle w:val="TableParagraph"/>
              <w:spacing w:line="176" w:lineRule="exact"/>
              <w:ind w:left="103" w:right="87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</w:tr>
      <w:tr>
        <w:trPr>
          <w:trHeight w:val="194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ind w:left="111" w:right="100"/>
              <w:rPr>
                <w:sz w:val="16"/>
              </w:rPr>
            </w:pPr>
            <w:r>
              <w:rPr>
                <w:sz w:val="16"/>
              </w:rPr>
              <w:t>WCH-19</w:t>
            </w:r>
          </w:p>
        </w:tc>
        <w:tc>
          <w:tcPr>
            <w:tcW w:w="734" w:type="dxa"/>
            <w:shd w:val="clear" w:color="auto" w:fill="D8E1F2"/>
          </w:tcPr>
          <w:p>
            <w:pPr>
              <w:pStyle w:val="TableParagraph"/>
              <w:ind w:left="124" w:right="113"/>
              <w:rPr>
                <w:sz w:val="16"/>
              </w:rPr>
            </w:pPr>
            <w:r>
              <w:rPr>
                <w:sz w:val="16"/>
              </w:rPr>
              <w:t>129.00</w:t>
            </w:r>
          </w:p>
        </w:tc>
        <w:tc>
          <w:tcPr>
            <w:tcW w:w="1245" w:type="dxa"/>
            <w:shd w:val="clear" w:color="auto" w:fill="D8E1F2"/>
          </w:tcPr>
          <w:p>
            <w:pPr>
              <w:pStyle w:val="TableParagraph"/>
              <w:ind w:left="94" w:right="79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59" w:type="dxa"/>
            <w:shd w:val="clear" w:color="auto" w:fill="D8E1F2"/>
          </w:tcPr>
          <w:p>
            <w:pPr>
              <w:pStyle w:val="TableParagraph"/>
              <w:ind w:left="100" w:right="88"/>
              <w:rPr>
                <w:sz w:val="16"/>
              </w:rPr>
            </w:pPr>
            <w:r>
              <w:rPr>
                <w:sz w:val="16"/>
              </w:rPr>
              <w:t>3.69</w:t>
            </w:r>
          </w:p>
        </w:tc>
        <w:tc>
          <w:tcPr>
            <w:tcW w:w="1187" w:type="dxa"/>
            <w:shd w:val="clear" w:color="auto" w:fill="D8E1F2"/>
          </w:tcPr>
          <w:p>
            <w:pPr>
              <w:pStyle w:val="TableParagraph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>3.31</w:t>
            </w:r>
          </w:p>
        </w:tc>
        <w:tc>
          <w:tcPr>
            <w:tcW w:w="1365" w:type="dxa"/>
            <w:shd w:val="clear" w:color="auto" w:fill="D8E1F2"/>
          </w:tcPr>
          <w:p>
            <w:pPr>
              <w:pStyle w:val="TableParagraph"/>
              <w:ind w:left="0" w:right="484"/>
              <w:jc w:val="right"/>
              <w:rPr>
                <w:sz w:val="16"/>
              </w:rPr>
            </w:pPr>
            <w:r>
              <w:rPr>
                <w:sz w:val="16"/>
              </w:rPr>
              <w:t>15.26</w:t>
            </w:r>
          </w:p>
        </w:tc>
        <w:tc>
          <w:tcPr>
            <w:tcW w:w="1315" w:type="dxa"/>
            <w:shd w:val="clear" w:color="auto" w:fill="D8E1F2"/>
          </w:tcPr>
          <w:p>
            <w:pPr>
              <w:pStyle w:val="TableParagraph"/>
              <w:ind w:left="134" w:right="111"/>
              <w:rPr>
                <w:sz w:val="16"/>
              </w:rPr>
            </w:pPr>
            <w:r>
              <w:rPr>
                <w:sz w:val="16"/>
              </w:rPr>
              <w:t>2.80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ind w:left="103" w:right="87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6" w:lineRule="exact"/>
              <w:ind w:left="111" w:right="100"/>
              <w:rPr>
                <w:sz w:val="16"/>
              </w:rPr>
            </w:pPr>
            <w:r>
              <w:rPr>
                <w:sz w:val="16"/>
              </w:rPr>
              <w:t>WCH-20</w:t>
            </w:r>
          </w:p>
        </w:tc>
        <w:tc>
          <w:tcPr>
            <w:tcW w:w="734" w:type="dxa"/>
          </w:tcPr>
          <w:p>
            <w:pPr>
              <w:pStyle w:val="TableParagraph"/>
              <w:spacing w:line="176" w:lineRule="exact"/>
              <w:ind w:left="124" w:right="113"/>
              <w:rPr>
                <w:sz w:val="16"/>
              </w:rPr>
            </w:pPr>
            <w:r>
              <w:rPr>
                <w:sz w:val="16"/>
              </w:rPr>
              <w:t>130.00</w:t>
            </w:r>
          </w:p>
        </w:tc>
        <w:tc>
          <w:tcPr>
            <w:tcW w:w="1245" w:type="dxa"/>
          </w:tcPr>
          <w:p>
            <w:pPr>
              <w:pStyle w:val="TableParagraph"/>
              <w:spacing w:line="176" w:lineRule="exact"/>
              <w:ind w:left="94" w:right="79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59" w:type="dxa"/>
          </w:tcPr>
          <w:p>
            <w:pPr>
              <w:pStyle w:val="TableParagraph"/>
              <w:spacing w:line="176" w:lineRule="exact"/>
              <w:ind w:left="100" w:right="88"/>
              <w:rPr>
                <w:sz w:val="16"/>
              </w:rPr>
            </w:pPr>
            <w:r>
              <w:rPr>
                <w:sz w:val="16"/>
              </w:rPr>
              <w:t>1.58</w:t>
            </w:r>
          </w:p>
        </w:tc>
        <w:tc>
          <w:tcPr>
            <w:tcW w:w="1187" w:type="dxa"/>
          </w:tcPr>
          <w:p>
            <w:pPr>
              <w:pStyle w:val="TableParagraph"/>
              <w:spacing w:line="176" w:lineRule="exact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>1.37</w:t>
            </w:r>
          </w:p>
        </w:tc>
        <w:tc>
          <w:tcPr>
            <w:tcW w:w="1365" w:type="dxa"/>
          </w:tcPr>
          <w:p>
            <w:pPr>
              <w:pStyle w:val="TableParagraph"/>
              <w:spacing w:line="176" w:lineRule="exact"/>
              <w:ind w:left="0" w:right="525"/>
              <w:jc w:val="right"/>
              <w:rPr>
                <w:sz w:val="16"/>
              </w:rPr>
            </w:pPr>
            <w:r>
              <w:rPr>
                <w:sz w:val="16"/>
              </w:rPr>
              <w:t>4.38</w:t>
            </w:r>
          </w:p>
        </w:tc>
        <w:tc>
          <w:tcPr>
            <w:tcW w:w="1315" w:type="dxa"/>
          </w:tcPr>
          <w:p>
            <w:pPr>
              <w:pStyle w:val="TableParagraph"/>
              <w:spacing w:line="176" w:lineRule="exact"/>
              <w:ind w:left="134" w:right="111"/>
              <w:rPr>
                <w:sz w:val="16"/>
              </w:rPr>
            </w:pPr>
            <w:r>
              <w:rPr>
                <w:sz w:val="16"/>
              </w:rPr>
              <w:t>0.72</w:t>
            </w:r>
          </w:p>
        </w:tc>
        <w:tc>
          <w:tcPr>
            <w:tcW w:w="1260" w:type="dxa"/>
          </w:tcPr>
          <w:p>
            <w:pPr>
              <w:pStyle w:val="TableParagraph"/>
              <w:spacing w:line="176" w:lineRule="exact"/>
              <w:ind w:left="103" w:right="87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</w:tr>
      <w:tr>
        <w:trPr>
          <w:trHeight w:val="194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ind w:left="111" w:right="97"/>
              <w:rPr>
                <w:sz w:val="16"/>
              </w:rPr>
            </w:pPr>
            <w:r>
              <w:rPr>
                <w:sz w:val="16"/>
              </w:rPr>
              <w:t>Wch-60</w:t>
            </w:r>
          </w:p>
        </w:tc>
        <w:tc>
          <w:tcPr>
            <w:tcW w:w="734" w:type="dxa"/>
            <w:shd w:val="clear" w:color="auto" w:fill="D8E1F2"/>
          </w:tcPr>
          <w:p>
            <w:pPr>
              <w:pStyle w:val="TableParagraph"/>
              <w:ind w:left="124" w:right="113"/>
              <w:rPr>
                <w:sz w:val="16"/>
              </w:rPr>
            </w:pPr>
            <w:r>
              <w:rPr>
                <w:sz w:val="16"/>
              </w:rPr>
              <w:t>131.75</w:t>
            </w:r>
          </w:p>
        </w:tc>
        <w:tc>
          <w:tcPr>
            <w:tcW w:w="1245" w:type="dxa"/>
            <w:shd w:val="clear" w:color="auto" w:fill="D8E1F2"/>
          </w:tcPr>
          <w:p>
            <w:pPr>
              <w:pStyle w:val="TableParagraph"/>
              <w:ind w:left="94" w:right="79"/>
              <w:rPr>
                <w:sz w:val="16"/>
              </w:rPr>
            </w:pPr>
            <w:r>
              <w:rPr>
                <w:sz w:val="16"/>
              </w:rPr>
              <w:t>0.37</w:t>
            </w:r>
          </w:p>
        </w:tc>
        <w:tc>
          <w:tcPr>
            <w:tcW w:w="1259" w:type="dxa"/>
            <w:shd w:val="clear" w:color="auto" w:fill="D8E1F2"/>
          </w:tcPr>
          <w:p>
            <w:pPr>
              <w:pStyle w:val="TableParagraph"/>
              <w:ind w:left="100" w:right="88"/>
              <w:rPr>
                <w:sz w:val="16"/>
              </w:rPr>
            </w:pPr>
            <w:r>
              <w:rPr>
                <w:sz w:val="16"/>
              </w:rPr>
              <w:t>8.77</w:t>
            </w:r>
          </w:p>
        </w:tc>
        <w:tc>
          <w:tcPr>
            <w:tcW w:w="1187" w:type="dxa"/>
            <w:shd w:val="clear" w:color="auto" w:fill="D8E1F2"/>
          </w:tcPr>
          <w:p>
            <w:pPr>
              <w:pStyle w:val="TableParagraph"/>
              <w:ind w:left="412"/>
              <w:jc w:val="left"/>
              <w:rPr>
                <w:sz w:val="16"/>
              </w:rPr>
            </w:pPr>
            <w:r>
              <w:rPr>
                <w:sz w:val="16"/>
              </w:rPr>
              <w:t>11.43</w:t>
            </w:r>
          </w:p>
        </w:tc>
        <w:tc>
          <w:tcPr>
            <w:tcW w:w="1365" w:type="dxa"/>
            <w:shd w:val="clear" w:color="auto" w:fill="D8E1F2"/>
          </w:tcPr>
          <w:p>
            <w:pPr>
              <w:pStyle w:val="TableParagraph"/>
              <w:ind w:left="0" w:right="484"/>
              <w:jc w:val="right"/>
              <w:rPr>
                <w:sz w:val="16"/>
              </w:rPr>
            </w:pPr>
            <w:r>
              <w:rPr>
                <w:sz w:val="16"/>
              </w:rPr>
              <w:t>35.10</w:t>
            </w:r>
          </w:p>
        </w:tc>
        <w:tc>
          <w:tcPr>
            <w:tcW w:w="1315" w:type="dxa"/>
            <w:shd w:val="clear" w:color="auto" w:fill="D8E1F2"/>
          </w:tcPr>
          <w:p>
            <w:pPr>
              <w:pStyle w:val="TableParagraph"/>
              <w:ind w:left="134" w:right="111"/>
              <w:rPr>
                <w:sz w:val="16"/>
              </w:rPr>
            </w:pPr>
            <w:r>
              <w:rPr>
                <w:sz w:val="16"/>
              </w:rPr>
              <w:t>6.92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ind w:left="103" w:right="87"/>
              <w:rPr>
                <w:sz w:val="16"/>
              </w:rPr>
            </w:pPr>
            <w:r>
              <w:rPr>
                <w:sz w:val="16"/>
              </w:rPr>
              <w:t>1.89</w:t>
            </w: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6" w:lineRule="exact"/>
              <w:ind w:left="111" w:right="97"/>
              <w:rPr>
                <w:sz w:val="16"/>
              </w:rPr>
            </w:pPr>
            <w:r>
              <w:rPr>
                <w:sz w:val="16"/>
              </w:rPr>
              <w:t>Wch-61</w:t>
            </w:r>
          </w:p>
        </w:tc>
        <w:tc>
          <w:tcPr>
            <w:tcW w:w="734" w:type="dxa"/>
          </w:tcPr>
          <w:p>
            <w:pPr>
              <w:pStyle w:val="TableParagraph"/>
              <w:spacing w:line="176" w:lineRule="exact"/>
              <w:ind w:left="124" w:right="113"/>
              <w:rPr>
                <w:sz w:val="16"/>
              </w:rPr>
            </w:pPr>
            <w:r>
              <w:rPr>
                <w:sz w:val="16"/>
              </w:rPr>
              <w:t>132.75</w:t>
            </w:r>
          </w:p>
        </w:tc>
        <w:tc>
          <w:tcPr>
            <w:tcW w:w="1245" w:type="dxa"/>
          </w:tcPr>
          <w:p>
            <w:pPr>
              <w:pStyle w:val="TableParagraph"/>
              <w:spacing w:line="176" w:lineRule="exact"/>
              <w:ind w:left="94" w:right="79"/>
              <w:rPr>
                <w:sz w:val="16"/>
              </w:rPr>
            </w:pPr>
            <w:r>
              <w:rPr>
                <w:sz w:val="16"/>
              </w:rPr>
              <w:t>1.01</w:t>
            </w:r>
          </w:p>
        </w:tc>
        <w:tc>
          <w:tcPr>
            <w:tcW w:w="1259" w:type="dxa"/>
          </w:tcPr>
          <w:p>
            <w:pPr>
              <w:pStyle w:val="TableParagraph"/>
              <w:spacing w:line="176" w:lineRule="exact"/>
              <w:ind w:left="100" w:right="88"/>
              <w:rPr>
                <w:sz w:val="16"/>
              </w:rPr>
            </w:pPr>
            <w:r>
              <w:rPr>
                <w:sz w:val="16"/>
              </w:rPr>
              <w:t>20.13</w:t>
            </w:r>
          </w:p>
        </w:tc>
        <w:tc>
          <w:tcPr>
            <w:tcW w:w="1187" w:type="dxa"/>
          </w:tcPr>
          <w:p>
            <w:pPr>
              <w:pStyle w:val="TableParagraph"/>
              <w:spacing w:line="176" w:lineRule="exact"/>
              <w:ind w:left="412"/>
              <w:jc w:val="left"/>
              <w:rPr>
                <w:sz w:val="16"/>
              </w:rPr>
            </w:pPr>
            <w:r>
              <w:rPr>
                <w:sz w:val="16"/>
              </w:rPr>
              <w:t>25.53</w:t>
            </w:r>
          </w:p>
        </w:tc>
        <w:tc>
          <w:tcPr>
            <w:tcW w:w="1365" w:type="dxa"/>
          </w:tcPr>
          <w:p>
            <w:pPr>
              <w:pStyle w:val="TableParagraph"/>
              <w:spacing w:line="176" w:lineRule="exact"/>
              <w:ind w:left="0" w:right="444"/>
              <w:jc w:val="right"/>
              <w:rPr>
                <w:sz w:val="16"/>
              </w:rPr>
            </w:pPr>
            <w:r>
              <w:rPr>
                <w:sz w:val="16"/>
              </w:rPr>
              <w:t>120.17</w:t>
            </w:r>
          </w:p>
        </w:tc>
        <w:tc>
          <w:tcPr>
            <w:tcW w:w="1315" w:type="dxa"/>
          </w:tcPr>
          <w:p>
            <w:pPr>
              <w:pStyle w:val="TableParagraph"/>
              <w:spacing w:line="176" w:lineRule="exact"/>
              <w:ind w:left="134" w:right="111"/>
              <w:rPr>
                <w:sz w:val="16"/>
              </w:rPr>
            </w:pPr>
            <w:r>
              <w:rPr>
                <w:sz w:val="16"/>
              </w:rPr>
              <w:t>15.76</w:t>
            </w:r>
          </w:p>
        </w:tc>
        <w:tc>
          <w:tcPr>
            <w:tcW w:w="1260" w:type="dxa"/>
          </w:tcPr>
          <w:p>
            <w:pPr>
              <w:pStyle w:val="TableParagraph"/>
              <w:spacing w:line="176" w:lineRule="exact"/>
              <w:ind w:left="103" w:right="87"/>
              <w:rPr>
                <w:sz w:val="16"/>
              </w:rPr>
            </w:pPr>
            <w:r>
              <w:rPr>
                <w:sz w:val="16"/>
              </w:rPr>
              <w:t>4.33</w:t>
            </w:r>
          </w:p>
        </w:tc>
      </w:tr>
      <w:tr>
        <w:trPr>
          <w:trHeight w:val="194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ind w:left="111" w:right="100"/>
              <w:rPr>
                <w:sz w:val="16"/>
              </w:rPr>
            </w:pPr>
            <w:r>
              <w:rPr>
                <w:sz w:val="16"/>
              </w:rPr>
              <w:t>WCH-21</w:t>
            </w:r>
          </w:p>
        </w:tc>
        <w:tc>
          <w:tcPr>
            <w:tcW w:w="734" w:type="dxa"/>
            <w:shd w:val="clear" w:color="auto" w:fill="D8E1F2"/>
          </w:tcPr>
          <w:p>
            <w:pPr>
              <w:pStyle w:val="TableParagraph"/>
              <w:ind w:left="124" w:right="113"/>
              <w:rPr>
                <w:sz w:val="16"/>
              </w:rPr>
            </w:pPr>
            <w:r>
              <w:rPr>
                <w:sz w:val="16"/>
              </w:rPr>
              <w:t>133.50</w:t>
            </w:r>
          </w:p>
        </w:tc>
        <w:tc>
          <w:tcPr>
            <w:tcW w:w="1245" w:type="dxa"/>
            <w:shd w:val="clear" w:color="auto" w:fill="D8E1F2"/>
          </w:tcPr>
          <w:p>
            <w:pPr>
              <w:pStyle w:val="TableParagraph"/>
              <w:ind w:left="94" w:right="79"/>
              <w:rPr>
                <w:sz w:val="16"/>
              </w:rPr>
            </w:pPr>
            <w:r>
              <w:rPr>
                <w:sz w:val="16"/>
              </w:rPr>
              <w:t>1.05</w:t>
            </w:r>
          </w:p>
        </w:tc>
        <w:tc>
          <w:tcPr>
            <w:tcW w:w="1259" w:type="dxa"/>
            <w:shd w:val="clear" w:color="auto" w:fill="D8E1F2"/>
          </w:tcPr>
          <w:p>
            <w:pPr>
              <w:pStyle w:val="TableParagraph"/>
              <w:ind w:left="100" w:right="88"/>
              <w:rPr>
                <w:sz w:val="16"/>
              </w:rPr>
            </w:pPr>
            <w:r>
              <w:rPr>
                <w:sz w:val="16"/>
              </w:rPr>
              <w:t>18.79</w:t>
            </w:r>
          </w:p>
        </w:tc>
        <w:tc>
          <w:tcPr>
            <w:tcW w:w="1187" w:type="dxa"/>
            <w:shd w:val="clear" w:color="auto" w:fill="D8E1F2"/>
          </w:tcPr>
          <w:p>
            <w:pPr>
              <w:pStyle w:val="TableParagraph"/>
              <w:ind w:left="412"/>
              <w:jc w:val="left"/>
              <w:rPr>
                <w:sz w:val="16"/>
              </w:rPr>
            </w:pPr>
            <w:r>
              <w:rPr>
                <w:sz w:val="16"/>
              </w:rPr>
              <w:t>38.39</w:t>
            </w:r>
          </w:p>
        </w:tc>
        <w:tc>
          <w:tcPr>
            <w:tcW w:w="1365" w:type="dxa"/>
            <w:shd w:val="clear" w:color="auto" w:fill="D8E1F2"/>
          </w:tcPr>
          <w:p>
            <w:pPr>
              <w:pStyle w:val="TableParagraph"/>
              <w:ind w:left="0" w:right="444"/>
              <w:jc w:val="right"/>
              <w:rPr>
                <w:sz w:val="16"/>
              </w:rPr>
            </w:pPr>
            <w:r>
              <w:rPr>
                <w:sz w:val="16"/>
              </w:rPr>
              <w:t>122.73</w:t>
            </w:r>
          </w:p>
        </w:tc>
        <w:tc>
          <w:tcPr>
            <w:tcW w:w="1315" w:type="dxa"/>
            <w:shd w:val="clear" w:color="auto" w:fill="D8E1F2"/>
          </w:tcPr>
          <w:p>
            <w:pPr>
              <w:pStyle w:val="TableParagraph"/>
              <w:ind w:left="134" w:right="111"/>
              <w:rPr>
                <w:sz w:val="16"/>
              </w:rPr>
            </w:pPr>
            <w:r>
              <w:rPr>
                <w:sz w:val="16"/>
              </w:rPr>
              <w:t>13.46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ind w:left="103" w:right="87"/>
              <w:rPr>
                <w:sz w:val="16"/>
              </w:rPr>
            </w:pPr>
            <w:r>
              <w:rPr>
                <w:sz w:val="16"/>
              </w:rPr>
              <w:t>2.25</w:t>
            </w: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6" w:lineRule="exact"/>
              <w:ind w:left="111" w:right="97"/>
              <w:rPr>
                <w:sz w:val="16"/>
              </w:rPr>
            </w:pPr>
            <w:r>
              <w:rPr>
                <w:sz w:val="16"/>
              </w:rPr>
              <w:t>Wch-44</w:t>
            </w:r>
          </w:p>
        </w:tc>
        <w:tc>
          <w:tcPr>
            <w:tcW w:w="734" w:type="dxa"/>
          </w:tcPr>
          <w:p>
            <w:pPr>
              <w:pStyle w:val="TableParagraph"/>
              <w:spacing w:line="176" w:lineRule="exact"/>
              <w:ind w:left="124" w:right="113"/>
              <w:rPr>
                <w:sz w:val="16"/>
              </w:rPr>
            </w:pPr>
            <w:r>
              <w:rPr>
                <w:sz w:val="16"/>
              </w:rPr>
              <w:t>134.00</w:t>
            </w:r>
          </w:p>
        </w:tc>
        <w:tc>
          <w:tcPr>
            <w:tcW w:w="1245" w:type="dxa"/>
          </w:tcPr>
          <w:p>
            <w:pPr>
              <w:pStyle w:val="TableParagraph"/>
              <w:spacing w:line="176" w:lineRule="exact"/>
              <w:ind w:left="94" w:right="79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59" w:type="dxa"/>
          </w:tcPr>
          <w:p>
            <w:pPr>
              <w:pStyle w:val="TableParagraph"/>
              <w:spacing w:line="176" w:lineRule="exact"/>
              <w:ind w:left="100" w:right="88"/>
              <w:rPr>
                <w:sz w:val="16"/>
              </w:rPr>
            </w:pPr>
            <w:r>
              <w:rPr>
                <w:sz w:val="16"/>
              </w:rPr>
              <w:t>5.76</w:t>
            </w:r>
          </w:p>
        </w:tc>
        <w:tc>
          <w:tcPr>
            <w:tcW w:w="1187" w:type="dxa"/>
          </w:tcPr>
          <w:p>
            <w:pPr>
              <w:pStyle w:val="TableParagraph"/>
              <w:spacing w:line="176" w:lineRule="exact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>9.01</w:t>
            </w:r>
          </w:p>
        </w:tc>
        <w:tc>
          <w:tcPr>
            <w:tcW w:w="1365" w:type="dxa"/>
          </w:tcPr>
          <w:p>
            <w:pPr>
              <w:pStyle w:val="TableParagraph"/>
              <w:spacing w:line="176" w:lineRule="exact"/>
              <w:ind w:left="0" w:right="484"/>
              <w:jc w:val="right"/>
              <w:rPr>
                <w:sz w:val="16"/>
              </w:rPr>
            </w:pPr>
            <w:r>
              <w:rPr>
                <w:sz w:val="16"/>
              </w:rPr>
              <w:t>30.02</w:t>
            </w:r>
          </w:p>
        </w:tc>
        <w:tc>
          <w:tcPr>
            <w:tcW w:w="1315" w:type="dxa"/>
          </w:tcPr>
          <w:p>
            <w:pPr>
              <w:pStyle w:val="TableParagraph"/>
              <w:spacing w:line="176" w:lineRule="exact"/>
              <w:ind w:left="134" w:right="111"/>
              <w:rPr>
                <w:sz w:val="16"/>
              </w:rPr>
            </w:pPr>
            <w:r>
              <w:rPr>
                <w:sz w:val="16"/>
              </w:rPr>
              <w:t>4.56</w:t>
            </w:r>
          </w:p>
        </w:tc>
        <w:tc>
          <w:tcPr>
            <w:tcW w:w="1260" w:type="dxa"/>
          </w:tcPr>
          <w:p>
            <w:pPr>
              <w:pStyle w:val="TableParagraph"/>
              <w:spacing w:line="176" w:lineRule="exact"/>
              <w:ind w:left="103" w:right="87"/>
              <w:rPr>
                <w:sz w:val="16"/>
              </w:rPr>
            </w:pPr>
            <w:r>
              <w:rPr>
                <w:sz w:val="16"/>
              </w:rPr>
              <w:t>0.68</w:t>
            </w:r>
          </w:p>
        </w:tc>
      </w:tr>
      <w:tr>
        <w:trPr>
          <w:trHeight w:val="194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ind w:left="111" w:right="100"/>
              <w:rPr>
                <w:sz w:val="16"/>
              </w:rPr>
            </w:pPr>
            <w:r>
              <w:rPr>
                <w:sz w:val="16"/>
              </w:rPr>
              <w:t>WCH-22</w:t>
            </w:r>
          </w:p>
        </w:tc>
        <w:tc>
          <w:tcPr>
            <w:tcW w:w="734" w:type="dxa"/>
            <w:shd w:val="clear" w:color="auto" w:fill="D8E1F2"/>
          </w:tcPr>
          <w:p>
            <w:pPr>
              <w:pStyle w:val="TableParagraph"/>
              <w:ind w:left="124" w:right="113"/>
              <w:rPr>
                <w:sz w:val="16"/>
              </w:rPr>
            </w:pPr>
            <w:r>
              <w:rPr>
                <w:sz w:val="16"/>
              </w:rPr>
              <w:t>136.00</w:t>
            </w:r>
          </w:p>
        </w:tc>
        <w:tc>
          <w:tcPr>
            <w:tcW w:w="1245" w:type="dxa"/>
            <w:shd w:val="clear" w:color="auto" w:fill="D8E1F2"/>
          </w:tcPr>
          <w:p>
            <w:pPr>
              <w:pStyle w:val="TableParagraph"/>
              <w:ind w:left="94" w:right="79"/>
              <w:rPr>
                <w:sz w:val="16"/>
              </w:rPr>
            </w:pPr>
            <w:r>
              <w:rPr>
                <w:sz w:val="16"/>
              </w:rPr>
              <w:t>0.70</w:t>
            </w:r>
          </w:p>
        </w:tc>
        <w:tc>
          <w:tcPr>
            <w:tcW w:w="1259" w:type="dxa"/>
            <w:shd w:val="clear" w:color="auto" w:fill="D8E1F2"/>
          </w:tcPr>
          <w:p>
            <w:pPr>
              <w:pStyle w:val="TableParagraph"/>
              <w:ind w:left="100" w:right="88"/>
              <w:rPr>
                <w:sz w:val="16"/>
              </w:rPr>
            </w:pPr>
            <w:r>
              <w:rPr>
                <w:sz w:val="16"/>
              </w:rPr>
              <w:t>22.91</w:t>
            </w:r>
          </w:p>
        </w:tc>
        <w:tc>
          <w:tcPr>
            <w:tcW w:w="1187" w:type="dxa"/>
            <w:shd w:val="clear" w:color="auto" w:fill="D8E1F2"/>
          </w:tcPr>
          <w:p>
            <w:pPr>
              <w:pStyle w:val="TableParagraph"/>
              <w:ind w:left="412"/>
              <w:jc w:val="left"/>
              <w:rPr>
                <w:sz w:val="16"/>
              </w:rPr>
            </w:pPr>
            <w:r>
              <w:rPr>
                <w:sz w:val="16"/>
              </w:rPr>
              <w:t>39.08</w:t>
            </w:r>
          </w:p>
        </w:tc>
        <w:tc>
          <w:tcPr>
            <w:tcW w:w="1365" w:type="dxa"/>
            <w:shd w:val="clear" w:color="auto" w:fill="D8E1F2"/>
          </w:tcPr>
          <w:p>
            <w:pPr>
              <w:pStyle w:val="TableParagraph"/>
              <w:ind w:left="0" w:right="444"/>
              <w:jc w:val="right"/>
              <w:rPr>
                <w:sz w:val="16"/>
              </w:rPr>
            </w:pPr>
            <w:r>
              <w:rPr>
                <w:sz w:val="16"/>
              </w:rPr>
              <w:t>138.21</w:t>
            </w:r>
          </w:p>
        </w:tc>
        <w:tc>
          <w:tcPr>
            <w:tcW w:w="1315" w:type="dxa"/>
            <w:shd w:val="clear" w:color="auto" w:fill="D8E1F2"/>
          </w:tcPr>
          <w:p>
            <w:pPr>
              <w:pStyle w:val="TableParagraph"/>
              <w:ind w:left="134" w:right="111"/>
              <w:rPr>
                <w:sz w:val="16"/>
              </w:rPr>
            </w:pPr>
            <w:r>
              <w:rPr>
                <w:sz w:val="16"/>
              </w:rPr>
              <w:t>16.20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ind w:left="103" w:right="87"/>
              <w:rPr>
                <w:sz w:val="16"/>
              </w:rPr>
            </w:pPr>
            <w:r>
              <w:rPr>
                <w:sz w:val="16"/>
              </w:rPr>
              <w:t>1.87</w:t>
            </w: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5" w:lineRule="exact" w:before="1"/>
              <w:ind w:left="111" w:right="100"/>
              <w:rPr>
                <w:sz w:val="16"/>
              </w:rPr>
            </w:pPr>
            <w:r>
              <w:rPr>
                <w:sz w:val="16"/>
              </w:rPr>
              <w:t>WCH-23</w:t>
            </w:r>
          </w:p>
        </w:tc>
        <w:tc>
          <w:tcPr>
            <w:tcW w:w="734" w:type="dxa"/>
          </w:tcPr>
          <w:p>
            <w:pPr>
              <w:pStyle w:val="TableParagraph"/>
              <w:spacing w:line="175" w:lineRule="exact" w:before="1"/>
              <w:ind w:left="124" w:right="113"/>
              <w:rPr>
                <w:sz w:val="16"/>
              </w:rPr>
            </w:pPr>
            <w:r>
              <w:rPr>
                <w:sz w:val="16"/>
              </w:rPr>
              <w:t>137.25</w:t>
            </w:r>
          </w:p>
        </w:tc>
        <w:tc>
          <w:tcPr>
            <w:tcW w:w="1245" w:type="dxa"/>
          </w:tcPr>
          <w:p>
            <w:pPr>
              <w:pStyle w:val="TableParagraph"/>
              <w:spacing w:line="175" w:lineRule="exact" w:before="1"/>
              <w:ind w:left="94" w:right="79"/>
              <w:rPr>
                <w:sz w:val="16"/>
              </w:rPr>
            </w:pPr>
            <w:r>
              <w:rPr>
                <w:sz w:val="16"/>
              </w:rPr>
              <w:t>1.12</w:t>
            </w:r>
          </w:p>
        </w:tc>
        <w:tc>
          <w:tcPr>
            <w:tcW w:w="1259" w:type="dxa"/>
          </w:tcPr>
          <w:p>
            <w:pPr>
              <w:pStyle w:val="TableParagraph"/>
              <w:spacing w:line="175" w:lineRule="exact" w:before="1"/>
              <w:ind w:left="100" w:right="88"/>
              <w:rPr>
                <w:sz w:val="16"/>
              </w:rPr>
            </w:pPr>
            <w:r>
              <w:rPr>
                <w:sz w:val="16"/>
              </w:rPr>
              <w:t>24.95</w:t>
            </w:r>
          </w:p>
        </w:tc>
        <w:tc>
          <w:tcPr>
            <w:tcW w:w="1187" w:type="dxa"/>
          </w:tcPr>
          <w:p>
            <w:pPr>
              <w:pStyle w:val="TableParagraph"/>
              <w:spacing w:line="175" w:lineRule="exact" w:before="1"/>
              <w:ind w:left="412"/>
              <w:jc w:val="left"/>
              <w:rPr>
                <w:sz w:val="16"/>
              </w:rPr>
            </w:pPr>
            <w:r>
              <w:rPr>
                <w:sz w:val="16"/>
              </w:rPr>
              <w:t>47.93</w:t>
            </w:r>
          </w:p>
        </w:tc>
        <w:tc>
          <w:tcPr>
            <w:tcW w:w="1365" w:type="dxa"/>
          </w:tcPr>
          <w:p>
            <w:pPr>
              <w:pStyle w:val="TableParagraph"/>
              <w:spacing w:line="175" w:lineRule="exact" w:before="1"/>
              <w:ind w:left="0" w:right="444"/>
              <w:jc w:val="right"/>
              <w:rPr>
                <w:sz w:val="16"/>
              </w:rPr>
            </w:pPr>
            <w:r>
              <w:rPr>
                <w:sz w:val="16"/>
              </w:rPr>
              <w:t>174.43</w:t>
            </w:r>
          </w:p>
        </w:tc>
        <w:tc>
          <w:tcPr>
            <w:tcW w:w="1315" w:type="dxa"/>
          </w:tcPr>
          <w:p>
            <w:pPr>
              <w:pStyle w:val="TableParagraph"/>
              <w:spacing w:line="175" w:lineRule="exact" w:before="1"/>
              <w:ind w:left="134" w:right="111"/>
              <w:rPr>
                <w:sz w:val="16"/>
              </w:rPr>
            </w:pPr>
            <w:r>
              <w:rPr>
                <w:sz w:val="16"/>
              </w:rPr>
              <w:t>18.07</w:t>
            </w:r>
          </w:p>
        </w:tc>
        <w:tc>
          <w:tcPr>
            <w:tcW w:w="1260" w:type="dxa"/>
          </w:tcPr>
          <w:p>
            <w:pPr>
              <w:pStyle w:val="TableParagraph"/>
              <w:spacing w:line="175" w:lineRule="exact" w:before="1"/>
              <w:ind w:left="103" w:right="87"/>
              <w:rPr>
                <w:sz w:val="16"/>
              </w:rPr>
            </w:pPr>
            <w:r>
              <w:rPr>
                <w:sz w:val="16"/>
              </w:rPr>
              <w:t>2.40</w:t>
            </w:r>
          </w:p>
        </w:tc>
      </w:tr>
      <w:tr>
        <w:trPr>
          <w:trHeight w:val="196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spacing w:line="176" w:lineRule="exact"/>
              <w:ind w:left="111" w:right="100"/>
              <w:rPr>
                <w:sz w:val="16"/>
              </w:rPr>
            </w:pPr>
            <w:r>
              <w:rPr>
                <w:sz w:val="16"/>
              </w:rPr>
              <w:t>WCH-24</w:t>
            </w:r>
          </w:p>
        </w:tc>
        <w:tc>
          <w:tcPr>
            <w:tcW w:w="734" w:type="dxa"/>
            <w:shd w:val="clear" w:color="auto" w:fill="D8E1F2"/>
          </w:tcPr>
          <w:p>
            <w:pPr>
              <w:pStyle w:val="TableParagraph"/>
              <w:spacing w:line="176" w:lineRule="exact"/>
              <w:ind w:left="124" w:right="113"/>
              <w:rPr>
                <w:sz w:val="16"/>
              </w:rPr>
            </w:pPr>
            <w:r>
              <w:rPr>
                <w:sz w:val="16"/>
              </w:rPr>
              <w:t>138.50</w:t>
            </w:r>
          </w:p>
        </w:tc>
        <w:tc>
          <w:tcPr>
            <w:tcW w:w="1245" w:type="dxa"/>
            <w:shd w:val="clear" w:color="auto" w:fill="D8E1F2"/>
          </w:tcPr>
          <w:p>
            <w:pPr>
              <w:pStyle w:val="TableParagraph"/>
              <w:spacing w:line="176" w:lineRule="exact"/>
              <w:ind w:left="94" w:right="79"/>
              <w:rPr>
                <w:sz w:val="16"/>
              </w:rPr>
            </w:pPr>
            <w:r>
              <w:rPr>
                <w:sz w:val="16"/>
              </w:rPr>
              <w:t>0.77</w:t>
            </w:r>
          </w:p>
        </w:tc>
        <w:tc>
          <w:tcPr>
            <w:tcW w:w="1259" w:type="dxa"/>
            <w:shd w:val="clear" w:color="auto" w:fill="D8E1F2"/>
          </w:tcPr>
          <w:p>
            <w:pPr>
              <w:pStyle w:val="TableParagraph"/>
              <w:spacing w:line="176" w:lineRule="exact"/>
              <w:ind w:left="100" w:right="88"/>
              <w:rPr>
                <w:sz w:val="16"/>
              </w:rPr>
            </w:pPr>
            <w:r>
              <w:rPr>
                <w:sz w:val="16"/>
              </w:rPr>
              <w:t>21.84</w:t>
            </w:r>
          </w:p>
        </w:tc>
        <w:tc>
          <w:tcPr>
            <w:tcW w:w="1187" w:type="dxa"/>
            <w:shd w:val="clear" w:color="auto" w:fill="D8E1F2"/>
          </w:tcPr>
          <w:p>
            <w:pPr>
              <w:pStyle w:val="TableParagraph"/>
              <w:spacing w:line="176" w:lineRule="exact"/>
              <w:ind w:left="412"/>
              <w:jc w:val="left"/>
              <w:rPr>
                <w:sz w:val="16"/>
              </w:rPr>
            </w:pPr>
            <w:r>
              <w:rPr>
                <w:sz w:val="16"/>
              </w:rPr>
              <w:t>42.87</w:t>
            </w:r>
          </w:p>
        </w:tc>
        <w:tc>
          <w:tcPr>
            <w:tcW w:w="1365" w:type="dxa"/>
            <w:shd w:val="clear" w:color="auto" w:fill="D8E1F2"/>
          </w:tcPr>
          <w:p>
            <w:pPr>
              <w:pStyle w:val="TableParagraph"/>
              <w:spacing w:line="176" w:lineRule="exact"/>
              <w:ind w:left="0" w:right="444"/>
              <w:jc w:val="right"/>
              <w:rPr>
                <w:sz w:val="16"/>
              </w:rPr>
            </w:pPr>
            <w:r>
              <w:rPr>
                <w:sz w:val="16"/>
              </w:rPr>
              <w:t>146.43</w:t>
            </w:r>
          </w:p>
        </w:tc>
        <w:tc>
          <w:tcPr>
            <w:tcW w:w="1315" w:type="dxa"/>
            <w:shd w:val="clear" w:color="auto" w:fill="D8E1F2"/>
          </w:tcPr>
          <w:p>
            <w:pPr>
              <w:pStyle w:val="TableParagraph"/>
              <w:spacing w:line="176" w:lineRule="exact"/>
              <w:ind w:left="134" w:right="111"/>
              <w:rPr>
                <w:sz w:val="16"/>
              </w:rPr>
            </w:pPr>
            <w:r>
              <w:rPr>
                <w:sz w:val="16"/>
              </w:rPr>
              <w:t>16.30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spacing w:line="176" w:lineRule="exact"/>
              <w:ind w:left="103" w:right="87"/>
              <w:rPr>
                <w:sz w:val="16"/>
              </w:rPr>
            </w:pPr>
            <w:r>
              <w:rPr>
                <w:sz w:val="16"/>
              </w:rPr>
              <w:t>2.11</w:t>
            </w:r>
          </w:p>
        </w:tc>
      </w:tr>
      <w:tr>
        <w:trPr>
          <w:trHeight w:val="194" w:hRule="atLeast"/>
        </w:trPr>
        <w:tc>
          <w:tcPr>
            <w:tcW w:w="806" w:type="dxa"/>
          </w:tcPr>
          <w:p>
            <w:pPr>
              <w:pStyle w:val="TableParagraph"/>
              <w:ind w:left="111" w:right="100"/>
              <w:rPr>
                <w:sz w:val="16"/>
              </w:rPr>
            </w:pPr>
            <w:r>
              <w:rPr>
                <w:sz w:val="16"/>
              </w:rPr>
              <w:t>WCH-25</w:t>
            </w:r>
          </w:p>
        </w:tc>
        <w:tc>
          <w:tcPr>
            <w:tcW w:w="734" w:type="dxa"/>
          </w:tcPr>
          <w:p>
            <w:pPr>
              <w:pStyle w:val="TableParagraph"/>
              <w:ind w:left="124" w:right="113"/>
              <w:rPr>
                <w:sz w:val="16"/>
              </w:rPr>
            </w:pPr>
            <w:r>
              <w:rPr>
                <w:sz w:val="16"/>
              </w:rPr>
              <w:t>139.67</w:t>
            </w:r>
          </w:p>
        </w:tc>
        <w:tc>
          <w:tcPr>
            <w:tcW w:w="1245" w:type="dxa"/>
          </w:tcPr>
          <w:p>
            <w:pPr>
              <w:pStyle w:val="TableParagraph"/>
              <w:ind w:left="94" w:right="79"/>
              <w:rPr>
                <w:sz w:val="16"/>
              </w:rPr>
            </w:pPr>
            <w:r>
              <w:rPr>
                <w:sz w:val="16"/>
              </w:rPr>
              <w:t>0.95</w:t>
            </w:r>
          </w:p>
        </w:tc>
        <w:tc>
          <w:tcPr>
            <w:tcW w:w="1259" w:type="dxa"/>
          </w:tcPr>
          <w:p>
            <w:pPr>
              <w:pStyle w:val="TableParagraph"/>
              <w:ind w:left="100" w:right="88"/>
              <w:rPr>
                <w:sz w:val="16"/>
              </w:rPr>
            </w:pPr>
            <w:r>
              <w:rPr>
                <w:sz w:val="16"/>
              </w:rPr>
              <w:t>19.49</w:t>
            </w:r>
          </w:p>
        </w:tc>
        <w:tc>
          <w:tcPr>
            <w:tcW w:w="1187" w:type="dxa"/>
          </w:tcPr>
          <w:p>
            <w:pPr>
              <w:pStyle w:val="TableParagraph"/>
              <w:ind w:left="412"/>
              <w:jc w:val="left"/>
              <w:rPr>
                <w:sz w:val="16"/>
              </w:rPr>
            </w:pPr>
            <w:r>
              <w:rPr>
                <w:sz w:val="16"/>
              </w:rPr>
              <w:t>40.13</w:t>
            </w:r>
          </w:p>
        </w:tc>
        <w:tc>
          <w:tcPr>
            <w:tcW w:w="1365" w:type="dxa"/>
          </w:tcPr>
          <w:p>
            <w:pPr>
              <w:pStyle w:val="TableParagraph"/>
              <w:ind w:left="0" w:right="444"/>
              <w:jc w:val="right"/>
              <w:rPr>
                <w:sz w:val="16"/>
              </w:rPr>
            </w:pPr>
            <w:r>
              <w:rPr>
                <w:sz w:val="16"/>
              </w:rPr>
              <w:t>126.08</w:t>
            </w:r>
          </w:p>
        </w:tc>
        <w:tc>
          <w:tcPr>
            <w:tcW w:w="1315" w:type="dxa"/>
          </w:tcPr>
          <w:p>
            <w:pPr>
              <w:pStyle w:val="TableParagraph"/>
              <w:ind w:left="134" w:right="111"/>
              <w:rPr>
                <w:sz w:val="16"/>
              </w:rPr>
            </w:pPr>
            <w:r>
              <w:rPr>
                <w:sz w:val="16"/>
              </w:rPr>
              <w:t>14.27</w:t>
            </w:r>
          </w:p>
        </w:tc>
        <w:tc>
          <w:tcPr>
            <w:tcW w:w="1260" w:type="dxa"/>
          </w:tcPr>
          <w:p>
            <w:pPr>
              <w:pStyle w:val="TableParagraph"/>
              <w:ind w:left="103" w:right="87"/>
              <w:rPr>
                <w:sz w:val="16"/>
              </w:rPr>
            </w:pPr>
            <w:r>
              <w:rPr>
                <w:sz w:val="16"/>
              </w:rPr>
              <w:t>1.60</w:t>
            </w:r>
          </w:p>
        </w:tc>
      </w:tr>
      <w:tr>
        <w:trPr>
          <w:trHeight w:val="196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spacing w:line="176" w:lineRule="exact"/>
              <w:ind w:left="111" w:right="100"/>
              <w:rPr>
                <w:sz w:val="16"/>
              </w:rPr>
            </w:pPr>
            <w:r>
              <w:rPr>
                <w:sz w:val="16"/>
              </w:rPr>
              <w:t>WCH-26</w:t>
            </w:r>
          </w:p>
        </w:tc>
        <w:tc>
          <w:tcPr>
            <w:tcW w:w="734" w:type="dxa"/>
            <w:shd w:val="clear" w:color="auto" w:fill="D8E1F2"/>
          </w:tcPr>
          <w:p>
            <w:pPr>
              <w:pStyle w:val="TableParagraph"/>
              <w:spacing w:line="176" w:lineRule="exact"/>
              <w:ind w:left="124" w:right="113"/>
              <w:rPr>
                <w:sz w:val="16"/>
              </w:rPr>
            </w:pPr>
            <w:r>
              <w:rPr>
                <w:sz w:val="16"/>
              </w:rPr>
              <w:t>141.08</w:t>
            </w:r>
          </w:p>
        </w:tc>
        <w:tc>
          <w:tcPr>
            <w:tcW w:w="1245" w:type="dxa"/>
            <w:shd w:val="clear" w:color="auto" w:fill="D8E1F2"/>
          </w:tcPr>
          <w:p>
            <w:pPr>
              <w:pStyle w:val="TableParagraph"/>
              <w:spacing w:line="176" w:lineRule="exact"/>
              <w:ind w:left="94" w:right="79"/>
              <w:rPr>
                <w:sz w:val="16"/>
              </w:rPr>
            </w:pPr>
            <w:r>
              <w:rPr>
                <w:sz w:val="16"/>
              </w:rPr>
              <w:t>0.81</w:t>
            </w:r>
          </w:p>
        </w:tc>
        <w:tc>
          <w:tcPr>
            <w:tcW w:w="1259" w:type="dxa"/>
            <w:shd w:val="clear" w:color="auto" w:fill="D8E1F2"/>
          </w:tcPr>
          <w:p>
            <w:pPr>
              <w:pStyle w:val="TableParagraph"/>
              <w:spacing w:line="176" w:lineRule="exact"/>
              <w:ind w:left="100" w:right="88"/>
              <w:rPr>
                <w:sz w:val="16"/>
              </w:rPr>
            </w:pPr>
            <w:r>
              <w:rPr>
                <w:sz w:val="16"/>
              </w:rPr>
              <w:t>23.48</w:t>
            </w:r>
          </w:p>
        </w:tc>
        <w:tc>
          <w:tcPr>
            <w:tcW w:w="1187" w:type="dxa"/>
            <w:shd w:val="clear" w:color="auto" w:fill="D8E1F2"/>
          </w:tcPr>
          <w:p>
            <w:pPr>
              <w:pStyle w:val="TableParagraph"/>
              <w:spacing w:line="176" w:lineRule="exact"/>
              <w:ind w:left="412"/>
              <w:jc w:val="left"/>
              <w:rPr>
                <w:sz w:val="16"/>
              </w:rPr>
            </w:pPr>
            <w:r>
              <w:rPr>
                <w:sz w:val="16"/>
              </w:rPr>
              <w:t>44.57</w:t>
            </w:r>
          </w:p>
        </w:tc>
        <w:tc>
          <w:tcPr>
            <w:tcW w:w="1365" w:type="dxa"/>
            <w:shd w:val="clear" w:color="auto" w:fill="D8E1F2"/>
          </w:tcPr>
          <w:p>
            <w:pPr>
              <w:pStyle w:val="TableParagraph"/>
              <w:spacing w:line="176" w:lineRule="exact"/>
              <w:ind w:left="0" w:right="444"/>
              <w:jc w:val="right"/>
              <w:rPr>
                <w:sz w:val="16"/>
              </w:rPr>
            </w:pPr>
            <w:r>
              <w:rPr>
                <w:sz w:val="16"/>
              </w:rPr>
              <w:t>168.81</w:t>
            </w:r>
          </w:p>
        </w:tc>
        <w:tc>
          <w:tcPr>
            <w:tcW w:w="1315" w:type="dxa"/>
            <w:shd w:val="clear" w:color="auto" w:fill="D8E1F2"/>
          </w:tcPr>
          <w:p>
            <w:pPr>
              <w:pStyle w:val="TableParagraph"/>
              <w:spacing w:line="176" w:lineRule="exact"/>
              <w:ind w:left="134" w:right="111"/>
              <w:rPr>
                <w:sz w:val="16"/>
              </w:rPr>
            </w:pPr>
            <w:r>
              <w:rPr>
                <w:sz w:val="16"/>
              </w:rPr>
              <w:t>17.58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spacing w:line="176" w:lineRule="exact"/>
              <w:ind w:left="103" w:right="87"/>
              <w:rPr>
                <w:sz w:val="16"/>
              </w:rPr>
            </w:pPr>
            <w:r>
              <w:rPr>
                <w:sz w:val="16"/>
              </w:rPr>
              <w:t>2.13</w:t>
            </w:r>
          </w:p>
        </w:tc>
      </w:tr>
      <w:tr>
        <w:trPr>
          <w:trHeight w:val="193" w:hRule="atLeast"/>
        </w:trPr>
        <w:tc>
          <w:tcPr>
            <w:tcW w:w="806" w:type="dxa"/>
          </w:tcPr>
          <w:p>
            <w:pPr>
              <w:pStyle w:val="TableParagraph"/>
              <w:ind w:left="111" w:right="100"/>
              <w:rPr>
                <w:sz w:val="16"/>
              </w:rPr>
            </w:pPr>
            <w:r>
              <w:rPr>
                <w:sz w:val="16"/>
              </w:rPr>
              <w:t>WCH-27</w:t>
            </w:r>
          </w:p>
        </w:tc>
        <w:tc>
          <w:tcPr>
            <w:tcW w:w="734" w:type="dxa"/>
          </w:tcPr>
          <w:p>
            <w:pPr>
              <w:pStyle w:val="TableParagraph"/>
              <w:ind w:left="124" w:right="113"/>
              <w:rPr>
                <w:sz w:val="16"/>
              </w:rPr>
            </w:pPr>
            <w:r>
              <w:rPr>
                <w:sz w:val="16"/>
              </w:rPr>
              <w:t>142.25</w:t>
            </w:r>
          </w:p>
        </w:tc>
        <w:tc>
          <w:tcPr>
            <w:tcW w:w="1245" w:type="dxa"/>
          </w:tcPr>
          <w:p>
            <w:pPr>
              <w:pStyle w:val="TableParagraph"/>
              <w:ind w:left="94" w:right="79"/>
              <w:rPr>
                <w:sz w:val="16"/>
              </w:rPr>
            </w:pPr>
            <w:r>
              <w:rPr>
                <w:sz w:val="16"/>
              </w:rPr>
              <w:t>1.14</w:t>
            </w:r>
          </w:p>
        </w:tc>
        <w:tc>
          <w:tcPr>
            <w:tcW w:w="1259" w:type="dxa"/>
          </w:tcPr>
          <w:p>
            <w:pPr>
              <w:pStyle w:val="TableParagraph"/>
              <w:ind w:left="100" w:right="88"/>
              <w:rPr>
                <w:sz w:val="16"/>
              </w:rPr>
            </w:pPr>
            <w:r>
              <w:rPr>
                <w:sz w:val="16"/>
              </w:rPr>
              <w:t>20.87</w:t>
            </w:r>
          </w:p>
        </w:tc>
        <w:tc>
          <w:tcPr>
            <w:tcW w:w="1187" w:type="dxa"/>
          </w:tcPr>
          <w:p>
            <w:pPr>
              <w:pStyle w:val="TableParagraph"/>
              <w:ind w:left="412"/>
              <w:jc w:val="left"/>
              <w:rPr>
                <w:sz w:val="16"/>
              </w:rPr>
            </w:pPr>
            <w:r>
              <w:rPr>
                <w:sz w:val="16"/>
              </w:rPr>
              <w:t>32.99</w:t>
            </w:r>
          </w:p>
        </w:tc>
        <w:tc>
          <w:tcPr>
            <w:tcW w:w="1365" w:type="dxa"/>
          </w:tcPr>
          <w:p>
            <w:pPr>
              <w:pStyle w:val="TableParagraph"/>
              <w:ind w:left="0" w:right="444"/>
              <w:jc w:val="right"/>
              <w:rPr>
                <w:sz w:val="16"/>
              </w:rPr>
            </w:pPr>
            <w:r>
              <w:rPr>
                <w:sz w:val="16"/>
              </w:rPr>
              <w:t>141.11</w:t>
            </w:r>
          </w:p>
        </w:tc>
        <w:tc>
          <w:tcPr>
            <w:tcW w:w="1315" w:type="dxa"/>
          </w:tcPr>
          <w:p>
            <w:pPr>
              <w:pStyle w:val="TableParagraph"/>
              <w:ind w:left="134" w:right="111"/>
              <w:rPr>
                <w:sz w:val="16"/>
              </w:rPr>
            </w:pPr>
            <w:r>
              <w:rPr>
                <w:sz w:val="16"/>
              </w:rPr>
              <w:t>14.70</w:t>
            </w:r>
          </w:p>
        </w:tc>
        <w:tc>
          <w:tcPr>
            <w:tcW w:w="1260" w:type="dxa"/>
          </w:tcPr>
          <w:p>
            <w:pPr>
              <w:pStyle w:val="TableParagraph"/>
              <w:ind w:left="103" w:right="87"/>
              <w:rPr>
                <w:sz w:val="16"/>
              </w:rPr>
            </w:pPr>
            <w:r>
              <w:rPr>
                <w:sz w:val="16"/>
              </w:rPr>
              <w:t>1.88</w:t>
            </w:r>
          </w:p>
        </w:tc>
      </w:tr>
      <w:tr>
        <w:trPr>
          <w:trHeight w:val="196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spacing w:line="176" w:lineRule="exact"/>
              <w:ind w:left="111" w:right="100"/>
              <w:rPr>
                <w:sz w:val="16"/>
              </w:rPr>
            </w:pPr>
            <w:r>
              <w:rPr>
                <w:sz w:val="16"/>
              </w:rPr>
              <w:t>WCH-28</w:t>
            </w:r>
          </w:p>
        </w:tc>
        <w:tc>
          <w:tcPr>
            <w:tcW w:w="734" w:type="dxa"/>
            <w:shd w:val="clear" w:color="auto" w:fill="D8E1F2"/>
          </w:tcPr>
          <w:p>
            <w:pPr>
              <w:pStyle w:val="TableParagraph"/>
              <w:spacing w:line="176" w:lineRule="exact"/>
              <w:ind w:left="124" w:right="113"/>
              <w:rPr>
                <w:sz w:val="16"/>
              </w:rPr>
            </w:pPr>
            <w:r>
              <w:rPr>
                <w:sz w:val="16"/>
              </w:rPr>
              <w:t>143.50</w:t>
            </w:r>
          </w:p>
        </w:tc>
        <w:tc>
          <w:tcPr>
            <w:tcW w:w="1245" w:type="dxa"/>
            <w:shd w:val="clear" w:color="auto" w:fill="D8E1F2"/>
          </w:tcPr>
          <w:p>
            <w:pPr>
              <w:pStyle w:val="TableParagraph"/>
              <w:spacing w:line="176" w:lineRule="exact"/>
              <w:ind w:left="94" w:right="79"/>
              <w:rPr>
                <w:sz w:val="16"/>
              </w:rPr>
            </w:pPr>
            <w:r>
              <w:rPr>
                <w:sz w:val="16"/>
              </w:rPr>
              <w:t>1.21</w:t>
            </w:r>
          </w:p>
        </w:tc>
        <w:tc>
          <w:tcPr>
            <w:tcW w:w="1259" w:type="dxa"/>
            <w:shd w:val="clear" w:color="auto" w:fill="D8E1F2"/>
          </w:tcPr>
          <w:p>
            <w:pPr>
              <w:pStyle w:val="TableParagraph"/>
              <w:spacing w:line="176" w:lineRule="exact"/>
              <w:ind w:left="100" w:right="88"/>
              <w:rPr>
                <w:sz w:val="16"/>
              </w:rPr>
            </w:pPr>
            <w:r>
              <w:rPr>
                <w:sz w:val="16"/>
              </w:rPr>
              <w:t>26.00</w:t>
            </w:r>
          </w:p>
        </w:tc>
        <w:tc>
          <w:tcPr>
            <w:tcW w:w="1187" w:type="dxa"/>
            <w:shd w:val="clear" w:color="auto" w:fill="D8E1F2"/>
          </w:tcPr>
          <w:p>
            <w:pPr>
              <w:pStyle w:val="TableParagraph"/>
              <w:spacing w:line="176" w:lineRule="exact"/>
              <w:ind w:left="412"/>
              <w:jc w:val="left"/>
              <w:rPr>
                <w:sz w:val="16"/>
              </w:rPr>
            </w:pPr>
            <w:r>
              <w:rPr>
                <w:sz w:val="16"/>
              </w:rPr>
              <w:t>40.23</w:t>
            </w:r>
          </w:p>
        </w:tc>
        <w:tc>
          <w:tcPr>
            <w:tcW w:w="1365" w:type="dxa"/>
            <w:shd w:val="clear" w:color="auto" w:fill="D8E1F2"/>
          </w:tcPr>
          <w:p>
            <w:pPr>
              <w:pStyle w:val="TableParagraph"/>
              <w:spacing w:line="176" w:lineRule="exact"/>
              <w:ind w:left="0" w:right="444"/>
              <w:jc w:val="right"/>
              <w:rPr>
                <w:sz w:val="16"/>
              </w:rPr>
            </w:pPr>
            <w:r>
              <w:rPr>
                <w:sz w:val="16"/>
              </w:rPr>
              <w:t>184.52</w:t>
            </w:r>
          </w:p>
        </w:tc>
        <w:tc>
          <w:tcPr>
            <w:tcW w:w="1315" w:type="dxa"/>
            <w:shd w:val="clear" w:color="auto" w:fill="D8E1F2"/>
          </w:tcPr>
          <w:p>
            <w:pPr>
              <w:pStyle w:val="TableParagraph"/>
              <w:spacing w:line="176" w:lineRule="exact"/>
              <w:ind w:left="134" w:right="111"/>
              <w:rPr>
                <w:sz w:val="16"/>
              </w:rPr>
            </w:pPr>
            <w:r>
              <w:rPr>
                <w:sz w:val="16"/>
              </w:rPr>
              <w:t>18.68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spacing w:line="176" w:lineRule="exact"/>
              <w:ind w:left="103" w:right="87"/>
              <w:rPr>
                <w:sz w:val="16"/>
              </w:rPr>
            </w:pPr>
            <w:r>
              <w:rPr>
                <w:sz w:val="16"/>
              </w:rPr>
              <w:t>2.42</w:t>
            </w:r>
          </w:p>
        </w:tc>
      </w:tr>
      <w:tr>
        <w:trPr>
          <w:trHeight w:val="194" w:hRule="atLeast"/>
        </w:trPr>
        <w:tc>
          <w:tcPr>
            <w:tcW w:w="806" w:type="dxa"/>
          </w:tcPr>
          <w:p>
            <w:pPr>
              <w:pStyle w:val="TableParagraph"/>
              <w:ind w:left="111" w:right="97"/>
              <w:rPr>
                <w:sz w:val="16"/>
              </w:rPr>
            </w:pPr>
            <w:r>
              <w:rPr>
                <w:sz w:val="16"/>
              </w:rPr>
              <w:t>Wch-45</w:t>
            </w:r>
          </w:p>
        </w:tc>
        <w:tc>
          <w:tcPr>
            <w:tcW w:w="734" w:type="dxa"/>
          </w:tcPr>
          <w:p>
            <w:pPr>
              <w:pStyle w:val="TableParagraph"/>
              <w:ind w:left="124" w:right="113"/>
              <w:rPr>
                <w:sz w:val="16"/>
              </w:rPr>
            </w:pPr>
            <w:r>
              <w:rPr>
                <w:sz w:val="16"/>
              </w:rPr>
              <w:t>145.17</w:t>
            </w:r>
          </w:p>
        </w:tc>
        <w:tc>
          <w:tcPr>
            <w:tcW w:w="1245" w:type="dxa"/>
          </w:tcPr>
          <w:p>
            <w:pPr>
              <w:pStyle w:val="TableParagraph"/>
              <w:ind w:left="94" w:right="79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59" w:type="dxa"/>
          </w:tcPr>
          <w:p>
            <w:pPr>
              <w:pStyle w:val="TableParagraph"/>
              <w:ind w:left="100" w:right="88"/>
              <w:rPr>
                <w:sz w:val="16"/>
              </w:rPr>
            </w:pPr>
            <w:r>
              <w:rPr>
                <w:sz w:val="16"/>
              </w:rPr>
              <w:t>7.57</w:t>
            </w:r>
          </w:p>
        </w:tc>
        <w:tc>
          <w:tcPr>
            <w:tcW w:w="1187" w:type="dxa"/>
          </w:tcPr>
          <w:p>
            <w:pPr>
              <w:pStyle w:val="TableParagraph"/>
              <w:ind w:left="412"/>
              <w:jc w:val="left"/>
              <w:rPr>
                <w:sz w:val="16"/>
              </w:rPr>
            </w:pPr>
            <w:r>
              <w:rPr>
                <w:sz w:val="16"/>
              </w:rPr>
              <w:t>13.45</w:t>
            </w:r>
          </w:p>
        </w:tc>
        <w:tc>
          <w:tcPr>
            <w:tcW w:w="1365" w:type="dxa"/>
          </w:tcPr>
          <w:p>
            <w:pPr>
              <w:pStyle w:val="TableParagraph"/>
              <w:ind w:left="0" w:right="484"/>
              <w:jc w:val="right"/>
              <w:rPr>
                <w:sz w:val="16"/>
              </w:rPr>
            </w:pPr>
            <w:r>
              <w:rPr>
                <w:sz w:val="16"/>
              </w:rPr>
              <w:t>61.69</w:t>
            </w:r>
          </w:p>
        </w:tc>
        <w:tc>
          <w:tcPr>
            <w:tcW w:w="1315" w:type="dxa"/>
          </w:tcPr>
          <w:p>
            <w:pPr>
              <w:pStyle w:val="TableParagraph"/>
              <w:ind w:left="134" w:right="111"/>
              <w:rPr>
                <w:sz w:val="16"/>
              </w:rPr>
            </w:pPr>
            <w:r>
              <w:rPr>
                <w:sz w:val="16"/>
              </w:rPr>
              <w:t>6.84</w:t>
            </w:r>
          </w:p>
        </w:tc>
        <w:tc>
          <w:tcPr>
            <w:tcW w:w="1260" w:type="dxa"/>
          </w:tcPr>
          <w:p>
            <w:pPr>
              <w:pStyle w:val="TableParagraph"/>
              <w:ind w:left="103" w:right="87"/>
              <w:rPr>
                <w:sz w:val="16"/>
              </w:rPr>
            </w:pPr>
            <w:r>
              <w:rPr>
                <w:sz w:val="16"/>
              </w:rPr>
              <w:t>1.13</w:t>
            </w:r>
          </w:p>
        </w:tc>
      </w:tr>
      <w:tr>
        <w:trPr>
          <w:trHeight w:val="196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spacing w:line="176" w:lineRule="exact"/>
              <w:ind w:left="111" w:right="100"/>
              <w:rPr>
                <w:sz w:val="16"/>
              </w:rPr>
            </w:pPr>
            <w:r>
              <w:rPr>
                <w:sz w:val="16"/>
              </w:rPr>
              <w:t>WCH-29</w:t>
            </w:r>
          </w:p>
        </w:tc>
        <w:tc>
          <w:tcPr>
            <w:tcW w:w="734" w:type="dxa"/>
            <w:shd w:val="clear" w:color="auto" w:fill="D8E1F2"/>
          </w:tcPr>
          <w:p>
            <w:pPr>
              <w:pStyle w:val="TableParagraph"/>
              <w:spacing w:line="176" w:lineRule="exact"/>
              <w:ind w:left="124" w:right="113"/>
              <w:rPr>
                <w:sz w:val="16"/>
              </w:rPr>
            </w:pPr>
            <w:r>
              <w:rPr>
                <w:sz w:val="16"/>
              </w:rPr>
              <w:t>146.00</w:t>
            </w:r>
          </w:p>
        </w:tc>
        <w:tc>
          <w:tcPr>
            <w:tcW w:w="1245" w:type="dxa"/>
            <w:shd w:val="clear" w:color="auto" w:fill="D8E1F2"/>
          </w:tcPr>
          <w:p>
            <w:pPr>
              <w:pStyle w:val="TableParagraph"/>
              <w:spacing w:line="176" w:lineRule="exact"/>
              <w:ind w:left="94" w:right="79"/>
              <w:rPr>
                <w:sz w:val="16"/>
              </w:rPr>
            </w:pPr>
            <w:r>
              <w:rPr>
                <w:sz w:val="16"/>
              </w:rPr>
              <w:t>1.20</w:t>
            </w:r>
          </w:p>
        </w:tc>
        <w:tc>
          <w:tcPr>
            <w:tcW w:w="1259" w:type="dxa"/>
            <w:shd w:val="clear" w:color="auto" w:fill="D8E1F2"/>
          </w:tcPr>
          <w:p>
            <w:pPr>
              <w:pStyle w:val="TableParagraph"/>
              <w:spacing w:line="176" w:lineRule="exact"/>
              <w:ind w:left="100" w:right="88"/>
              <w:rPr>
                <w:sz w:val="16"/>
              </w:rPr>
            </w:pPr>
            <w:r>
              <w:rPr>
                <w:sz w:val="16"/>
              </w:rPr>
              <w:t>23.67</w:t>
            </w:r>
          </w:p>
        </w:tc>
        <w:tc>
          <w:tcPr>
            <w:tcW w:w="1187" w:type="dxa"/>
            <w:shd w:val="clear" w:color="auto" w:fill="D8E1F2"/>
          </w:tcPr>
          <w:p>
            <w:pPr>
              <w:pStyle w:val="TableParagraph"/>
              <w:spacing w:line="176" w:lineRule="exact"/>
              <w:ind w:left="412"/>
              <w:jc w:val="left"/>
              <w:rPr>
                <w:sz w:val="16"/>
              </w:rPr>
            </w:pPr>
            <w:r>
              <w:rPr>
                <w:sz w:val="16"/>
              </w:rPr>
              <w:t>33.63</w:t>
            </w:r>
          </w:p>
        </w:tc>
        <w:tc>
          <w:tcPr>
            <w:tcW w:w="1365" w:type="dxa"/>
            <w:shd w:val="clear" w:color="auto" w:fill="D8E1F2"/>
          </w:tcPr>
          <w:p>
            <w:pPr>
              <w:pStyle w:val="TableParagraph"/>
              <w:spacing w:line="176" w:lineRule="exact"/>
              <w:ind w:left="0" w:right="444"/>
              <w:jc w:val="right"/>
              <w:rPr>
                <w:sz w:val="16"/>
              </w:rPr>
            </w:pPr>
            <w:r>
              <w:rPr>
                <w:sz w:val="16"/>
              </w:rPr>
              <w:t>166.83</w:t>
            </w:r>
          </w:p>
        </w:tc>
        <w:tc>
          <w:tcPr>
            <w:tcW w:w="1315" w:type="dxa"/>
            <w:shd w:val="clear" w:color="auto" w:fill="D8E1F2"/>
          </w:tcPr>
          <w:p>
            <w:pPr>
              <w:pStyle w:val="TableParagraph"/>
              <w:spacing w:line="176" w:lineRule="exact"/>
              <w:ind w:left="134" w:right="111"/>
              <w:rPr>
                <w:sz w:val="16"/>
              </w:rPr>
            </w:pPr>
            <w:r>
              <w:rPr>
                <w:sz w:val="16"/>
              </w:rPr>
              <w:t>16.65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spacing w:line="176" w:lineRule="exact"/>
              <w:ind w:left="103" w:right="87"/>
              <w:rPr>
                <w:sz w:val="16"/>
              </w:rPr>
            </w:pPr>
            <w:r>
              <w:rPr>
                <w:sz w:val="16"/>
              </w:rPr>
              <w:t>2.22</w:t>
            </w:r>
          </w:p>
        </w:tc>
      </w:tr>
      <w:tr>
        <w:trPr>
          <w:trHeight w:val="194" w:hRule="atLeast"/>
        </w:trPr>
        <w:tc>
          <w:tcPr>
            <w:tcW w:w="806" w:type="dxa"/>
          </w:tcPr>
          <w:p>
            <w:pPr>
              <w:pStyle w:val="TableParagraph"/>
              <w:ind w:left="111" w:right="100"/>
              <w:rPr>
                <w:sz w:val="16"/>
              </w:rPr>
            </w:pPr>
            <w:r>
              <w:rPr>
                <w:sz w:val="16"/>
              </w:rPr>
              <w:t>WCH-30</w:t>
            </w:r>
          </w:p>
        </w:tc>
        <w:tc>
          <w:tcPr>
            <w:tcW w:w="734" w:type="dxa"/>
          </w:tcPr>
          <w:p>
            <w:pPr>
              <w:pStyle w:val="TableParagraph"/>
              <w:ind w:left="124" w:right="113"/>
              <w:rPr>
                <w:sz w:val="16"/>
              </w:rPr>
            </w:pPr>
            <w:r>
              <w:rPr>
                <w:sz w:val="16"/>
              </w:rPr>
              <w:t>147.08</w:t>
            </w:r>
          </w:p>
        </w:tc>
        <w:tc>
          <w:tcPr>
            <w:tcW w:w="1245" w:type="dxa"/>
          </w:tcPr>
          <w:p>
            <w:pPr>
              <w:pStyle w:val="TableParagraph"/>
              <w:ind w:left="94" w:right="79"/>
              <w:rPr>
                <w:sz w:val="16"/>
              </w:rPr>
            </w:pPr>
            <w:r>
              <w:rPr>
                <w:sz w:val="16"/>
              </w:rPr>
              <w:t>1.44</w:t>
            </w:r>
          </w:p>
        </w:tc>
        <w:tc>
          <w:tcPr>
            <w:tcW w:w="1259" w:type="dxa"/>
          </w:tcPr>
          <w:p>
            <w:pPr>
              <w:pStyle w:val="TableParagraph"/>
              <w:ind w:left="100" w:right="88"/>
              <w:rPr>
                <w:sz w:val="16"/>
              </w:rPr>
            </w:pPr>
            <w:r>
              <w:rPr>
                <w:sz w:val="16"/>
              </w:rPr>
              <w:t>36.96</w:t>
            </w:r>
          </w:p>
        </w:tc>
        <w:tc>
          <w:tcPr>
            <w:tcW w:w="1187" w:type="dxa"/>
          </w:tcPr>
          <w:p>
            <w:pPr>
              <w:pStyle w:val="TableParagraph"/>
              <w:ind w:left="412"/>
              <w:jc w:val="left"/>
              <w:rPr>
                <w:sz w:val="16"/>
              </w:rPr>
            </w:pPr>
            <w:r>
              <w:rPr>
                <w:sz w:val="16"/>
              </w:rPr>
              <w:t>59.70</w:t>
            </w:r>
          </w:p>
        </w:tc>
        <w:tc>
          <w:tcPr>
            <w:tcW w:w="1365" w:type="dxa"/>
          </w:tcPr>
          <w:p>
            <w:pPr>
              <w:pStyle w:val="TableParagraph"/>
              <w:ind w:left="0" w:right="444"/>
              <w:jc w:val="right"/>
              <w:rPr>
                <w:sz w:val="16"/>
              </w:rPr>
            </w:pPr>
            <w:r>
              <w:rPr>
                <w:sz w:val="16"/>
              </w:rPr>
              <w:t>298.40</w:t>
            </w:r>
          </w:p>
        </w:tc>
        <w:tc>
          <w:tcPr>
            <w:tcW w:w="1315" w:type="dxa"/>
          </w:tcPr>
          <w:p>
            <w:pPr>
              <w:pStyle w:val="TableParagraph"/>
              <w:ind w:left="134" w:right="111"/>
              <w:rPr>
                <w:sz w:val="16"/>
              </w:rPr>
            </w:pPr>
            <w:r>
              <w:rPr>
                <w:sz w:val="16"/>
              </w:rPr>
              <w:t>26.31</w:t>
            </w:r>
          </w:p>
        </w:tc>
        <w:tc>
          <w:tcPr>
            <w:tcW w:w="1260" w:type="dxa"/>
          </w:tcPr>
          <w:p>
            <w:pPr>
              <w:pStyle w:val="TableParagraph"/>
              <w:ind w:left="103" w:right="87"/>
              <w:rPr>
                <w:sz w:val="16"/>
              </w:rPr>
            </w:pPr>
            <w:r>
              <w:rPr>
                <w:sz w:val="16"/>
              </w:rPr>
              <w:t>3.34</w:t>
            </w:r>
          </w:p>
        </w:tc>
      </w:tr>
      <w:tr>
        <w:trPr>
          <w:trHeight w:val="196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111" w:right="100"/>
              <w:rPr>
                <w:sz w:val="16"/>
              </w:rPr>
            </w:pPr>
            <w:r>
              <w:rPr>
                <w:sz w:val="16"/>
              </w:rPr>
              <w:t>WCH-31</w:t>
            </w:r>
          </w:p>
        </w:tc>
        <w:tc>
          <w:tcPr>
            <w:tcW w:w="734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124" w:right="113"/>
              <w:rPr>
                <w:sz w:val="16"/>
              </w:rPr>
            </w:pPr>
            <w:r>
              <w:rPr>
                <w:sz w:val="16"/>
              </w:rPr>
              <w:t>149.25</w:t>
            </w:r>
          </w:p>
        </w:tc>
        <w:tc>
          <w:tcPr>
            <w:tcW w:w="1245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94" w:right="79"/>
              <w:rPr>
                <w:sz w:val="16"/>
              </w:rPr>
            </w:pPr>
            <w:r>
              <w:rPr>
                <w:sz w:val="16"/>
              </w:rPr>
              <w:t>1.36</w:t>
            </w:r>
          </w:p>
        </w:tc>
        <w:tc>
          <w:tcPr>
            <w:tcW w:w="1259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100" w:right="88"/>
              <w:rPr>
                <w:sz w:val="16"/>
              </w:rPr>
            </w:pPr>
            <w:r>
              <w:rPr>
                <w:sz w:val="16"/>
              </w:rPr>
              <w:t>36.01</w:t>
            </w:r>
          </w:p>
        </w:tc>
        <w:tc>
          <w:tcPr>
            <w:tcW w:w="1187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412"/>
              <w:jc w:val="left"/>
              <w:rPr>
                <w:sz w:val="16"/>
              </w:rPr>
            </w:pPr>
            <w:r>
              <w:rPr>
                <w:sz w:val="16"/>
              </w:rPr>
              <w:t>53.03</w:t>
            </w:r>
          </w:p>
        </w:tc>
        <w:tc>
          <w:tcPr>
            <w:tcW w:w="1365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0" w:right="444"/>
              <w:jc w:val="right"/>
              <w:rPr>
                <w:sz w:val="16"/>
              </w:rPr>
            </w:pPr>
            <w:r>
              <w:rPr>
                <w:sz w:val="16"/>
              </w:rPr>
              <w:t>299.00</w:t>
            </w:r>
          </w:p>
        </w:tc>
        <w:tc>
          <w:tcPr>
            <w:tcW w:w="1315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134" w:right="111"/>
              <w:rPr>
                <w:sz w:val="16"/>
              </w:rPr>
            </w:pPr>
            <w:r>
              <w:rPr>
                <w:sz w:val="16"/>
              </w:rPr>
              <w:t>26.39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103" w:right="87"/>
              <w:rPr>
                <w:sz w:val="16"/>
              </w:rPr>
            </w:pPr>
            <w:r>
              <w:rPr>
                <w:sz w:val="16"/>
              </w:rPr>
              <w:t>3.62</w:t>
            </w:r>
          </w:p>
        </w:tc>
      </w:tr>
      <w:tr>
        <w:trPr>
          <w:trHeight w:val="194" w:hRule="atLeast"/>
        </w:trPr>
        <w:tc>
          <w:tcPr>
            <w:tcW w:w="806" w:type="dxa"/>
          </w:tcPr>
          <w:p>
            <w:pPr>
              <w:pStyle w:val="TableParagraph"/>
              <w:ind w:left="111" w:right="97"/>
              <w:rPr>
                <w:sz w:val="16"/>
              </w:rPr>
            </w:pPr>
            <w:r>
              <w:rPr>
                <w:sz w:val="16"/>
              </w:rPr>
              <w:t>Wch-46</w:t>
            </w:r>
          </w:p>
        </w:tc>
        <w:tc>
          <w:tcPr>
            <w:tcW w:w="734" w:type="dxa"/>
          </w:tcPr>
          <w:p>
            <w:pPr>
              <w:pStyle w:val="TableParagraph"/>
              <w:ind w:left="124" w:right="113"/>
              <w:rPr>
                <w:sz w:val="16"/>
              </w:rPr>
            </w:pPr>
            <w:r>
              <w:rPr>
                <w:sz w:val="16"/>
              </w:rPr>
              <w:t>153.58</w:t>
            </w:r>
          </w:p>
        </w:tc>
        <w:tc>
          <w:tcPr>
            <w:tcW w:w="1245" w:type="dxa"/>
          </w:tcPr>
          <w:p>
            <w:pPr>
              <w:pStyle w:val="TableParagraph"/>
              <w:ind w:left="94" w:right="79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59" w:type="dxa"/>
          </w:tcPr>
          <w:p>
            <w:pPr>
              <w:pStyle w:val="TableParagraph"/>
              <w:ind w:left="100" w:right="88"/>
              <w:rPr>
                <w:sz w:val="16"/>
              </w:rPr>
            </w:pPr>
            <w:r>
              <w:rPr>
                <w:sz w:val="16"/>
              </w:rPr>
              <w:t>5.81</w:t>
            </w:r>
          </w:p>
        </w:tc>
        <w:tc>
          <w:tcPr>
            <w:tcW w:w="1187" w:type="dxa"/>
          </w:tcPr>
          <w:p>
            <w:pPr>
              <w:pStyle w:val="TableParagraph"/>
              <w:ind w:left="412"/>
              <w:jc w:val="left"/>
              <w:rPr>
                <w:sz w:val="16"/>
              </w:rPr>
            </w:pPr>
            <w:r>
              <w:rPr>
                <w:sz w:val="16"/>
              </w:rPr>
              <w:t>12.91</w:t>
            </w:r>
          </w:p>
        </w:tc>
        <w:tc>
          <w:tcPr>
            <w:tcW w:w="1365" w:type="dxa"/>
          </w:tcPr>
          <w:p>
            <w:pPr>
              <w:pStyle w:val="TableParagraph"/>
              <w:ind w:left="0" w:right="484"/>
              <w:jc w:val="right"/>
              <w:rPr>
                <w:sz w:val="16"/>
              </w:rPr>
            </w:pPr>
            <w:r>
              <w:rPr>
                <w:sz w:val="16"/>
              </w:rPr>
              <w:t>42.20</w:t>
            </w:r>
          </w:p>
        </w:tc>
        <w:tc>
          <w:tcPr>
            <w:tcW w:w="1315" w:type="dxa"/>
          </w:tcPr>
          <w:p>
            <w:pPr>
              <w:pStyle w:val="TableParagraph"/>
              <w:ind w:left="134" w:right="111"/>
              <w:rPr>
                <w:sz w:val="16"/>
              </w:rPr>
            </w:pPr>
            <w:r>
              <w:rPr>
                <w:sz w:val="16"/>
              </w:rPr>
              <w:t>5.57</w:t>
            </w:r>
          </w:p>
        </w:tc>
        <w:tc>
          <w:tcPr>
            <w:tcW w:w="1260" w:type="dxa"/>
          </w:tcPr>
          <w:p>
            <w:pPr>
              <w:pStyle w:val="TableParagraph"/>
              <w:ind w:left="103" w:right="87"/>
              <w:rPr>
                <w:sz w:val="16"/>
              </w:rPr>
            </w:pPr>
            <w:r>
              <w:rPr>
                <w:sz w:val="16"/>
              </w:rPr>
              <w:t>0.79</w:t>
            </w:r>
          </w:p>
        </w:tc>
      </w:tr>
      <w:tr>
        <w:trPr>
          <w:trHeight w:val="196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111" w:right="97"/>
              <w:rPr>
                <w:sz w:val="16"/>
              </w:rPr>
            </w:pPr>
            <w:r>
              <w:rPr>
                <w:sz w:val="16"/>
              </w:rPr>
              <w:t>Wch-47</w:t>
            </w:r>
          </w:p>
        </w:tc>
        <w:tc>
          <w:tcPr>
            <w:tcW w:w="734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124" w:right="113"/>
              <w:rPr>
                <w:sz w:val="16"/>
              </w:rPr>
            </w:pPr>
            <w:r>
              <w:rPr>
                <w:sz w:val="16"/>
              </w:rPr>
              <w:t>160.17</w:t>
            </w:r>
          </w:p>
        </w:tc>
        <w:tc>
          <w:tcPr>
            <w:tcW w:w="1245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94" w:right="79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59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100" w:right="88"/>
              <w:rPr>
                <w:sz w:val="16"/>
              </w:rPr>
            </w:pPr>
            <w:r>
              <w:rPr>
                <w:sz w:val="16"/>
              </w:rPr>
              <w:t>6.49</w:t>
            </w:r>
          </w:p>
        </w:tc>
        <w:tc>
          <w:tcPr>
            <w:tcW w:w="1187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412"/>
              <w:jc w:val="left"/>
              <w:rPr>
                <w:sz w:val="16"/>
              </w:rPr>
            </w:pPr>
            <w:r>
              <w:rPr>
                <w:sz w:val="16"/>
              </w:rPr>
              <w:t>13.54</w:t>
            </w:r>
          </w:p>
        </w:tc>
        <w:tc>
          <w:tcPr>
            <w:tcW w:w="1365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0" w:right="484"/>
              <w:jc w:val="right"/>
              <w:rPr>
                <w:sz w:val="16"/>
              </w:rPr>
            </w:pPr>
            <w:r>
              <w:rPr>
                <w:sz w:val="16"/>
              </w:rPr>
              <w:t>37.68</w:t>
            </w:r>
          </w:p>
        </w:tc>
        <w:tc>
          <w:tcPr>
            <w:tcW w:w="1315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134" w:right="111"/>
              <w:rPr>
                <w:sz w:val="16"/>
              </w:rPr>
            </w:pPr>
            <w:r>
              <w:rPr>
                <w:sz w:val="16"/>
              </w:rPr>
              <w:t>6.04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103" w:right="87"/>
              <w:rPr>
                <w:sz w:val="16"/>
              </w:rPr>
            </w:pPr>
            <w:r>
              <w:rPr>
                <w:sz w:val="16"/>
              </w:rPr>
              <w:t>0.87</w:t>
            </w: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6" w:lineRule="exact"/>
              <w:ind w:left="111" w:right="97"/>
              <w:rPr>
                <w:sz w:val="16"/>
              </w:rPr>
            </w:pPr>
            <w:r>
              <w:rPr>
                <w:sz w:val="16"/>
              </w:rPr>
              <w:t>Wch-48</w:t>
            </w:r>
          </w:p>
        </w:tc>
        <w:tc>
          <w:tcPr>
            <w:tcW w:w="734" w:type="dxa"/>
          </w:tcPr>
          <w:p>
            <w:pPr>
              <w:pStyle w:val="TableParagraph"/>
              <w:spacing w:line="176" w:lineRule="exact"/>
              <w:ind w:left="124" w:right="113"/>
              <w:rPr>
                <w:sz w:val="16"/>
              </w:rPr>
            </w:pPr>
            <w:r>
              <w:rPr>
                <w:sz w:val="16"/>
              </w:rPr>
              <w:t>160.83</w:t>
            </w:r>
          </w:p>
        </w:tc>
        <w:tc>
          <w:tcPr>
            <w:tcW w:w="1245" w:type="dxa"/>
          </w:tcPr>
          <w:p>
            <w:pPr>
              <w:pStyle w:val="TableParagraph"/>
              <w:spacing w:line="176" w:lineRule="exact"/>
              <w:ind w:left="94" w:right="79"/>
              <w:rPr>
                <w:sz w:val="16"/>
              </w:rPr>
            </w:pPr>
            <w:r>
              <w:rPr>
                <w:sz w:val="16"/>
              </w:rPr>
              <w:t>0.77</w:t>
            </w:r>
          </w:p>
        </w:tc>
        <w:tc>
          <w:tcPr>
            <w:tcW w:w="1259" w:type="dxa"/>
          </w:tcPr>
          <w:p>
            <w:pPr>
              <w:pStyle w:val="TableParagraph"/>
              <w:spacing w:line="176" w:lineRule="exact"/>
              <w:ind w:left="100" w:right="88"/>
              <w:rPr>
                <w:sz w:val="16"/>
              </w:rPr>
            </w:pPr>
            <w:r>
              <w:rPr>
                <w:sz w:val="16"/>
              </w:rPr>
              <w:t>21.48</w:t>
            </w:r>
          </w:p>
        </w:tc>
        <w:tc>
          <w:tcPr>
            <w:tcW w:w="1187" w:type="dxa"/>
          </w:tcPr>
          <w:p>
            <w:pPr>
              <w:pStyle w:val="TableParagraph"/>
              <w:spacing w:line="176" w:lineRule="exact"/>
              <w:ind w:left="412"/>
              <w:jc w:val="left"/>
              <w:rPr>
                <w:sz w:val="16"/>
              </w:rPr>
            </w:pPr>
            <w:r>
              <w:rPr>
                <w:sz w:val="16"/>
              </w:rPr>
              <w:t>49.06</w:t>
            </w:r>
          </w:p>
        </w:tc>
        <w:tc>
          <w:tcPr>
            <w:tcW w:w="1365" w:type="dxa"/>
          </w:tcPr>
          <w:p>
            <w:pPr>
              <w:pStyle w:val="TableParagraph"/>
              <w:spacing w:line="176" w:lineRule="exact"/>
              <w:ind w:left="0" w:right="444"/>
              <w:jc w:val="right"/>
              <w:rPr>
                <w:sz w:val="16"/>
              </w:rPr>
            </w:pPr>
            <w:r>
              <w:rPr>
                <w:sz w:val="16"/>
              </w:rPr>
              <w:t>117.79</w:t>
            </w:r>
          </w:p>
        </w:tc>
        <w:tc>
          <w:tcPr>
            <w:tcW w:w="1315" w:type="dxa"/>
          </w:tcPr>
          <w:p>
            <w:pPr>
              <w:pStyle w:val="TableParagraph"/>
              <w:spacing w:line="176" w:lineRule="exact"/>
              <w:ind w:left="134" w:right="111"/>
              <w:rPr>
                <w:sz w:val="16"/>
              </w:rPr>
            </w:pPr>
            <w:r>
              <w:rPr>
                <w:sz w:val="16"/>
              </w:rPr>
              <w:t>17.38</w:t>
            </w:r>
          </w:p>
        </w:tc>
        <w:tc>
          <w:tcPr>
            <w:tcW w:w="1260" w:type="dxa"/>
          </w:tcPr>
          <w:p>
            <w:pPr>
              <w:pStyle w:val="TableParagraph"/>
              <w:spacing w:line="176" w:lineRule="exact"/>
              <w:ind w:left="103" w:right="87"/>
              <w:rPr>
                <w:sz w:val="16"/>
              </w:rPr>
            </w:pPr>
            <w:r>
              <w:rPr>
                <w:sz w:val="16"/>
              </w:rPr>
              <w:t>1.73</w:t>
            </w:r>
          </w:p>
        </w:tc>
      </w:tr>
      <w:tr>
        <w:trPr>
          <w:trHeight w:val="193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ind w:left="111" w:right="97"/>
              <w:rPr>
                <w:sz w:val="16"/>
              </w:rPr>
            </w:pPr>
            <w:r>
              <w:rPr>
                <w:sz w:val="16"/>
              </w:rPr>
              <w:t>Wch-49</w:t>
            </w:r>
          </w:p>
        </w:tc>
        <w:tc>
          <w:tcPr>
            <w:tcW w:w="734" w:type="dxa"/>
            <w:shd w:val="clear" w:color="auto" w:fill="D8E1F2"/>
          </w:tcPr>
          <w:p>
            <w:pPr>
              <w:pStyle w:val="TableParagraph"/>
              <w:ind w:left="124" w:right="113"/>
              <w:rPr>
                <w:sz w:val="16"/>
              </w:rPr>
            </w:pPr>
            <w:r>
              <w:rPr>
                <w:sz w:val="16"/>
              </w:rPr>
              <w:t>169.33</w:t>
            </w:r>
          </w:p>
        </w:tc>
        <w:tc>
          <w:tcPr>
            <w:tcW w:w="1245" w:type="dxa"/>
            <w:shd w:val="clear" w:color="auto" w:fill="D8E1F2"/>
          </w:tcPr>
          <w:p>
            <w:pPr>
              <w:pStyle w:val="TableParagraph"/>
              <w:ind w:left="94" w:right="79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59" w:type="dxa"/>
            <w:shd w:val="clear" w:color="auto" w:fill="D8E1F2"/>
          </w:tcPr>
          <w:p>
            <w:pPr>
              <w:pStyle w:val="TableParagraph"/>
              <w:ind w:left="100" w:right="88"/>
              <w:rPr>
                <w:sz w:val="16"/>
              </w:rPr>
            </w:pPr>
            <w:r>
              <w:rPr>
                <w:sz w:val="16"/>
              </w:rPr>
              <w:t>15.91</w:t>
            </w:r>
          </w:p>
        </w:tc>
        <w:tc>
          <w:tcPr>
            <w:tcW w:w="1187" w:type="dxa"/>
            <w:shd w:val="clear" w:color="auto" w:fill="D8E1F2"/>
          </w:tcPr>
          <w:p>
            <w:pPr>
              <w:pStyle w:val="TableParagraph"/>
              <w:ind w:left="412"/>
              <w:jc w:val="left"/>
              <w:rPr>
                <w:sz w:val="16"/>
              </w:rPr>
            </w:pPr>
            <w:r>
              <w:rPr>
                <w:sz w:val="16"/>
              </w:rPr>
              <w:t>33.95</w:t>
            </w:r>
          </w:p>
        </w:tc>
        <w:tc>
          <w:tcPr>
            <w:tcW w:w="1365" w:type="dxa"/>
            <w:shd w:val="clear" w:color="auto" w:fill="D8E1F2"/>
          </w:tcPr>
          <w:p>
            <w:pPr>
              <w:pStyle w:val="TableParagraph"/>
              <w:ind w:left="0" w:right="484"/>
              <w:jc w:val="right"/>
              <w:rPr>
                <w:sz w:val="16"/>
              </w:rPr>
            </w:pPr>
            <w:r>
              <w:rPr>
                <w:sz w:val="16"/>
              </w:rPr>
              <w:t>80.00</w:t>
            </w:r>
          </w:p>
        </w:tc>
        <w:tc>
          <w:tcPr>
            <w:tcW w:w="1315" w:type="dxa"/>
            <w:shd w:val="clear" w:color="auto" w:fill="D8E1F2"/>
          </w:tcPr>
          <w:p>
            <w:pPr>
              <w:pStyle w:val="TableParagraph"/>
              <w:ind w:left="134" w:right="111"/>
              <w:rPr>
                <w:sz w:val="16"/>
              </w:rPr>
            </w:pPr>
            <w:r>
              <w:rPr>
                <w:sz w:val="16"/>
              </w:rPr>
              <w:t>12.45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ind w:left="103" w:right="87"/>
              <w:rPr>
                <w:sz w:val="16"/>
              </w:rPr>
            </w:pPr>
            <w:r>
              <w:rPr>
                <w:sz w:val="16"/>
              </w:rPr>
              <w:t>2.10</w:t>
            </w: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6" w:lineRule="exact"/>
              <w:ind w:left="111" w:right="97"/>
              <w:rPr>
                <w:sz w:val="16"/>
              </w:rPr>
            </w:pPr>
            <w:r>
              <w:rPr>
                <w:sz w:val="16"/>
              </w:rPr>
              <w:t>Wch-50</w:t>
            </w:r>
          </w:p>
        </w:tc>
        <w:tc>
          <w:tcPr>
            <w:tcW w:w="734" w:type="dxa"/>
          </w:tcPr>
          <w:p>
            <w:pPr>
              <w:pStyle w:val="TableParagraph"/>
              <w:spacing w:line="176" w:lineRule="exact"/>
              <w:ind w:left="124" w:right="113"/>
              <w:rPr>
                <w:sz w:val="16"/>
              </w:rPr>
            </w:pPr>
            <w:r>
              <w:rPr>
                <w:sz w:val="16"/>
              </w:rPr>
              <w:t>170.92</w:t>
            </w:r>
          </w:p>
        </w:tc>
        <w:tc>
          <w:tcPr>
            <w:tcW w:w="1245" w:type="dxa"/>
          </w:tcPr>
          <w:p>
            <w:pPr>
              <w:pStyle w:val="TableParagraph"/>
              <w:spacing w:line="176" w:lineRule="exact"/>
              <w:ind w:left="94" w:right="79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59" w:type="dxa"/>
          </w:tcPr>
          <w:p>
            <w:pPr>
              <w:pStyle w:val="TableParagraph"/>
              <w:spacing w:line="176" w:lineRule="exact"/>
              <w:ind w:left="100" w:right="88"/>
              <w:rPr>
                <w:sz w:val="16"/>
              </w:rPr>
            </w:pPr>
            <w:r>
              <w:rPr>
                <w:sz w:val="16"/>
              </w:rPr>
              <w:t>9.71</w:t>
            </w:r>
          </w:p>
        </w:tc>
        <w:tc>
          <w:tcPr>
            <w:tcW w:w="1187" w:type="dxa"/>
          </w:tcPr>
          <w:p>
            <w:pPr>
              <w:pStyle w:val="TableParagraph"/>
              <w:spacing w:line="176" w:lineRule="exact"/>
              <w:ind w:left="412"/>
              <w:jc w:val="left"/>
              <w:rPr>
                <w:sz w:val="16"/>
              </w:rPr>
            </w:pPr>
            <w:r>
              <w:rPr>
                <w:sz w:val="16"/>
              </w:rPr>
              <w:t>21.83</w:t>
            </w:r>
          </w:p>
        </w:tc>
        <w:tc>
          <w:tcPr>
            <w:tcW w:w="1365" w:type="dxa"/>
          </w:tcPr>
          <w:p>
            <w:pPr>
              <w:pStyle w:val="TableParagraph"/>
              <w:spacing w:line="176" w:lineRule="exact"/>
              <w:ind w:left="0" w:right="484"/>
              <w:jc w:val="right"/>
              <w:rPr>
                <w:sz w:val="16"/>
              </w:rPr>
            </w:pPr>
            <w:r>
              <w:rPr>
                <w:sz w:val="16"/>
              </w:rPr>
              <w:t>46.01</w:t>
            </w:r>
          </w:p>
        </w:tc>
        <w:tc>
          <w:tcPr>
            <w:tcW w:w="1315" w:type="dxa"/>
          </w:tcPr>
          <w:p>
            <w:pPr>
              <w:pStyle w:val="TableParagraph"/>
              <w:spacing w:line="176" w:lineRule="exact"/>
              <w:ind w:left="134" w:right="111"/>
              <w:rPr>
                <w:sz w:val="16"/>
              </w:rPr>
            </w:pPr>
            <w:r>
              <w:rPr>
                <w:sz w:val="16"/>
              </w:rPr>
              <w:t>7.96</w:t>
            </w:r>
          </w:p>
        </w:tc>
        <w:tc>
          <w:tcPr>
            <w:tcW w:w="1260" w:type="dxa"/>
          </w:tcPr>
          <w:p>
            <w:pPr>
              <w:pStyle w:val="TableParagraph"/>
              <w:spacing w:line="176" w:lineRule="exact"/>
              <w:ind w:left="103" w:right="87"/>
              <w:rPr>
                <w:sz w:val="16"/>
              </w:rPr>
            </w:pPr>
            <w:r>
              <w:rPr>
                <w:sz w:val="16"/>
              </w:rPr>
              <w:t>0.51</w:t>
            </w:r>
          </w:p>
        </w:tc>
      </w:tr>
      <w:tr>
        <w:trPr>
          <w:trHeight w:val="193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ind w:left="111" w:right="97"/>
              <w:rPr>
                <w:sz w:val="16"/>
              </w:rPr>
            </w:pPr>
            <w:r>
              <w:rPr>
                <w:sz w:val="16"/>
              </w:rPr>
              <w:t>Wch-51</w:t>
            </w:r>
          </w:p>
        </w:tc>
        <w:tc>
          <w:tcPr>
            <w:tcW w:w="734" w:type="dxa"/>
            <w:shd w:val="clear" w:color="auto" w:fill="D8E1F2"/>
          </w:tcPr>
          <w:p>
            <w:pPr>
              <w:pStyle w:val="TableParagraph"/>
              <w:ind w:left="124" w:right="113"/>
              <w:rPr>
                <w:sz w:val="16"/>
              </w:rPr>
            </w:pPr>
            <w:r>
              <w:rPr>
                <w:sz w:val="16"/>
              </w:rPr>
              <w:t>172.00</w:t>
            </w:r>
          </w:p>
        </w:tc>
        <w:tc>
          <w:tcPr>
            <w:tcW w:w="1245" w:type="dxa"/>
            <w:shd w:val="clear" w:color="auto" w:fill="D8E1F2"/>
          </w:tcPr>
          <w:p>
            <w:pPr>
              <w:pStyle w:val="TableParagraph"/>
              <w:ind w:left="94" w:right="79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59" w:type="dxa"/>
            <w:shd w:val="clear" w:color="auto" w:fill="D8E1F2"/>
          </w:tcPr>
          <w:p>
            <w:pPr>
              <w:pStyle w:val="TableParagraph"/>
              <w:ind w:left="100" w:right="88"/>
              <w:rPr>
                <w:sz w:val="16"/>
              </w:rPr>
            </w:pPr>
            <w:r>
              <w:rPr>
                <w:sz w:val="16"/>
              </w:rPr>
              <w:t>6.20</w:t>
            </w:r>
          </w:p>
        </w:tc>
        <w:tc>
          <w:tcPr>
            <w:tcW w:w="1187" w:type="dxa"/>
            <w:shd w:val="clear" w:color="auto" w:fill="D8E1F2"/>
          </w:tcPr>
          <w:p>
            <w:pPr>
              <w:pStyle w:val="TableParagraph"/>
              <w:ind w:left="412"/>
              <w:jc w:val="left"/>
              <w:rPr>
                <w:sz w:val="16"/>
              </w:rPr>
            </w:pPr>
            <w:r>
              <w:rPr>
                <w:sz w:val="16"/>
              </w:rPr>
              <w:t>12.76</w:t>
            </w:r>
          </w:p>
        </w:tc>
        <w:tc>
          <w:tcPr>
            <w:tcW w:w="1365" w:type="dxa"/>
            <w:shd w:val="clear" w:color="auto" w:fill="D8E1F2"/>
          </w:tcPr>
          <w:p>
            <w:pPr>
              <w:pStyle w:val="TableParagraph"/>
              <w:ind w:left="0" w:right="484"/>
              <w:jc w:val="right"/>
              <w:rPr>
                <w:sz w:val="16"/>
              </w:rPr>
            </w:pPr>
            <w:r>
              <w:rPr>
                <w:sz w:val="16"/>
              </w:rPr>
              <w:t>20.61</w:t>
            </w:r>
          </w:p>
        </w:tc>
        <w:tc>
          <w:tcPr>
            <w:tcW w:w="1315" w:type="dxa"/>
            <w:shd w:val="clear" w:color="auto" w:fill="D8E1F2"/>
          </w:tcPr>
          <w:p>
            <w:pPr>
              <w:pStyle w:val="TableParagraph"/>
              <w:ind w:left="134" w:right="111"/>
              <w:rPr>
                <w:sz w:val="16"/>
              </w:rPr>
            </w:pPr>
            <w:r>
              <w:rPr>
                <w:sz w:val="16"/>
              </w:rPr>
              <w:t>4.53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ind w:left="103" w:right="87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6" w:lineRule="exact"/>
              <w:ind w:left="111" w:right="97"/>
              <w:rPr>
                <w:sz w:val="16"/>
              </w:rPr>
            </w:pPr>
            <w:r>
              <w:rPr>
                <w:sz w:val="16"/>
              </w:rPr>
              <w:t>Wch-52</w:t>
            </w:r>
          </w:p>
        </w:tc>
        <w:tc>
          <w:tcPr>
            <w:tcW w:w="734" w:type="dxa"/>
          </w:tcPr>
          <w:p>
            <w:pPr>
              <w:pStyle w:val="TableParagraph"/>
              <w:spacing w:line="176" w:lineRule="exact"/>
              <w:ind w:left="124" w:right="113"/>
              <w:rPr>
                <w:sz w:val="16"/>
              </w:rPr>
            </w:pPr>
            <w:r>
              <w:rPr>
                <w:sz w:val="16"/>
              </w:rPr>
              <w:t>172.42</w:t>
            </w:r>
          </w:p>
        </w:tc>
        <w:tc>
          <w:tcPr>
            <w:tcW w:w="1245" w:type="dxa"/>
          </w:tcPr>
          <w:p>
            <w:pPr>
              <w:pStyle w:val="TableParagraph"/>
              <w:spacing w:line="176" w:lineRule="exact"/>
              <w:ind w:left="94" w:right="79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59" w:type="dxa"/>
          </w:tcPr>
          <w:p>
            <w:pPr>
              <w:pStyle w:val="TableParagraph"/>
              <w:spacing w:line="176" w:lineRule="exact"/>
              <w:ind w:left="100" w:right="88"/>
              <w:rPr>
                <w:sz w:val="16"/>
              </w:rPr>
            </w:pPr>
            <w:r>
              <w:rPr>
                <w:sz w:val="16"/>
              </w:rPr>
              <w:t>3.07</w:t>
            </w:r>
          </w:p>
        </w:tc>
        <w:tc>
          <w:tcPr>
            <w:tcW w:w="1187" w:type="dxa"/>
          </w:tcPr>
          <w:p>
            <w:pPr>
              <w:pStyle w:val="TableParagraph"/>
              <w:spacing w:line="176" w:lineRule="exact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>8.97</w:t>
            </w:r>
          </w:p>
        </w:tc>
        <w:tc>
          <w:tcPr>
            <w:tcW w:w="1365" w:type="dxa"/>
          </w:tcPr>
          <w:p>
            <w:pPr>
              <w:pStyle w:val="TableParagraph"/>
              <w:spacing w:line="176" w:lineRule="exact"/>
              <w:ind w:left="0" w:right="525"/>
              <w:jc w:val="right"/>
              <w:rPr>
                <w:sz w:val="16"/>
              </w:rPr>
            </w:pPr>
            <w:r>
              <w:rPr>
                <w:sz w:val="16"/>
              </w:rPr>
              <w:t>6.66</w:t>
            </w:r>
          </w:p>
        </w:tc>
        <w:tc>
          <w:tcPr>
            <w:tcW w:w="1315" w:type="dxa"/>
          </w:tcPr>
          <w:p>
            <w:pPr>
              <w:pStyle w:val="TableParagraph"/>
              <w:spacing w:line="176" w:lineRule="exact"/>
              <w:ind w:left="134" w:right="111"/>
              <w:rPr>
                <w:sz w:val="16"/>
              </w:rPr>
            </w:pPr>
            <w:r>
              <w:rPr>
                <w:sz w:val="16"/>
              </w:rPr>
              <w:t>2.09</w:t>
            </w:r>
          </w:p>
        </w:tc>
        <w:tc>
          <w:tcPr>
            <w:tcW w:w="1260" w:type="dxa"/>
          </w:tcPr>
          <w:p>
            <w:pPr>
              <w:pStyle w:val="TableParagraph"/>
              <w:spacing w:line="176" w:lineRule="exact"/>
              <w:ind w:left="103" w:right="87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</w:tr>
      <w:tr>
        <w:trPr>
          <w:trHeight w:val="194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ind w:left="111" w:right="97"/>
              <w:rPr>
                <w:sz w:val="16"/>
              </w:rPr>
            </w:pPr>
            <w:r>
              <w:rPr>
                <w:sz w:val="16"/>
              </w:rPr>
              <w:t>Wch-53</w:t>
            </w:r>
          </w:p>
        </w:tc>
        <w:tc>
          <w:tcPr>
            <w:tcW w:w="734" w:type="dxa"/>
            <w:shd w:val="clear" w:color="auto" w:fill="D8E1F2"/>
          </w:tcPr>
          <w:p>
            <w:pPr>
              <w:pStyle w:val="TableParagraph"/>
              <w:ind w:left="124" w:right="113"/>
              <w:rPr>
                <w:sz w:val="16"/>
              </w:rPr>
            </w:pPr>
            <w:r>
              <w:rPr>
                <w:sz w:val="16"/>
              </w:rPr>
              <w:t>173.83</w:t>
            </w:r>
          </w:p>
        </w:tc>
        <w:tc>
          <w:tcPr>
            <w:tcW w:w="1245" w:type="dxa"/>
            <w:shd w:val="clear" w:color="auto" w:fill="D8E1F2"/>
          </w:tcPr>
          <w:p>
            <w:pPr>
              <w:pStyle w:val="TableParagraph"/>
              <w:ind w:left="94" w:right="79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59" w:type="dxa"/>
            <w:shd w:val="clear" w:color="auto" w:fill="D8E1F2"/>
          </w:tcPr>
          <w:p>
            <w:pPr>
              <w:pStyle w:val="TableParagraph"/>
              <w:ind w:left="100" w:right="88"/>
              <w:rPr>
                <w:sz w:val="16"/>
              </w:rPr>
            </w:pPr>
            <w:r>
              <w:rPr>
                <w:sz w:val="16"/>
              </w:rPr>
              <w:t>5.95</w:t>
            </w:r>
          </w:p>
        </w:tc>
        <w:tc>
          <w:tcPr>
            <w:tcW w:w="1187" w:type="dxa"/>
            <w:shd w:val="clear" w:color="auto" w:fill="D8E1F2"/>
          </w:tcPr>
          <w:p>
            <w:pPr>
              <w:pStyle w:val="TableParagraph"/>
              <w:ind w:left="412"/>
              <w:jc w:val="left"/>
              <w:rPr>
                <w:sz w:val="16"/>
              </w:rPr>
            </w:pPr>
            <w:r>
              <w:rPr>
                <w:sz w:val="16"/>
              </w:rPr>
              <w:t>16.18</w:t>
            </w:r>
          </w:p>
        </w:tc>
        <w:tc>
          <w:tcPr>
            <w:tcW w:w="1365" w:type="dxa"/>
            <w:shd w:val="clear" w:color="auto" w:fill="D8E1F2"/>
          </w:tcPr>
          <w:p>
            <w:pPr>
              <w:pStyle w:val="TableParagraph"/>
              <w:ind w:left="0" w:right="484"/>
              <w:jc w:val="right"/>
              <w:rPr>
                <w:sz w:val="16"/>
              </w:rPr>
            </w:pPr>
            <w:r>
              <w:rPr>
                <w:sz w:val="16"/>
              </w:rPr>
              <w:t>12.83</w:t>
            </w:r>
          </w:p>
        </w:tc>
        <w:tc>
          <w:tcPr>
            <w:tcW w:w="1315" w:type="dxa"/>
            <w:shd w:val="clear" w:color="auto" w:fill="D8E1F2"/>
          </w:tcPr>
          <w:p>
            <w:pPr>
              <w:pStyle w:val="TableParagraph"/>
              <w:ind w:left="134" w:right="111"/>
              <w:rPr>
                <w:sz w:val="16"/>
              </w:rPr>
            </w:pPr>
            <w:r>
              <w:rPr>
                <w:sz w:val="16"/>
              </w:rPr>
              <w:t>3.44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ind w:left="103" w:right="87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6" w:lineRule="exact"/>
              <w:ind w:left="111" w:right="97"/>
              <w:rPr>
                <w:sz w:val="16"/>
              </w:rPr>
            </w:pPr>
            <w:r>
              <w:rPr>
                <w:sz w:val="16"/>
              </w:rPr>
              <w:t>Wch-54</w:t>
            </w:r>
          </w:p>
        </w:tc>
        <w:tc>
          <w:tcPr>
            <w:tcW w:w="734" w:type="dxa"/>
          </w:tcPr>
          <w:p>
            <w:pPr>
              <w:pStyle w:val="TableParagraph"/>
              <w:spacing w:line="176" w:lineRule="exact"/>
              <w:ind w:left="124" w:right="113"/>
              <w:rPr>
                <w:sz w:val="16"/>
              </w:rPr>
            </w:pPr>
            <w:r>
              <w:rPr>
                <w:sz w:val="16"/>
              </w:rPr>
              <w:t>174.42</w:t>
            </w:r>
          </w:p>
        </w:tc>
        <w:tc>
          <w:tcPr>
            <w:tcW w:w="1245" w:type="dxa"/>
          </w:tcPr>
          <w:p>
            <w:pPr>
              <w:pStyle w:val="TableParagraph"/>
              <w:spacing w:line="176" w:lineRule="exact"/>
              <w:ind w:left="94" w:right="79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59" w:type="dxa"/>
          </w:tcPr>
          <w:p>
            <w:pPr>
              <w:pStyle w:val="TableParagraph"/>
              <w:spacing w:line="176" w:lineRule="exact"/>
              <w:ind w:left="100" w:right="88"/>
              <w:rPr>
                <w:sz w:val="16"/>
              </w:rPr>
            </w:pPr>
            <w:r>
              <w:rPr>
                <w:sz w:val="16"/>
              </w:rPr>
              <w:t>2.81</w:t>
            </w:r>
          </w:p>
        </w:tc>
        <w:tc>
          <w:tcPr>
            <w:tcW w:w="1187" w:type="dxa"/>
          </w:tcPr>
          <w:p>
            <w:pPr>
              <w:pStyle w:val="TableParagraph"/>
              <w:spacing w:line="176" w:lineRule="exact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>5.55</w:t>
            </w:r>
          </w:p>
        </w:tc>
        <w:tc>
          <w:tcPr>
            <w:tcW w:w="1365" w:type="dxa"/>
          </w:tcPr>
          <w:p>
            <w:pPr>
              <w:pStyle w:val="TableParagraph"/>
              <w:spacing w:line="176" w:lineRule="exact"/>
              <w:ind w:left="0" w:right="525"/>
              <w:jc w:val="right"/>
              <w:rPr>
                <w:sz w:val="16"/>
              </w:rPr>
            </w:pPr>
            <w:r>
              <w:rPr>
                <w:sz w:val="16"/>
              </w:rPr>
              <w:t>5.09</w:t>
            </w:r>
          </w:p>
        </w:tc>
        <w:tc>
          <w:tcPr>
            <w:tcW w:w="1315" w:type="dxa"/>
          </w:tcPr>
          <w:p>
            <w:pPr>
              <w:pStyle w:val="TableParagraph"/>
              <w:spacing w:line="176" w:lineRule="exact"/>
              <w:ind w:left="134" w:right="111"/>
              <w:rPr>
                <w:sz w:val="16"/>
              </w:rPr>
            </w:pPr>
            <w:r>
              <w:rPr>
                <w:sz w:val="16"/>
              </w:rPr>
              <w:t>1.37</w:t>
            </w:r>
          </w:p>
        </w:tc>
        <w:tc>
          <w:tcPr>
            <w:tcW w:w="1260" w:type="dxa"/>
          </w:tcPr>
          <w:p>
            <w:pPr>
              <w:pStyle w:val="TableParagraph"/>
              <w:spacing w:line="176" w:lineRule="exact"/>
              <w:ind w:left="103" w:right="87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</w:tr>
      <w:tr>
        <w:trPr>
          <w:trHeight w:val="194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ind w:left="111" w:right="97"/>
              <w:rPr>
                <w:sz w:val="16"/>
              </w:rPr>
            </w:pPr>
            <w:r>
              <w:rPr>
                <w:sz w:val="16"/>
              </w:rPr>
              <w:t>Wch-32</w:t>
            </w:r>
          </w:p>
        </w:tc>
        <w:tc>
          <w:tcPr>
            <w:tcW w:w="734" w:type="dxa"/>
            <w:shd w:val="clear" w:color="auto" w:fill="D8E1F2"/>
          </w:tcPr>
          <w:p>
            <w:pPr>
              <w:pStyle w:val="TableParagraph"/>
              <w:ind w:left="124" w:right="113"/>
              <w:rPr>
                <w:sz w:val="16"/>
              </w:rPr>
            </w:pPr>
            <w:r>
              <w:rPr>
                <w:sz w:val="16"/>
              </w:rPr>
              <w:t>181.92</w:t>
            </w:r>
          </w:p>
        </w:tc>
        <w:tc>
          <w:tcPr>
            <w:tcW w:w="1245" w:type="dxa"/>
            <w:shd w:val="clear" w:color="auto" w:fill="D8E1F2"/>
          </w:tcPr>
          <w:p>
            <w:pPr>
              <w:pStyle w:val="TableParagraph"/>
              <w:ind w:left="94" w:right="79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59" w:type="dxa"/>
            <w:shd w:val="clear" w:color="auto" w:fill="D8E1F2"/>
          </w:tcPr>
          <w:p>
            <w:pPr>
              <w:pStyle w:val="TableParagraph"/>
              <w:ind w:left="100" w:right="88"/>
              <w:rPr>
                <w:sz w:val="16"/>
              </w:rPr>
            </w:pPr>
            <w:r>
              <w:rPr>
                <w:sz w:val="16"/>
              </w:rPr>
              <w:t>4.51</w:t>
            </w:r>
          </w:p>
        </w:tc>
        <w:tc>
          <w:tcPr>
            <w:tcW w:w="1187" w:type="dxa"/>
            <w:shd w:val="clear" w:color="auto" w:fill="D8E1F2"/>
          </w:tcPr>
          <w:p>
            <w:pPr>
              <w:pStyle w:val="TableParagraph"/>
              <w:ind w:left="412"/>
              <w:jc w:val="left"/>
              <w:rPr>
                <w:sz w:val="16"/>
              </w:rPr>
            </w:pPr>
            <w:r>
              <w:rPr>
                <w:sz w:val="16"/>
              </w:rPr>
              <w:t>21.15</w:t>
            </w:r>
          </w:p>
        </w:tc>
        <w:tc>
          <w:tcPr>
            <w:tcW w:w="1365" w:type="dxa"/>
            <w:shd w:val="clear" w:color="auto" w:fill="D8E1F2"/>
          </w:tcPr>
          <w:p>
            <w:pPr>
              <w:pStyle w:val="TableParagraph"/>
              <w:ind w:left="0" w:right="525"/>
              <w:jc w:val="right"/>
              <w:rPr>
                <w:sz w:val="16"/>
              </w:rPr>
            </w:pPr>
            <w:r>
              <w:rPr>
                <w:sz w:val="16"/>
              </w:rPr>
              <w:t>8.49</w:t>
            </w:r>
          </w:p>
        </w:tc>
        <w:tc>
          <w:tcPr>
            <w:tcW w:w="1315" w:type="dxa"/>
            <w:shd w:val="clear" w:color="auto" w:fill="D8E1F2"/>
          </w:tcPr>
          <w:p>
            <w:pPr>
              <w:pStyle w:val="TableParagraph"/>
              <w:ind w:left="134" w:right="111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ind w:left="103" w:right="87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5" w:lineRule="exact" w:before="1"/>
              <w:ind w:left="111" w:right="97"/>
              <w:rPr>
                <w:sz w:val="16"/>
              </w:rPr>
            </w:pPr>
            <w:r>
              <w:rPr>
                <w:sz w:val="16"/>
              </w:rPr>
              <w:t>Wch-33</w:t>
            </w:r>
          </w:p>
        </w:tc>
        <w:tc>
          <w:tcPr>
            <w:tcW w:w="734" w:type="dxa"/>
          </w:tcPr>
          <w:p>
            <w:pPr>
              <w:pStyle w:val="TableParagraph"/>
              <w:spacing w:line="175" w:lineRule="exact" w:before="1"/>
              <w:ind w:left="124" w:right="113"/>
              <w:rPr>
                <w:sz w:val="16"/>
              </w:rPr>
            </w:pPr>
            <w:r>
              <w:rPr>
                <w:sz w:val="16"/>
              </w:rPr>
              <w:t>185.92</w:t>
            </w:r>
          </w:p>
        </w:tc>
        <w:tc>
          <w:tcPr>
            <w:tcW w:w="1245" w:type="dxa"/>
          </w:tcPr>
          <w:p>
            <w:pPr>
              <w:pStyle w:val="TableParagraph"/>
              <w:spacing w:line="175" w:lineRule="exact" w:before="1"/>
              <w:ind w:left="94" w:right="79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59" w:type="dxa"/>
          </w:tcPr>
          <w:p>
            <w:pPr>
              <w:pStyle w:val="TableParagraph"/>
              <w:spacing w:line="175" w:lineRule="exact" w:before="1"/>
              <w:ind w:left="100" w:right="88"/>
              <w:rPr>
                <w:sz w:val="16"/>
              </w:rPr>
            </w:pPr>
            <w:r>
              <w:rPr>
                <w:sz w:val="16"/>
              </w:rPr>
              <w:t>4.87</w:t>
            </w:r>
          </w:p>
        </w:tc>
        <w:tc>
          <w:tcPr>
            <w:tcW w:w="1187" w:type="dxa"/>
          </w:tcPr>
          <w:p>
            <w:pPr>
              <w:pStyle w:val="TableParagraph"/>
              <w:spacing w:line="175" w:lineRule="exact" w:before="1"/>
              <w:ind w:left="412"/>
              <w:jc w:val="left"/>
              <w:rPr>
                <w:sz w:val="16"/>
              </w:rPr>
            </w:pPr>
            <w:r>
              <w:rPr>
                <w:sz w:val="16"/>
              </w:rPr>
              <w:t>23.92</w:t>
            </w:r>
          </w:p>
        </w:tc>
        <w:tc>
          <w:tcPr>
            <w:tcW w:w="1365" w:type="dxa"/>
          </w:tcPr>
          <w:p>
            <w:pPr>
              <w:pStyle w:val="TableParagraph"/>
              <w:spacing w:line="175" w:lineRule="exact" w:before="1"/>
              <w:ind w:left="0" w:right="484"/>
              <w:jc w:val="right"/>
              <w:rPr>
                <w:sz w:val="16"/>
              </w:rPr>
            </w:pPr>
            <w:r>
              <w:rPr>
                <w:sz w:val="16"/>
              </w:rPr>
              <w:t>13.42</w:t>
            </w:r>
          </w:p>
        </w:tc>
        <w:tc>
          <w:tcPr>
            <w:tcW w:w="1315" w:type="dxa"/>
          </w:tcPr>
          <w:p>
            <w:pPr>
              <w:pStyle w:val="TableParagraph"/>
              <w:spacing w:line="175" w:lineRule="exact" w:before="1"/>
              <w:ind w:left="134" w:right="111"/>
              <w:rPr>
                <w:sz w:val="16"/>
              </w:rPr>
            </w:pPr>
            <w:r>
              <w:rPr>
                <w:sz w:val="16"/>
              </w:rPr>
              <w:t>2.51</w:t>
            </w:r>
          </w:p>
        </w:tc>
        <w:tc>
          <w:tcPr>
            <w:tcW w:w="1260" w:type="dxa"/>
          </w:tcPr>
          <w:p>
            <w:pPr>
              <w:pStyle w:val="TableParagraph"/>
              <w:spacing w:line="175" w:lineRule="exact" w:before="1"/>
              <w:ind w:left="103" w:right="87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</w:tr>
      <w:tr>
        <w:trPr>
          <w:trHeight w:val="194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ind w:left="111" w:right="97"/>
              <w:rPr>
                <w:sz w:val="16"/>
              </w:rPr>
            </w:pPr>
            <w:r>
              <w:rPr>
                <w:sz w:val="16"/>
              </w:rPr>
              <w:t>Wch-34</w:t>
            </w:r>
          </w:p>
        </w:tc>
        <w:tc>
          <w:tcPr>
            <w:tcW w:w="734" w:type="dxa"/>
            <w:shd w:val="clear" w:color="auto" w:fill="D8E1F2"/>
          </w:tcPr>
          <w:p>
            <w:pPr>
              <w:pStyle w:val="TableParagraph"/>
              <w:ind w:left="124" w:right="113"/>
              <w:rPr>
                <w:sz w:val="16"/>
              </w:rPr>
            </w:pPr>
            <w:r>
              <w:rPr>
                <w:sz w:val="16"/>
              </w:rPr>
              <w:t>186.42</w:t>
            </w:r>
          </w:p>
        </w:tc>
        <w:tc>
          <w:tcPr>
            <w:tcW w:w="1245" w:type="dxa"/>
            <w:shd w:val="clear" w:color="auto" w:fill="D8E1F2"/>
          </w:tcPr>
          <w:p>
            <w:pPr>
              <w:pStyle w:val="TableParagraph"/>
              <w:ind w:left="94" w:right="79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59" w:type="dxa"/>
            <w:shd w:val="clear" w:color="auto" w:fill="D8E1F2"/>
          </w:tcPr>
          <w:p>
            <w:pPr>
              <w:pStyle w:val="TableParagraph"/>
              <w:ind w:left="100" w:right="88"/>
              <w:rPr>
                <w:sz w:val="16"/>
              </w:rPr>
            </w:pPr>
            <w:r>
              <w:rPr>
                <w:sz w:val="16"/>
              </w:rPr>
              <w:t>6.57</w:t>
            </w:r>
          </w:p>
        </w:tc>
        <w:tc>
          <w:tcPr>
            <w:tcW w:w="1187" w:type="dxa"/>
            <w:shd w:val="clear" w:color="auto" w:fill="D8E1F2"/>
          </w:tcPr>
          <w:p>
            <w:pPr>
              <w:pStyle w:val="TableParagraph"/>
              <w:ind w:left="412"/>
              <w:jc w:val="left"/>
              <w:rPr>
                <w:sz w:val="16"/>
              </w:rPr>
            </w:pPr>
            <w:r>
              <w:rPr>
                <w:sz w:val="16"/>
              </w:rPr>
              <w:t>32.70</w:t>
            </w:r>
          </w:p>
        </w:tc>
        <w:tc>
          <w:tcPr>
            <w:tcW w:w="1365" w:type="dxa"/>
            <w:shd w:val="clear" w:color="auto" w:fill="D8E1F2"/>
          </w:tcPr>
          <w:p>
            <w:pPr>
              <w:pStyle w:val="TableParagraph"/>
              <w:ind w:left="0" w:right="484"/>
              <w:jc w:val="right"/>
              <w:rPr>
                <w:sz w:val="16"/>
              </w:rPr>
            </w:pPr>
            <w:r>
              <w:rPr>
                <w:sz w:val="16"/>
              </w:rPr>
              <w:t>15.96</w:t>
            </w:r>
          </w:p>
        </w:tc>
        <w:tc>
          <w:tcPr>
            <w:tcW w:w="1315" w:type="dxa"/>
            <w:shd w:val="clear" w:color="auto" w:fill="D8E1F2"/>
          </w:tcPr>
          <w:p>
            <w:pPr>
              <w:pStyle w:val="TableParagraph"/>
              <w:ind w:left="134" w:right="111"/>
              <w:rPr>
                <w:sz w:val="16"/>
              </w:rPr>
            </w:pPr>
            <w:r>
              <w:rPr>
                <w:sz w:val="16"/>
              </w:rPr>
              <w:t>3.85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ind w:left="103" w:right="87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5" w:lineRule="exact" w:before="1"/>
              <w:ind w:left="111" w:right="97"/>
              <w:rPr>
                <w:sz w:val="16"/>
              </w:rPr>
            </w:pPr>
            <w:r>
              <w:rPr>
                <w:sz w:val="16"/>
              </w:rPr>
              <w:t>Wch-35</w:t>
            </w:r>
          </w:p>
        </w:tc>
        <w:tc>
          <w:tcPr>
            <w:tcW w:w="734" w:type="dxa"/>
          </w:tcPr>
          <w:p>
            <w:pPr>
              <w:pStyle w:val="TableParagraph"/>
              <w:spacing w:line="175" w:lineRule="exact" w:before="1"/>
              <w:ind w:left="124" w:right="113"/>
              <w:rPr>
                <w:sz w:val="16"/>
              </w:rPr>
            </w:pPr>
            <w:r>
              <w:rPr>
                <w:sz w:val="16"/>
              </w:rPr>
              <w:t>187.75</w:t>
            </w:r>
          </w:p>
        </w:tc>
        <w:tc>
          <w:tcPr>
            <w:tcW w:w="1245" w:type="dxa"/>
          </w:tcPr>
          <w:p>
            <w:pPr>
              <w:pStyle w:val="TableParagraph"/>
              <w:spacing w:line="175" w:lineRule="exact" w:before="1"/>
              <w:ind w:left="94" w:right="79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59" w:type="dxa"/>
          </w:tcPr>
          <w:p>
            <w:pPr>
              <w:pStyle w:val="TableParagraph"/>
              <w:spacing w:line="175" w:lineRule="exact" w:before="1"/>
              <w:ind w:left="100" w:right="88"/>
              <w:rPr>
                <w:sz w:val="16"/>
              </w:rPr>
            </w:pPr>
            <w:r>
              <w:rPr>
                <w:sz w:val="16"/>
              </w:rPr>
              <w:t>4.11</w:t>
            </w:r>
          </w:p>
        </w:tc>
        <w:tc>
          <w:tcPr>
            <w:tcW w:w="1187" w:type="dxa"/>
          </w:tcPr>
          <w:p>
            <w:pPr>
              <w:pStyle w:val="TableParagraph"/>
              <w:spacing w:line="175" w:lineRule="exact" w:before="1"/>
              <w:ind w:left="412"/>
              <w:jc w:val="left"/>
              <w:rPr>
                <w:sz w:val="16"/>
              </w:rPr>
            </w:pPr>
            <w:r>
              <w:rPr>
                <w:sz w:val="16"/>
              </w:rPr>
              <w:t>13.11</w:t>
            </w:r>
          </w:p>
        </w:tc>
        <w:tc>
          <w:tcPr>
            <w:tcW w:w="1365" w:type="dxa"/>
          </w:tcPr>
          <w:p>
            <w:pPr>
              <w:pStyle w:val="TableParagraph"/>
              <w:spacing w:line="175" w:lineRule="exact" w:before="1"/>
              <w:ind w:left="0" w:right="484"/>
              <w:jc w:val="right"/>
              <w:rPr>
                <w:sz w:val="16"/>
              </w:rPr>
            </w:pPr>
            <w:r>
              <w:rPr>
                <w:sz w:val="16"/>
              </w:rPr>
              <w:t>12.87</w:t>
            </w:r>
          </w:p>
        </w:tc>
        <w:tc>
          <w:tcPr>
            <w:tcW w:w="1315" w:type="dxa"/>
          </w:tcPr>
          <w:p>
            <w:pPr>
              <w:pStyle w:val="TableParagraph"/>
              <w:spacing w:line="175" w:lineRule="exact" w:before="1"/>
              <w:ind w:left="134" w:right="111"/>
              <w:rPr>
                <w:sz w:val="16"/>
              </w:rPr>
            </w:pPr>
            <w:r>
              <w:rPr>
                <w:sz w:val="16"/>
              </w:rPr>
              <w:t>2.99</w:t>
            </w:r>
          </w:p>
        </w:tc>
        <w:tc>
          <w:tcPr>
            <w:tcW w:w="1260" w:type="dxa"/>
          </w:tcPr>
          <w:p>
            <w:pPr>
              <w:pStyle w:val="TableParagraph"/>
              <w:spacing w:line="175" w:lineRule="exact" w:before="1"/>
              <w:ind w:left="103" w:right="87"/>
              <w:rPr>
                <w:sz w:val="16"/>
              </w:rPr>
            </w:pPr>
            <w:r>
              <w:rPr>
                <w:sz w:val="16"/>
              </w:rPr>
              <w:t>0.42</w:t>
            </w:r>
          </w:p>
        </w:tc>
      </w:tr>
      <w:tr>
        <w:trPr>
          <w:trHeight w:val="196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spacing w:line="176" w:lineRule="exact"/>
              <w:ind w:left="111" w:right="97"/>
              <w:rPr>
                <w:sz w:val="16"/>
              </w:rPr>
            </w:pPr>
            <w:r>
              <w:rPr>
                <w:sz w:val="16"/>
              </w:rPr>
              <w:t>Wch-36</w:t>
            </w:r>
          </w:p>
        </w:tc>
        <w:tc>
          <w:tcPr>
            <w:tcW w:w="734" w:type="dxa"/>
            <w:shd w:val="clear" w:color="auto" w:fill="D8E1F2"/>
          </w:tcPr>
          <w:p>
            <w:pPr>
              <w:pStyle w:val="TableParagraph"/>
              <w:spacing w:line="176" w:lineRule="exact"/>
              <w:ind w:left="124" w:right="113"/>
              <w:rPr>
                <w:sz w:val="16"/>
              </w:rPr>
            </w:pPr>
            <w:r>
              <w:rPr>
                <w:sz w:val="16"/>
              </w:rPr>
              <w:t>191.08</w:t>
            </w:r>
          </w:p>
        </w:tc>
        <w:tc>
          <w:tcPr>
            <w:tcW w:w="1245" w:type="dxa"/>
            <w:shd w:val="clear" w:color="auto" w:fill="D8E1F2"/>
          </w:tcPr>
          <w:p>
            <w:pPr>
              <w:pStyle w:val="TableParagraph"/>
              <w:spacing w:line="176" w:lineRule="exact"/>
              <w:ind w:left="94" w:right="79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59" w:type="dxa"/>
            <w:shd w:val="clear" w:color="auto" w:fill="D8E1F2"/>
          </w:tcPr>
          <w:p>
            <w:pPr>
              <w:pStyle w:val="TableParagraph"/>
              <w:spacing w:line="176" w:lineRule="exact"/>
              <w:ind w:left="100" w:right="88"/>
              <w:rPr>
                <w:sz w:val="16"/>
              </w:rPr>
            </w:pPr>
            <w:r>
              <w:rPr>
                <w:sz w:val="16"/>
              </w:rPr>
              <w:t>8.81</w:t>
            </w:r>
          </w:p>
        </w:tc>
        <w:tc>
          <w:tcPr>
            <w:tcW w:w="1187" w:type="dxa"/>
            <w:shd w:val="clear" w:color="auto" w:fill="D8E1F2"/>
          </w:tcPr>
          <w:p>
            <w:pPr>
              <w:pStyle w:val="TableParagraph"/>
              <w:spacing w:line="176" w:lineRule="exact"/>
              <w:ind w:left="412"/>
              <w:jc w:val="left"/>
              <w:rPr>
                <w:sz w:val="16"/>
              </w:rPr>
            </w:pPr>
            <w:r>
              <w:rPr>
                <w:sz w:val="16"/>
              </w:rPr>
              <w:t>24.43</w:t>
            </w:r>
          </w:p>
        </w:tc>
        <w:tc>
          <w:tcPr>
            <w:tcW w:w="1365" w:type="dxa"/>
            <w:shd w:val="clear" w:color="auto" w:fill="D8E1F2"/>
          </w:tcPr>
          <w:p>
            <w:pPr>
              <w:pStyle w:val="TableParagraph"/>
              <w:spacing w:line="176" w:lineRule="exact"/>
              <w:ind w:left="0" w:right="484"/>
              <w:jc w:val="right"/>
              <w:rPr>
                <w:sz w:val="16"/>
              </w:rPr>
            </w:pPr>
            <w:r>
              <w:rPr>
                <w:sz w:val="16"/>
              </w:rPr>
              <w:t>35.26</w:t>
            </w:r>
          </w:p>
        </w:tc>
        <w:tc>
          <w:tcPr>
            <w:tcW w:w="1315" w:type="dxa"/>
            <w:shd w:val="clear" w:color="auto" w:fill="D8E1F2"/>
          </w:tcPr>
          <w:p>
            <w:pPr>
              <w:pStyle w:val="TableParagraph"/>
              <w:spacing w:line="176" w:lineRule="exact"/>
              <w:ind w:left="134" w:right="111"/>
              <w:rPr>
                <w:sz w:val="16"/>
              </w:rPr>
            </w:pPr>
            <w:r>
              <w:rPr>
                <w:sz w:val="16"/>
              </w:rPr>
              <w:t>6.48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spacing w:line="176" w:lineRule="exact"/>
              <w:ind w:left="103" w:right="87"/>
              <w:rPr>
                <w:sz w:val="16"/>
              </w:rPr>
            </w:pPr>
            <w:r>
              <w:rPr>
                <w:sz w:val="16"/>
              </w:rPr>
              <w:t>0.54</w:t>
            </w:r>
          </w:p>
        </w:tc>
      </w:tr>
      <w:tr>
        <w:trPr>
          <w:trHeight w:val="193" w:hRule="atLeast"/>
        </w:trPr>
        <w:tc>
          <w:tcPr>
            <w:tcW w:w="806" w:type="dxa"/>
          </w:tcPr>
          <w:p>
            <w:pPr>
              <w:pStyle w:val="TableParagraph"/>
              <w:ind w:left="111" w:right="97"/>
              <w:rPr>
                <w:sz w:val="16"/>
              </w:rPr>
            </w:pPr>
            <w:r>
              <w:rPr>
                <w:sz w:val="16"/>
              </w:rPr>
              <w:t>Wch-55</w:t>
            </w:r>
          </w:p>
        </w:tc>
        <w:tc>
          <w:tcPr>
            <w:tcW w:w="734" w:type="dxa"/>
          </w:tcPr>
          <w:p>
            <w:pPr>
              <w:pStyle w:val="TableParagraph"/>
              <w:ind w:left="124" w:right="113"/>
              <w:rPr>
                <w:sz w:val="16"/>
              </w:rPr>
            </w:pPr>
            <w:r>
              <w:rPr>
                <w:sz w:val="16"/>
              </w:rPr>
              <w:t>191.33</w:t>
            </w:r>
          </w:p>
        </w:tc>
        <w:tc>
          <w:tcPr>
            <w:tcW w:w="1245" w:type="dxa"/>
          </w:tcPr>
          <w:p>
            <w:pPr>
              <w:pStyle w:val="TableParagraph"/>
              <w:ind w:left="94" w:right="79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59" w:type="dxa"/>
          </w:tcPr>
          <w:p>
            <w:pPr>
              <w:pStyle w:val="TableParagraph"/>
              <w:ind w:left="100" w:right="88"/>
              <w:rPr>
                <w:sz w:val="16"/>
              </w:rPr>
            </w:pPr>
            <w:r>
              <w:rPr>
                <w:sz w:val="16"/>
              </w:rPr>
              <w:t>4.07</w:t>
            </w:r>
          </w:p>
        </w:tc>
        <w:tc>
          <w:tcPr>
            <w:tcW w:w="1187" w:type="dxa"/>
          </w:tcPr>
          <w:p>
            <w:pPr>
              <w:pStyle w:val="TableParagraph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>9.84</w:t>
            </w:r>
          </w:p>
        </w:tc>
        <w:tc>
          <w:tcPr>
            <w:tcW w:w="1365" w:type="dxa"/>
          </w:tcPr>
          <w:p>
            <w:pPr>
              <w:pStyle w:val="TableParagraph"/>
              <w:ind w:left="0" w:right="525"/>
              <w:jc w:val="right"/>
              <w:rPr>
                <w:sz w:val="16"/>
              </w:rPr>
            </w:pPr>
            <w:r>
              <w:rPr>
                <w:sz w:val="16"/>
              </w:rPr>
              <w:t>8.18</w:t>
            </w:r>
          </w:p>
        </w:tc>
        <w:tc>
          <w:tcPr>
            <w:tcW w:w="1315" w:type="dxa"/>
          </w:tcPr>
          <w:p>
            <w:pPr>
              <w:pStyle w:val="TableParagraph"/>
              <w:ind w:left="134" w:right="111"/>
              <w:rPr>
                <w:sz w:val="16"/>
              </w:rPr>
            </w:pPr>
            <w:r>
              <w:rPr>
                <w:sz w:val="16"/>
              </w:rPr>
              <w:t>2.34</w:t>
            </w:r>
          </w:p>
        </w:tc>
        <w:tc>
          <w:tcPr>
            <w:tcW w:w="1260" w:type="dxa"/>
          </w:tcPr>
          <w:p>
            <w:pPr>
              <w:pStyle w:val="TableParagraph"/>
              <w:ind w:left="103" w:right="87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</w:tr>
      <w:tr>
        <w:trPr>
          <w:trHeight w:val="196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spacing w:line="176" w:lineRule="exact"/>
              <w:ind w:left="111" w:right="97"/>
              <w:rPr>
                <w:sz w:val="16"/>
              </w:rPr>
            </w:pPr>
            <w:r>
              <w:rPr>
                <w:sz w:val="16"/>
              </w:rPr>
              <w:t>Wch-37</w:t>
            </w:r>
          </w:p>
        </w:tc>
        <w:tc>
          <w:tcPr>
            <w:tcW w:w="734" w:type="dxa"/>
            <w:shd w:val="clear" w:color="auto" w:fill="D8E1F2"/>
          </w:tcPr>
          <w:p>
            <w:pPr>
              <w:pStyle w:val="TableParagraph"/>
              <w:spacing w:line="176" w:lineRule="exact"/>
              <w:ind w:left="124" w:right="113"/>
              <w:rPr>
                <w:sz w:val="16"/>
              </w:rPr>
            </w:pPr>
            <w:r>
              <w:rPr>
                <w:sz w:val="16"/>
              </w:rPr>
              <w:t>192.75</w:t>
            </w:r>
          </w:p>
        </w:tc>
        <w:tc>
          <w:tcPr>
            <w:tcW w:w="1245" w:type="dxa"/>
            <w:shd w:val="clear" w:color="auto" w:fill="D8E1F2"/>
          </w:tcPr>
          <w:p>
            <w:pPr>
              <w:pStyle w:val="TableParagraph"/>
              <w:spacing w:line="176" w:lineRule="exact"/>
              <w:ind w:left="94" w:right="79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59" w:type="dxa"/>
            <w:shd w:val="clear" w:color="auto" w:fill="D8E1F2"/>
          </w:tcPr>
          <w:p>
            <w:pPr>
              <w:pStyle w:val="TableParagraph"/>
              <w:spacing w:line="176" w:lineRule="exact"/>
              <w:ind w:left="100" w:right="88"/>
              <w:rPr>
                <w:sz w:val="16"/>
              </w:rPr>
            </w:pPr>
            <w:r>
              <w:rPr>
                <w:sz w:val="16"/>
              </w:rPr>
              <w:t>7.33</w:t>
            </w:r>
          </w:p>
        </w:tc>
        <w:tc>
          <w:tcPr>
            <w:tcW w:w="1187" w:type="dxa"/>
            <w:shd w:val="clear" w:color="auto" w:fill="D8E1F2"/>
          </w:tcPr>
          <w:p>
            <w:pPr>
              <w:pStyle w:val="TableParagraph"/>
              <w:spacing w:line="176" w:lineRule="exact"/>
              <w:ind w:left="412"/>
              <w:jc w:val="left"/>
              <w:rPr>
                <w:sz w:val="16"/>
              </w:rPr>
            </w:pPr>
            <w:r>
              <w:rPr>
                <w:sz w:val="16"/>
              </w:rPr>
              <w:t>23.22</w:t>
            </w:r>
          </w:p>
        </w:tc>
        <w:tc>
          <w:tcPr>
            <w:tcW w:w="1365" w:type="dxa"/>
            <w:shd w:val="clear" w:color="auto" w:fill="D8E1F2"/>
          </w:tcPr>
          <w:p>
            <w:pPr>
              <w:pStyle w:val="TableParagraph"/>
              <w:spacing w:line="176" w:lineRule="exact"/>
              <w:ind w:left="0" w:right="484"/>
              <w:jc w:val="right"/>
              <w:rPr>
                <w:sz w:val="16"/>
              </w:rPr>
            </w:pPr>
            <w:r>
              <w:rPr>
                <w:sz w:val="16"/>
              </w:rPr>
              <w:t>24.07</w:t>
            </w:r>
          </w:p>
        </w:tc>
        <w:tc>
          <w:tcPr>
            <w:tcW w:w="1315" w:type="dxa"/>
            <w:shd w:val="clear" w:color="auto" w:fill="D8E1F2"/>
          </w:tcPr>
          <w:p>
            <w:pPr>
              <w:pStyle w:val="TableParagraph"/>
              <w:spacing w:line="176" w:lineRule="exact"/>
              <w:ind w:left="134" w:right="111"/>
              <w:rPr>
                <w:sz w:val="16"/>
              </w:rPr>
            </w:pPr>
            <w:r>
              <w:rPr>
                <w:sz w:val="16"/>
              </w:rPr>
              <w:t>5.04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spacing w:line="176" w:lineRule="exact"/>
              <w:ind w:left="103" w:right="87"/>
              <w:rPr>
                <w:sz w:val="16"/>
              </w:rPr>
            </w:pPr>
            <w:r>
              <w:rPr>
                <w:sz w:val="16"/>
              </w:rPr>
              <w:t>0.35</w:t>
            </w:r>
          </w:p>
        </w:tc>
      </w:tr>
      <w:tr>
        <w:trPr>
          <w:trHeight w:val="193" w:hRule="atLeast"/>
        </w:trPr>
        <w:tc>
          <w:tcPr>
            <w:tcW w:w="806" w:type="dxa"/>
          </w:tcPr>
          <w:p>
            <w:pPr>
              <w:pStyle w:val="TableParagraph"/>
              <w:ind w:left="111" w:right="97"/>
              <w:rPr>
                <w:sz w:val="16"/>
              </w:rPr>
            </w:pPr>
            <w:r>
              <w:rPr>
                <w:sz w:val="16"/>
              </w:rPr>
              <w:t>Wch-38</w:t>
            </w:r>
          </w:p>
        </w:tc>
        <w:tc>
          <w:tcPr>
            <w:tcW w:w="734" w:type="dxa"/>
          </w:tcPr>
          <w:p>
            <w:pPr>
              <w:pStyle w:val="TableParagraph"/>
              <w:ind w:left="124" w:right="113"/>
              <w:rPr>
                <w:sz w:val="16"/>
              </w:rPr>
            </w:pPr>
            <w:r>
              <w:rPr>
                <w:sz w:val="16"/>
              </w:rPr>
              <w:t>193.75</w:t>
            </w:r>
          </w:p>
        </w:tc>
        <w:tc>
          <w:tcPr>
            <w:tcW w:w="1245" w:type="dxa"/>
          </w:tcPr>
          <w:p>
            <w:pPr>
              <w:pStyle w:val="TableParagraph"/>
              <w:ind w:left="94" w:right="79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59" w:type="dxa"/>
          </w:tcPr>
          <w:p>
            <w:pPr>
              <w:pStyle w:val="TableParagraph"/>
              <w:ind w:left="100" w:right="88"/>
              <w:rPr>
                <w:sz w:val="16"/>
              </w:rPr>
            </w:pPr>
            <w:r>
              <w:rPr>
                <w:sz w:val="16"/>
              </w:rPr>
              <w:t>2.57</w:t>
            </w:r>
          </w:p>
        </w:tc>
        <w:tc>
          <w:tcPr>
            <w:tcW w:w="1187" w:type="dxa"/>
          </w:tcPr>
          <w:p>
            <w:pPr>
              <w:pStyle w:val="TableParagraph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>6.69</w:t>
            </w:r>
          </w:p>
        </w:tc>
        <w:tc>
          <w:tcPr>
            <w:tcW w:w="1365" w:type="dxa"/>
          </w:tcPr>
          <w:p>
            <w:pPr>
              <w:pStyle w:val="TableParagraph"/>
              <w:ind w:left="0" w:right="525"/>
              <w:jc w:val="right"/>
              <w:rPr>
                <w:sz w:val="16"/>
              </w:rPr>
            </w:pPr>
            <w:r>
              <w:rPr>
                <w:sz w:val="16"/>
              </w:rPr>
              <w:t>4.03</w:t>
            </w:r>
          </w:p>
        </w:tc>
        <w:tc>
          <w:tcPr>
            <w:tcW w:w="1315" w:type="dxa"/>
          </w:tcPr>
          <w:p>
            <w:pPr>
              <w:pStyle w:val="TableParagraph"/>
              <w:ind w:left="134" w:right="111"/>
              <w:rPr>
                <w:sz w:val="16"/>
              </w:rPr>
            </w:pPr>
            <w:r>
              <w:rPr>
                <w:sz w:val="16"/>
              </w:rPr>
              <w:t>1.59</w:t>
            </w:r>
          </w:p>
        </w:tc>
        <w:tc>
          <w:tcPr>
            <w:tcW w:w="1260" w:type="dxa"/>
          </w:tcPr>
          <w:p>
            <w:pPr>
              <w:pStyle w:val="TableParagraph"/>
              <w:ind w:left="103" w:right="87"/>
              <w:rPr>
                <w:sz w:val="16"/>
              </w:rPr>
            </w:pPr>
            <w:r>
              <w:rPr>
                <w:sz w:val="16"/>
              </w:rPr>
              <w:t>0.17</w:t>
            </w:r>
          </w:p>
        </w:tc>
      </w:tr>
    </w:tbl>
    <w:p>
      <w:pPr>
        <w:spacing w:after="0"/>
        <w:rPr>
          <w:sz w:val="16"/>
        </w:rPr>
        <w:sectPr>
          <w:footerReference w:type="default" r:id="rId71"/>
          <w:pgSz w:w="12240" w:h="15840"/>
          <w:pgMar w:footer="934" w:header="0" w:top="1400" w:bottom="1120" w:left="1320" w:right="820"/>
        </w:sectPr>
      </w:pPr>
    </w:p>
    <w:tbl>
      <w:tblPr>
        <w:tblW w:w="0" w:type="auto"/>
        <w:jc w:val="left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6"/>
        <w:gridCol w:w="734"/>
        <w:gridCol w:w="1245"/>
        <w:gridCol w:w="1259"/>
        <w:gridCol w:w="1187"/>
        <w:gridCol w:w="1365"/>
        <w:gridCol w:w="1315"/>
        <w:gridCol w:w="1260"/>
      </w:tblGrid>
      <w:tr>
        <w:trPr>
          <w:trHeight w:val="196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spacing w:line="176" w:lineRule="exact"/>
              <w:ind w:left="111" w:right="97"/>
              <w:rPr>
                <w:sz w:val="16"/>
              </w:rPr>
            </w:pPr>
            <w:r>
              <w:rPr>
                <w:sz w:val="16"/>
              </w:rPr>
              <w:t>Wch-39</w:t>
            </w:r>
          </w:p>
        </w:tc>
        <w:tc>
          <w:tcPr>
            <w:tcW w:w="734" w:type="dxa"/>
            <w:shd w:val="clear" w:color="auto" w:fill="D8E1F2"/>
          </w:tcPr>
          <w:p>
            <w:pPr>
              <w:pStyle w:val="TableParagraph"/>
              <w:spacing w:line="176" w:lineRule="exact"/>
              <w:ind w:left="0" w:right="130"/>
              <w:jc w:val="right"/>
              <w:rPr>
                <w:sz w:val="16"/>
              </w:rPr>
            </w:pPr>
            <w:r>
              <w:rPr>
                <w:sz w:val="16"/>
              </w:rPr>
              <w:t>195.42</w:t>
            </w:r>
          </w:p>
        </w:tc>
        <w:tc>
          <w:tcPr>
            <w:tcW w:w="1245" w:type="dxa"/>
            <w:shd w:val="clear" w:color="auto" w:fill="D8E1F2"/>
          </w:tcPr>
          <w:p>
            <w:pPr>
              <w:pStyle w:val="TableParagraph"/>
              <w:spacing w:line="176" w:lineRule="exact"/>
              <w:ind w:left="94" w:right="79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59" w:type="dxa"/>
            <w:shd w:val="clear" w:color="auto" w:fill="D8E1F2"/>
          </w:tcPr>
          <w:p>
            <w:pPr>
              <w:pStyle w:val="TableParagraph"/>
              <w:spacing w:line="176" w:lineRule="exact"/>
              <w:ind w:left="100" w:right="88"/>
              <w:rPr>
                <w:sz w:val="16"/>
              </w:rPr>
            </w:pPr>
            <w:r>
              <w:rPr>
                <w:sz w:val="16"/>
              </w:rPr>
              <w:t>5.98</w:t>
            </w:r>
          </w:p>
        </w:tc>
        <w:tc>
          <w:tcPr>
            <w:tcW w:w="1187" w:type="dxa"/>
            <w:shd w:val="clear" w:color="auto" w:fill="D8E1F2"/>
          </w:tcPr>
          <w:p>
            <w:pPr>
              <w:pStyle w:val="TableParagraph"/>
              <w:spacing w:line="176" w:lineRule="exact"/>
              <w:ind w:left="412"/>
              <w:jc w:val="left"/>
              <w:rPr>
                <w:sz w:val="16"/>
              </w:rPr>
            </w:pPr>
            <w:r>
              <w:rPr>
                <w:sz w:val="16"/>
              </w:rPr>
              <w:t>21.13</w:t>
            </w:r>
          </w:p>
        </w:tc>
        <w:tc>
          <w:tcPr>
            <w:tcW w:w="1365" w:type="dxa"/>
            <w:shd w:val="clear" w:color="auto" w:fill="D8E1F2"/>
          </w:tcPr>
          <w:p>
            <w:pPr>
              <w:pStyle w:val="TableParagraph"/>
              <w:spacing w:line="176" w:lineRule="exact"/>
              <w:ind w:left="502"/>
              <w:jc w:val="left"/>
              <w:rPr>
                <w:sz w:val="16"/>
              </w:rPr>
            </w:pPr>
            <w:r>
              <w:rPr>
                <w:sz w:val="16"/>
              </w:rPr>
              <w:t>16.80</w:t>
            </w:r>
          </w:p>
        </w:tc>
        <w:tc>
          <w:tcPr>
            <w:tcW w:w="1315" w:type="dxa"/>
            <w:shd w:val="clear" w:color="auto" w:fill="D8E1F2"/>
          </w:tcPr>
          <w:p>
            <w:pPr>
              <w:pStyle w:val="TableParagraph"/>
              <w:spacing w:line="176" w:lineRule="exact"/>
              <w:ind w:left="134" w:right="111"/>
              <w:rPr>
                <w:sz w:val="16"/>
              </w:rPr>
            </w:pPr>
            <w:r>
              <w:rPr>
                <w:sz w:val="16"/>
              </w:rPr>
              <w:t>4.40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spacing w:line="176" w:lineRule="exact"/>
              <w:ind w:left="103" w:right="87"/>
              <w:rPr>
                <w:sz w:val="16"/>
              </w:rPr>
            </w:pPr>
            <w:r>
              <w:rPr>
                <w:sz w:val="16"/>
              </w:rPr>
              <w:t>0.17</w:t>
            </w:r>
          </w:p>
        </w:tc>
      </w:tr>
      <w:tr>
        <w:trPr>
          <w:trHeight w:val="193" w:hRule="atLeast"/>
        </w:trPr>
        <w:tc>
          <w:tcPr>
            <w:tcW w:w="806" w:type="dxa"/>
          </w:tcPr>
          <w:p>
            <w:pPr>
              <w:pStyle w:val="TableParagraph"/>
              <w:ind w:left="111" w:right="97"/>
              <w:rPr>
                <w:sz w:val="16"/>
              </w:rPr>
            </w:pPr>
            <w:r>
              <w:rPr>
                <w:sz w:val="16"/>
              </w:rPr>
              <w:t>Wch-56</w:t>
            </w:r>
          </w:p>
        </w:tc>
        <w:tc>
          <w:tcPr>
            <w:tcW w:w="734" w:type="dxa"/>
          </w:tcPr>
          <w:p>
            <w:pPr>
              <w:pStyle w:val="TableParagraph"/>
              <w:ind w:left="0" w:right="130"/>
              <w:jc w:val="right"/>
              <w:rPr>
                <w:sz w:val="16"/>
              </w:rPr>
            </w:pPr>
            <w:r>
              <w:rPr>
                <w:sz w:val="16"/>
              </w:rPr>
              <w:t>203.08</w:t>
            </w:r>
          </w:p>
        </w:tc>
        <w:tc>
          <w:tcPr>
            <w:tcW w:w="1245" w:type="dxa"/>
          </w:tcPr>
          <w:p>
            <w:pPr>
              <w:pStyle w:val="TableParagraph"/>
              <w:ind w:left="94" w:right="79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59" w:type="dxa"/>
          </w:tcPr>
          <w:p>
            <w:pPr>
              <w:pStyle w:val="TableParagraph"/>
              <w:ind w:left="100" w:right="88"/>
              <w:rPr>
                <w:sz w:val="16"/>
              </w:rPr>
            </w:pPr>
            <w:r>
              <w:rPr>
                <w:sz w:val="16"/>
              </w:rPr>
              <w:t>8.43</w:t>
            </w:r>
          </w:p>
        </w:tc>
        <w:tc>
          <w:tcPr>
            <w:tcW w:w="1187" w:type="dxa"/>
          </w:tcPr>
          <w:p>
            <w:pPr>
              <w:pStyle w:val="TableParagraph"/>
              <w:ind w:left="412"/>
              <w:jc w:val="left"/>
              <w:rPr>
                <w:sz w:val="16"/>
              </w:rPr>
            </w:pPr>
            <w:r>
              <w:rPr>
                <w:sz w:val="16"/>
              </w:rPr>
              <w:t>27.63</w:t>
            </w:r>
          </w:p>
        </w:tc>
        <w:tc>
          <w:tcPr>
            <w:tcW w:w="1365" w:type="dxa"/>
          </w:tcPr>
          <w:p>
            <w:pPr>
              <w:pStyle w:val="TableParagraph"/>
              <w:ind w:left="502"/>
              <w:jc w:val="left"/>
              <w:rPr>
                <w:sz w:val="16"/>
              </w:rPr>
            </w:pPr>
            <w:r>
              <w:rPr>
                <w:sz w:val="16"/>
              </w:rPr>
              <w:t>21.72</w:t>
            </w:r>
          </w:p>
        </w:tc>
        <w:tc>
          <w:tcPr>
            <w:tcW w:w="1315" w:type="dxa"/>
          </w:tcPr>
          <w:p>
            <w:pPr>
              <w:pStyle w:val="TableParagraph"/>
              <w:ind w:left="134" w:right="111"/>
              <w:rPr>
                <w:sz w:val="16"/>
              </w:rPr>
            </w:pPr>
            <w:r>
              <w:rPr>
                <w:sz w:val="16"/>
              </w:rPr>
              <w:t>5.01</w:t>
            </w:r>
          </w:p>
        </w:tc>
        <w:tc>
          <w:tcPr>
            <w:tcW w:w="1260" w:type="dxa"/>
          </w:tcPr>
          <w:p>
            <w:pPr>
              <w:pStyle w:val="TableParagraph"/>
              <w:ind w:left="103" w:right="87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</w:tr>
      <w:tr>
        <w:trPr>
          <w:trHeight w:val="196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spacing w:line="176" w:lineRule="exact"/>
              <w:ind w:left="111" w:right="97"/>
              <w:rPr>
                <w:sz w:val="16"/>
              </w:rPr>
            </w:pPr>
            <w:r>
              <w:rPr>
                <w:sz w:val="16"/>
              </w:rPr>
              <w:t>Wch-57</w:t>
            </w:r>
          </w:p>
        </w:tc>
        <w:tc>
          <w:tcPr>
            <w:tcW w:w="734" w:type="dxa"/>
            <w:shd w:val="clear" w:color="auto" w:fill="D8E1F2"/>
          </w:tcPr>
          <w:p>
            <w:pPr>
              <w:pStyle w:val="TableParagraph"/>
              <w:spacing w:line="176" w:lineRule="exact"/>
              <w:ind w:left="0" w:right="130"/>
              <w:jc w:val="right"/>
              <w:rPr>
                <w:sz w:val="16"/>
              </w:rPr>
            </w:pPr>
            <w:r>
              <w:rPr>
                <w:sz w:val="16"/>
              </w:rPr>
              <w:t>207.00</w:t>
            </w:r>
          </w:p>
        </w:tc>
        <w:tc>
          <w:tcPr>
            <w:tcW w:w="1245" w:type="dxa"/>
            <w:shd w:val="clear" w:color="auto" w:fill="D8E1F2"/>
          </w:tcPr>
          <w:p>
            <w:pPr>
              <w:pStyle w:val="TableParagraph"/>
              <w:spacing w:line="176" w:lineRule="exact"/>
              <w:ind w:left="94" w:right="79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59" w:type="dxa"/>
            <w:shd w:val="clear" w:color="auto" w:fill="D8E1F2"/>
          </w:tcPr>
          <w:p>
            <w:pPr>
              <w:pStyle w:val="TableParagraph"/>
              <w:spacing w:line="176" w:lineRule="exact"/>
              <w:ind w:left="100" w:right="88"/>
              <w:rPr>
                <w:sz w:val="16"/>
              </w:rPr>
            </w:pPr>
            <w:r>
              <w:rPr>
                <w:sz w:val="16"/>
              </w:rPr>
              <w:t>4.68</w:t>
            </w:r>
          </w:p>
        </w:tc>
        <w:tc>
          <w:tcPr>
            <w:tcW w:w="1187" w:type="dxa"/>
            <w:shd w:val="clear" w:color="auto" w:fill="D8E1F2"/>
          </w:tcPr>
          <w:p>
            <w:pPr>
              <w:pStyle w:val="TableParagraph"/>
              <w:spacing w:line="176" w:lineRule="exact"/>
              <w:ind w:left="412"/>
              <w:jc w:val="left"/>
              <w:rPr>
                <w:sz w:val="16"/>
              </w:rPr>
            </w:pPr>
            <w:r>
              <w:rPr>
                <w:sz w:val="16"/>
              </w:rPr>
              <w:t>12.95</w:t>
            </w:r>
          </w:p>
        </w:tc>
        <w:tc>
          <w:tcPr>
            <w:tcW w:w="1365" w:type="dxa"/>
            <w:shd w:val="clear" w:color="auto" w:fill="D8E1F2"/>
          </w:tcPr>
          <w:p>
            <w:pPr>
              <w:pStyle w:val="TableParagraph"/>
              <w:spacing w:line="176" w:lineRule="exact"/>
              <w:ind w:left="543"/>
              <w:jc w:val="left"/>
              <w:rPr>
                <w:sz w:val="16"/>
              </w:rPr>
            </w:pPr>
            <w:r>
              <w:rPr>
                <w:sz w:val="16"/>
              </w:rPr>
              <w:t>9.49</w:t>
            </w:r>
          </w:p>
        </w:tc>
        <w:tc>
          <w:tcPr>
            <w:tcW w:w="1315" w:type="dxa"/>
            <w:shd w:val="clear" w:color="auto" w:fill="D8E1F2"/>
          </w:tcPr>
          <w:p>
            <w:pPr>
              <w:pStyle w:val="TableParagraph"/>
              <w:spacing w:line="176" w:lineRule="exact"/>
              <w:ind w:left="134" w:right="111"/>
              <w:rPr>
                <w:sz w:val="16"/>
              </w:rPr>
            </w:pPr>
            <w:r>
              <w:rPr>
                <w:sz w:val="16"/>
              </w:rPr>
              <w:t>2.75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spacing w:line="176" w:lineRule="exact"/>
              <w:ind w:left="103" w:right="87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</w:tr>
      <w:tr>
        <w:trPr>
          <w:trHeight w:val="194" w:hRule="atLeast"/>
        </w:trPr>
        <w:tc>
          <w:tcPr>
            <w:tcW w:w="806" w:type="dxa"/>
          </w:tcPr>
          <w:p>
            <w:pPr>
              <w:pStyle w:val="TableParagraph"/>
              <w:ind w:left="111" w:right="97"/>
              <w:rPr>
                <w:sz w:val="16"/>
              </w:rPr>
            </w:pPr>
            <w:r>
              <w:rPr>
                <w:sz w:val="16"/>
              </w:rPr>
              <w:t>Wch-58</w:t>
            </w:r>
          </w:p>
        </w:tc>
        <w:tc>
          <w:tcPr>
            <w:tcW w:w="734" w:type="dxa"/>
          </w:tcPr>
          <w:p>
            <w:pPr>
              <w:pStyle w:val="TableParagraph"/>
              <w:ind w:left="0" w:right="130"/>
              <w:jc w:val="right"/>
              <w:rPr>
                <w:sz w:val="16"/>
              </w:rPr>
            </w:pPr>
            <w:r>
              <w:rPr>
                <w:sz w:val="16"/>
              </w:rPr>
              <w:t>209.92</w:t>
            </w:r>
          </w:p>
        </w:tc>
        <w:tc>
          <w:tcPr>
            <w:tcW w:w="1245" w:type="dxa"/>
          </w:tcPr>
          <w:p>
            <w:pPr>
              <w:pStyle w:val="TableParagraph"/>
              <w:ind w:left="94" w:right="79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59" w:type="dxa"/>
          </w:tcPr>
          <w:p>
            <w:pPr>
              <w:pStyle w:val="TableParagraph"/>
              <w:ind w:left="100" w:right="88"/>
              <w:rPr>
                <w:sz w:val="16"/>
              </w:rPr>
            </w:pPr>
            <w:r>
              <w:rPr>
                <w:sz w:val="16"/>
              </w:rPr>
              <w:t>1.71</w:t>
            </w:r>
          </w:p>
        </w:tc>
        <w:tc>
          <w:tcPr>
            <w:tcW w:w="1187" w:type="dxa"/>
          </w:tcPr>
          <w:p>
            <w:pPr>
              <w:pStyle w:val="TableParagraph"/>
              <w:ind w:left="453"/>
              <w:jc w:val="left"/>
              <w:rPr>
                <w:sz w:val="16"/>
              </w:rPr>
            </w:pPr>
            <w:r>
              <w:rPr>
                <w:sz w:val="16"/>
              </w:rPr>
              <w:t>2.44</w:t>
            </w:r>
          </w:p>
        </w:tc>
        <w:tc>
          <w:tcPr>
            <w:tcW w:w="1365" w:type="dxa"/>
          </w:tcPr>
          <w:p>
            <w:pPr>
              <w:pStyle w:val="TableParagraph"/>
              <w:ind w:left="543"/>
              <w:jc w:val="left"/>
              <w:rPr>
                <w:sz w:val="16"/>
              </w:rPr>
            </w:pPr>
            <w:r>
              <w:rPr>
                <w:sz w:val="16"/>
              </w:rPr>
              <w:t>2.75</w:t>
            </w:r>
          </w:p>
        </w:tc>
        <w:tc>
          <w:tcPr>
            <w:tcW w:w="1315" w:type="dxa"/>
          </w:tcPr>
          <w:p>
            <w:pPr>
              <w:pStyle w:val="TableParagraph"/>
              <w:ind w:left="134" w:right="111"/>
              <w:rPr>
                <w:sz w:val="16"/>
              </w:rPr>
            </w:pPr>
            <w:r>
              <w:rPr>
                <w:sz w:val="16"/>
              </w:rPr>
              <w:t>0.76</w:t>
            </w:r>
          </w:p>
        </w:tc>
        <w:tc>
          <w:tcPr>
            <w:tcW w:w="1260" w:type="dxa"/>
          </w:tcPr>
          <w:p>
            <w:pPr>
              <w:pStyle w:val="TableParagraph"/>
              <w:ind w:left="103" w:right="87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9"/>
        </w:rPr>
      </w:pPr>
    </w:p>
    <w:p>
      <w:pPr>
        <w:spacing w:before="0"/>
        <w:ind w:left="120" w:right="708" w:firstLine="0"/>
        <w:jc w:val="left"/>
        <w:rPr>
          <w:sz w:val="22"/>
        </w:rPr>
      </w:pPr>
      <w:r>
        <w:rPr>
          <w:sz w:val="22"/>
        </w:rPr>
        <w:t>Table</w:t>
      </w:r>
      <w:r>
        <w:rPr>
          <w:spacing w:val="-2"/>
          <w:sz w:val="22"/>
        </w:rPr>
        <w:t> </w:t>
      </w:r>
      <w:r>
        <w:rPr>
          <w:sz w:val="22"/>
        </w:rPr>
        <w:t>3.</w:t>
      </w:r>
      <w:r>
        <w:rPr>
          <w:spacing w:val="-4"/>
          <w:sz w:val="22"/>
        </w:rPr>
        <w:t> </w:t>
      </w:r>
      <w:r>
        <w:rPr>
          <w:sz w:val="22"/>
        </w:rPr>
        <w:t>Isorenieratane/Paleorenieratane</w:t>
      </w:r>
      <w:r>
        <w:rPr>
          <w:spacing w:val="-3"/>
          <w:sz w:val="22"/>
        </w:rPr>
        <w:t> </w:t>
      </w:r>
      <w:r>
        <w:rPr>
          <w:sz w:val="22"/>
        </w:rPr>
        <w:t>ratios</w:t>
      </w:r>
      <w:r>
        <w:rPr>
          <w:spacing w:val="1"/>
          <w:sz w:val="22"/>
        </w:rPr>
        <w:t> </w:t>
      </w:r>
      <w:r>
        <w:rPr>
          <w:sz w:val="22"/>
        </w:rPr>
        <w:t>for</w:t>
      </w:r>
      <w:r>
        <w:rPr>
          <w:spacing w:val="-5"/>
          <w:sz w:val="22"/>
        </w:rPr>
        <w:t> </w:t>
      </w:r>
      <w:r>
        <w:rPr>
          <w:sz w:val="22"/>
        </w:rPr>
        <w:t>LCMS</w:t>
      </w:r>
      <w:r>
        <w:rPr>
          <w:spacing w:val="-2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GCMS,</w:t>
      </w:r>
      <w:r>
        <w:rPr>
          <w:spacing w:val="-1"/>
          <w:sz w:val="22"/>
        </w:rPr>
        <w:t> </w:t>
      </w:r>
      <w:r>
        <w:rPr>
          <w:sz w:val="22"/>
        </w:rPr>
        <w:t>GCMS</w:t>
      </w:r>
      <w:r>
        <w:rPr>
          <w:spacing w:val="-3"/>
          <w:sz w:val="22"/>
        </w:rPr>
        <w:t> </w:t>
      </w:r>
      <w:r>
        <w:rPr>
          <w:sz w:val="22"/>
        </w:rPr>
        <w:t>data</w:t>
      </w:r>
      <w:r>
        <w:rPr>
          <w:spacing w:val="-5"/>
          <w:sz w:val="22"/>
        </w:rPr>
        <w:t> </w:t>
      </w:r>
      <w:r>
        <w:rPr>
          <w:sz w:val="22"/>
        </w:rPr>
        <w:t>taken</w:t>
      </w:r>
      <w:r>
        <w:rPr>
          <w:spacing w:val="-2"/>
          <w:sz w:val="22"/>
        </w:rPr>
        <w:t> </w:t>
      </w:r>
      <w:r>
        <w:rPr>
          <w:sz w:val="22"/>
        </w:rPr>
        <w:t>from</w:t>
      </w:r>
      <w:r>
        <w:rPr>
          <w:spacing w:val="1"/>
          <w:sz w:val="22"/>
        </w:rPr>
        <w:t> </w:t>
      </w:r>
      <w:r>
        <w:rPr>
          <w:sz w:val="22"/>
        </w:rPr>
        <w:t>Connock</w:t>
      </w:r>
      <w:r>
        <w:rPr>
          <w:spacing w:val="-1"/>
          <w:sz w:val="22"/>
        </w:rPr>
        <w:t> </w:t>
      </w:r>
      <w:r>
        <w:rPr>
          <w:sz w:val="22"/>
        </w:rPr>
        <w:t>et</w:t>
      </w:r>
      <w:r>
        <w:rPr>
          <w:spacing w:val="-47"/>
          <w:sz w:val="22"/>
        </w:rPr>
        <w:t> </w:t>
      </w:r>
      <w:r>
        <w:rPr>
          <w:sz w:val="22"/>
        </w:rPr>
        <w:t>al.</w:t>
      </w:r>
      <w:r>
        <w:rPr>
          <w:spacing w:val="-2"/>
          <w:sz w:val="22"/>
        </w:rPr>
        <w:t> </w:t>
      </w:r>
      <w:r>
        <w:rPr>
          <w:sz w:val="22"/>
        </w:rPr>
        <w:t>2018</w:t>
      </w:r>
    </w:p>
    <w:p>
      <w:pPr>
        <w:pStyle w:val="BodyText"/>
        <w:spacing w:before="5"/>
        <w:rPr>
          <w:sz w:val="16"/>
        </w:rPr>
      </w:pPr>
    </w:p>
    <w:tbl>
      <w:tblPr>
        <w:tblW w:w="0" w:type="auto"/>
        <w:jc w:val="left"/>
        <w:tblInd w:w="2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6"/>
        <w:gridCol w:w="900"/>
        <w:gridCol w:w="1440"/>
        <w:gridCol w:w="1366"/>
      </w:tblGrid>
      <w:tr>
        <w:trPr>
          <w:trHeight w:val="585" w:hRule="atLeast"/>
        </w:trPr>
        <w:tc>
          <w:tcPr>
            <w:tcW w:w="986" w:type="dxa"/>
            <w:shd w:val="clear" w:color="auto" w:fill="4472C3"/>
          </w:tcPr>
          <w:p>
            <w:pPr>
              <w:pStyle w:val="TableParagraph"/>
              <w:spacing w:line="240" w:lineRule="auto"/>
              <w:ind w:left="0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11"/>
              <w:ind w:left="0"/>
              <w:jc w:val="left"/>
              <w:rPr>
                <w:sz w:val="15"/>
              </w:rPr>
            </w:pPr>
          </w:p>
          <w:p>
            <w:pPr>
              <w:pStyle w:val="TableParagraph"/>
              <w:spacing w:line="175" w:lineRule="exact"/>
              <w:ind w:left="251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sample</w:t>
            </w:r>
          </w:p>
        </w:tc>
        <w:tc>
          <w:tcPr>
            <w:tcW w:w="900" w:type="dxa"/>
            <w:shd w:val="clear" w:color="auto" w:fill="4472C3"/>
          </w:tcPr>
          <w:p>
            <w:pPr>
              <w:pStyle w:val="TableParagraph"/>
              <w:spacing w:line="240" w:lineRule="auto"/>
              <w:ind w:left="0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11"/>
              <w:ind w:left="0"/>
              <w:jc w:val="left"/>
              <w:rPr>
                <w:sz w:val="15"/>
              </w:rPr>
            </w:pPr>
          </w:p>
          <w:p>
            <w:pPr>
              <w:pStyle w:val="TableParagraph"/>
              <w:spacing w:line="175" w:lineRule="exact"/>
              <w:ind w:right="82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depth</w:t>
            </w:r>
            <w:r>
              <w:rPr>
                <w:b/>
                <w:color w:val="FFFFFF"/>
                <w:spacing w:val="-1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(ft)</w:t>
            </w:r>
          </w:p>
        </w:tc>
        <w:tc>
          <w:tcPr>
            <w:tcW w:w="1440" w:type="dxa"/>
            <w:shd w:val="clear" w:color="auto" w:fill="4472C3"/>
          </w:tcPr>
          <w:p>
            <w:pPr>
              <w:pStyle w:val="TableParagraph"/>
              <w:spacing w:line="240" w:lineRule="auto"/>
              <w:ind w:left="141" w:right="136" w:firstLine="3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Isorenieratane/</w:t>
            </w:r>
            <w:r>
              <w:rPr>
                <w:b/>
                <w:color w:val="FFFFFF"/>
                <w:spacing w:val="1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Paleorenieratane</w:t>
            </w:r>
          </w:p>
          <w:p>
            <w:pPr>
              <w:pStyle w:val="TableParagraph"/>
              <w:spacing w:line="175" w:lineRule="exact"/>
              <w:ind w:left="87" w:right="83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LCMS</w:t>
            </w:r>
          </w:p>
        </w:tc>
        <w:tc>
          <w:tcPr>
            <w:tcW w:w="1366" w:type="dxa"/>
            <w:shd w:val="clear" w:color="auto" w:fill="4472C3"/>
          </w:tcPr>
          <w:p>
            <w:pPr>
              <w:pStyle w:val="TableParagraph"/>
              <w:spacing w:line="240" w:lineRule="auto"/>
              <w:ind w:left="105" w:right="98" w:hanging="2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Isorenieratane/</w:t>
            </w:r>
            <w:r>
              <w:rPr>
                <w:b/>
                <w:color w:val="FFFFFF"/>
                <w:spacing w:val="1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Paleorenieratane</w:t>
            </w:r>
          </w:p>
          <w:p>
            <w:pPr>
              <w:pStyle w:val="TableParagraph"/>
              <w:spacing w:line="175" w:lineRule="exact"/>
              <w:ind w:left="433" w:right="431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GCMS</w:t>
            </w:r>
          </w:p>
        </w:tc>
      </w:tr>
      <w:tr>
        <w:trPr>
          <w:trHeight w:val="196" w:hRule="atLeast"/>
        </w:trPr>
        <w:tc>
          <w:tcPr>
            <w:tcW w:w="986" w:type="dxa"/>
            <w:shd w:val="clear" w:color="auto" w:fill="D8E1F2"/>
          </w:tcPr>
          <w:p>
            <w:pPr>
              <w:pStyle w:val="TableParagraph"/>
              <w:spacing w:line="176" w:lineRule="exact"/>
              <w:ind w:left="261"/>
              <w:jc w:val="left"/>
              <w:rPr>
                <w:sz w:val="16"/>
              </w:rPr>
            </w:pPr>
            <w:r>
              <w:rPr>
                <w:sz w:val="16"/>
              </w:rPr>
              <w:t>WCH-1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74.00</w:t>
            </w:r>
          </w:p>
        </w:tc>
        <w:tc>
          <w:tcPr>
            <w:tcW w:w="1440" w:type="dxa"/>
            <w:shd w:val="clear" w:color="auto" w:fill="D8E1F2"/>
          </w:tcPr>
          <w:p>
            <w:pPr>
              <w:pStyle w:val="TableParagraph"/>
              <w:spacing w:line="176" w:lineRule="exact"/>
              <w:ind w:left="89" w:right="83"/>
              <w:rPr>
                <w:sz w:val="16"/>
              </w:rPr>
            </w:pPr>
            <w:r>
              <w:rPr>
                <w:sz w:val="16"/>
              </w:rPr>
              <w:t>0.42</w:t>
            </w:r>
          </w:p>
        </w:tc>
        <w:tc>
          <w:tcPr>
            <w:tcW w:w="1366" w:type="dxa"/>
            <w:shd w:val="clear" w:color="auto" w:fill="D8E1F2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93" w:hRule="atLeast"/>
        </w:trPr>
        <w:tc>
          <w:tcPr>
            <w:tcW w:w="986" w:type="dxa"/>
          </w:tcPr>
          <w:p>
            <w:pPr>
              <w:pStyle w:val="TableParagraph"/>
              <w:ind w:left="261"/>
              <w:jc w:val="left"/>
              <w:rPr>
                <w:sz w:val="16"/>
              </w:rPr>
            </w:pPr>
            <w:r>
              <w:rPr>
                <w:sz w:val="16"/>
              </w:rPr>
              <w:t>WCH-2</w:t>
            </w:r>
          </w:p>
        </w:tc>
        <w:tc>
          <w:tcPr>
            <w:tcW w:w="900" w:type="dxa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75.50</w:t>
            </w:r>
          </w:p>
        </w:tc>
        <w:tc>
          <w:tcPr>
            <w:tcW w:w="1440" w:type="dxa"/>
          </w:tcPr>
          <w:p>
            <w:pPr>
              <w:pStyle w:val="TableParagraph"/>
              <w:ind w:left="89" w:right="83"/>
              <w:rPr>
                <w:sz w:val="16"/>
              </w:rPr>
            </w:pPr>
            <w:r>
              <w:rPr>
                <w:sz w:val="16"/>
              </w:rPr>
              <w:t>0.62</w:t>
            </w:r>
          </w:p>
        </w:tc>
        <w:tc>
          <w:tcPr>
            <w:tcW w:w="1366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96" w:hRule="atLeast"/>
        </w:trPr>
        <w:tc>
          <w:tcPr>
            <w:tcW w:w="986" w:type="dxa"/>
            <w:shd w:val="clear" w:color="auto" w:fill="D8E1F2"/>
          </w:tcPr>
          <w:p>
            <w:pPr>
              <w:pStyle w:val="TableParagraph"/>
              <w:spacing w:line="176" w:lineRule="exact"/>
              <w:ind w:left="261"/>
              <w:jc w:val="left"/>
              <w:rPr>
                <w:sz w:val="16"/>
              </w:rPr>
            </w:pPr>
            <w:r>
              <w:rPr>
                <w:sz w:val="16"/>
              </w:rPr>
              <w:t>WCH-3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77.08</w:t>
            </w:r>
          </w:p>
        </w:tc>
        <w:tc>
          <w:tcPr>
            <w:tcW w:w="1440" w:type="dxa"/>
            <w:shd w:val="clear" w:color="auto" w:fill="D8E1F2"/>
          </w:tcPr>
          <w:p>
            <w:pPr>
              <w:pStyle w:val="TableParagraph"/>
              <w:spacing w:line="176" w:lineRule="exact"/>
              <w:ind w:left="89" w:right="83"/>
              <w:rPr>
                <w:sz w:val="16"/>
              </w:rPr>
            </w:pPr>
            <w:r>
              <w:rPr>
                <w:sz w:val="16"/>
              </w:rPr>
              <w:t>0.55</w:t>
            </w:r>
          </w:p>
        </w:tc>
        <w:tc>
          <w:tcPr>
            <w:tcW w:w="1366" w:type="dxa"/>
            <w:shd w:val="clear" w:color="auto" w:fill="D8E1F2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93" w:hRule="atLeast"/>
        </w:trPr>
        <w:tc>
          <w:tcPr>
            <w:tcW w:w="986" w:type="dxa"/>
          </w:tcPr>
          <w:p>
            <w:pPr>
              <w:pStyle w:val="TableParagraph"/>
              <w:ind w:left="261"/>
              <w:jc w:val="left"/>
              <w:rPr>
                <w:sz w:val="16"/>
              </w:rPr>
            </w:pPr>
            <w:r>
              <w:rPr>
                <w:sz w:val="16"/>
              </w:rPr>
              <w:t>WCH-4</w:t>
            </w:r>
          </w:p>
        </w:tc>
        <w:tc>
          <w:tcPr>
            <w:tcW w:w="900" w:type="dxa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78.00</w:t>
            </w:r>
          </w:p>
        </w:tc>
        <w:tc>
          <w:tcPr>
            <w:tcW w:w="1440" w:type="dxa"/>
          </w:tcPr>
          <w:p>
            <w:pPr>
              <w:pStyle w:val="TableParagraph"/>
              <w:ind w:left="89" w:right="83"/>
              <w:rPr>
                <w:sz w:val="16"/>
              </w:rPr>
            </w:pPr>
            <w:r>
              <w:rPr>
                <w:sz w:val="16"/>
              </w:rPr>
              <w:t>0.46</w:t>
            </w:r>
          </w:p>
        </w:tc>
        <w:tc>
          <w:tcPr>
            <w:tcW w:w="1366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96" w:hRule="atLeast"/>
        </w:trPr>
        <w:tc>
          <w:tcPr>
            <w:tcW w:w="986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261"/>
              <w:jc w:val="left"/>
              <w:rPr>
                <w:sz w:val="16"/>
              </w:rPr>
            </w:pPr>
            <w:r>
              <w:rPr>
                <w:sz w:val="16"/>
              </w:rPr>
              <w:t>WCH-5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right="84"/>
              <w:rPr>
                <w:sz w:val="16"/>
              </w:rPr>
            </w:pPr>
            <w:r>
              <w:rPr>
                <w:sz w:val="16"/>
              </w:rPr>
              <w:t>79.67</w:t>
            </w:r>
          </w:p>
        </w:tc>
        <w:tc>
          <w:tcPr>
            <w:tcW w:w="1440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89" w:right="83"/>
              <w:rPr>
                <w:sz w:val="16"/>
              </w:rPr>
            </w:pPr>
            <w:r>
              <w:rPr>
                <w:sz w:val="16"/>
              </w:rPr>
              <w:t>0.57</w:t>
            </w:r>
          </w:p>
        </w:tc>
        <w:tc>
          <w:tcPr>
            <w:tcW w:w="1366" w:type="dxa"/>
            <w:shd w:val="clear" w:color="auto" w:fill="D8E1F2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93" w:hRule="atLeast"/>
        </w:trPr>
        <w:tc>
          <w:tcPr>
            <w:tcW w:w="986" w:type="dxa"/>
          </w:tcPr>
          <w:p>
            <w:pPr>
              <w:pStyle w:val="TableParagraph"/>
              <w:ind w:left="261"/>
              <w:jc w:val="left"/>
              <w:rPr>
                <w:sz w:val="16"/>
              </w:rPr>
            </w:pPr>
            <w:r>
              <w:rPr>
                <w:sz w:val="16"/>
              </w:rPr>
              <w:t>WCH-6</w:t>
            </w:r>
          </w:p>
        </w:tc>
        <w:tc>
          <w:tcPr>
            <w:tcW w:w="900" w:type="dxa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80.67</w:t>
            </w:r>
          </w:p>
        </w:tc>
        <w:tc>
          <w:tcPr>
            <w:tcW w:w="1440" w:type="dxa"/>
          </w:tcPr>
          <w:p>
            <w:pPr>
              <w:pStyle w:val="TableParagraph"/>
              <w:ind w:left="89" w:right="83"/>
              <w:rPr>
                <w:sz w:val="16"/>
              </w:rPr>
            </w:pPr>
            <w:r>
              <w:rPr>
                <w:sz w:val="16"/>
              </w:rPr>
              <w:t>0.50</w:t>
            </w:r>
          </w:p>
        </w:tc>
        <w:tc>
          <w:tcPr>
            <w:tcW w:w="1366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96" w:hRule="atLeast"/>
        </w:trPr>
        <w:tc>
          <w:tcPr>
            <w:tcW w:w="986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261"/>
              <w:jc w:val="left"/>
              <w:rPr>
                <w:sz w:val="16"/>
              </w:rPr>
            </w:pPr>
            <w:r>
              <w:rPr>
                <w:sz w:val="16"/>
              </w:rPr>
              <w:t>WCH-7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right="84"/>
              <w:rPr>
                <w:sz w:val="16"/>
              </w:rPr>
            </w:pPr>
            <w:r>
              <w:rPr>
                <w:sz w:val="16"/>
              </w:rPr>
              <w:t>81.00</w:t>
            </w:r>
          </w:p>
        </w:tc>
        <w:tc>
          <w:tcPr>
            <w:tcW w:w="1440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89" w:right="83"/>
              <w:rPr>
                <w:sz w:val="16"/>
              </w:rPr>
            </w:pPr>
            <w:r>
              <w:rPr>
                <w:sz w:val="16"/>
              </w:rPr>
              <w:t>0.58</w:t>
            </w:r>
          </w:p>
        </w:tc>
        <w:tc>
          <w:tcPr>
            <w:tcW w:w="1366" w:type="dxa"/>
            <w:shd w:val="clear" w:color="auto" w:fill="D8E1F2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96" w:hRule="atLeast"/>
        </w:trPr>
        <w:tc>
          <w:tcPr>
            <w:tcW w:w="986" w:type="dxa"/>
          </w:tcPr>
          <w:p>
            <w:pPr>
              <w:pStyle w:val="TableParagraph"/>
              <w:spacing w:line="176" w:lineRule="exact"/>
              <w:ind w:left="261"/>
              <w:jc w:val="left"/>
              <w:rPr>
                <w:sz w:val="16"/>
              </w:rPr>
            </w:pPr>
            <w:r>
              <w:rPr>
                <w:sz w:val="16"/>
              </w:rPr>
              <w:t>WCH-8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84.50</w:t>
            </w:r>
          </w:p>
        </w:tc>
        <w:tc>
          <w:tcPr>
            <w:tcW w:w="1440" w:type="dxa"/>
          </w:tcPr>
          <w:p>
            <w:pPr>
              <w:pStyle w:val="TableParagraph"/>
              <w:spacing w:line="176" w:lineRule="exact"/>
              <w:ind w:left="89" w:right="83"/>
              <w:rPr>
                <w:sz w:val="16"/>
              </w:rPr>
            </w:pPr>
            <w:r>
              <w:rPr>
                <w:sz w:val="16"/>
              </w:rPr>
              <w:t>0.46</w:t>
            </w:r>
          </w:p>
        </w:tc>
        <w:tc>
          <w:tcPr>
            <w:tcW w:w="1366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94" w:hRule="atLeast"/>
        </w:trPr>
        <w:tc>
          <w:tcPr>
            <w:tcW w:w="986" w:type="dxa"/>
            <w:shd w:val="clear" w:color="auto" w:fill="D8E1F2"/>
          </w:tcPr>
          <w:p>
            <w:pPr>
              <w:pStyle w:val="TableParagraph"/>
              <w:ind w:left="261"/>
              <w:jc w:val="left"/>
              <w:rPr>
                <w:sz w:val="16"/>
              </w:rPr>
            </w:pPr>
            <w:r>
              <w:rPr>
                <w:sz w:val="16"/>
              </w:rPr>
              <w:t>WCH-9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88.00</w:t>
            </w:r>
          </w:p>
        </w:tc>
        <w:tc>
          <w:tcPr>
            <w:tcW w:w="1440" w:type="dxa"/>
            <w:shd w:val="clear" w:color="auto" w:fill="D8E1F2"/>
          </w:tcPr>
          <w:p>
            <w:pPr>
              <w:pStyle w:val="TableParagraph"/>
              <w:ind w:left="89" w:right="83"/>
              <w:rPr>
                <w:sz w:val="16"/>
              </w:rPr>
            </w:pPr>
            <w:r>
              <w:rPr>
                <w:sz w:val="16"/>
              </w:rPr>
              <w:t>0.54</w:t>
            </w:r>
          </w:p>
        </w:tc>
        <w:tc>
          <w:tcPr>
            <w:tcW w:w="1366" w:type="dxa"/>
            <w:shd w:val="clear" w:color="auto" w:fill="D8E1F2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96" w:hRule="atLeast"/>
        </w:trPr>
        <w:tc>
          <w:tcPr>
            <w:tcW w:w="986" w:type="dxa"/>
          </w:tcPr>
          <w:p>
            <w:pPr>
              <w:pStyle w:val="TableParagraph"/>
              <w:spacing w:line="176" w:lineRule="exact"/>
              <w:ind w:left="222"/>
              <w:jc w:val="left"/>
              <w:rPr>
                <w:sz w:val="16"/>
              </w:rPr>
            </w:pPr>
            <w:r>
              <w:rPr>
                <w:sz w:val="16"/>
              </w:rPr>
              <w:t>WCH-10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91.50</w:t>
            </w:r>
          </w:p>
        </w:tc>
        <w:tc>
          <w:tcPr>
            <w:tcW w:w="1440" w:type="dxa"/>
          </w:tcPr>
          <w:p>
            <w:pPr>
              <w:pStyle w:val="TableParagraph"/>
              <w:spacing w:line="176" w:lineRule="exact"/>
              <w:ind w:left="89" w:right="83"/>
              <w:rPr>
                <w:sz w:val="16"/>
              </w:rPr>
            </w:pPr>
            <w:r>
              <w:rPr>
                <w:sz w:val="16"/>
              </w:rPr>
              <w:t>0.77</w:t>
            </w:r>
          </w:p>
        </w:tc>
        <w:tc>
          <w:tcPr>
            <w:tcW w:w="1366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94" w:hRule="atLeast"/>
        </w:trPr>
        <w:tc>
          <w:tcPr>
            <w:tcW w:w="986" w:type="dxa"/>
            <w:shd w:val="clear" w:color="auto" w:fill="D8E1F2"/>
          </w:tcPr>
          <w:p>
            <w:pPr>
              <w:pStyle w:val="TableParagraph"/>
              <w:ind w:left="237"/>
              <w:jc w:val="left"/>
              <w:rPr>
                <w:sz w:val="16"/>
              </w:rPr>
            </w:pPr>
            <w:r>
              <w:rPr>
                <w:sz w:val="16"/>
              </w:rPr>
              <w:t>Wch-40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93.83</w:t>
            </w:r>
          </w:p>
        </w:tc>
        <w:tc>
          <w:tcPr>
            <w:tcW w:w="1440" w:type="dxa"/>
            <w:shd w:val="clear" w:color="auto" w:fill="D8E1F2"/>
          </w:tcPr>
          <w:p>
            <w:pPr>
              <w:pStyle w:val="TableParagraph"/>
              <w:ind w:left="89" w:right="83"/>
              <w:rPr>
                <w:sz w:val="16"/>
              </w:rPr>
            </w:pPr>
            <w:r>
              <w:rPr>
                <w:sz w:val="16"/>
              </w:rPr>
              <w:t>0.57</w:t>
            </w:r>
          </w:p>
        </w:tc>
        <w:tc>
          <w:tcPr>
            <w:tcW w:w="1366" w:type="dxa"/>
            <w:shd w:val="clear" w:color="auto" w:fill="D8E1F2"/>
          </w:tcPr>
          <w:p>
            <w:pPr>
              <w:pStyle w:val="TableParagraph"/>
              <w:ind w:left="537"/>
              <w:jc w:val="left"/>
              <w:rPr>
                <w:sz w:val="16"/>
              </w:rPr>
            </w:pPr>
            <w:r>
              <w:rPr>
                <w:sz w:val="16"/>
              </w:rPr>
              <w:t>0.40</w:t>
            </w:r>
          </w:p>
        </w:tc>
      </w:tr>
      <w:tr>
        <w:trPr>
          <w:trHeight w:val="196" w:hRule="atLeast"/>
        </w:trPr>
        <w:tc>
          <w:tcPr>
            <w:tcW w:w="986" w:type="dxa"/>
          </w:tcPr>
          <w:p>
            <w:pPr>
              <w:pStyle w:val="TableParagraph"/>
              <w:spacing w:line="176" w:lineRule="exact"/>
              <w:ind w:left="222"/>
              <w:jc w:val="left"/>
              <w:rPr>
                <w:sz w:val="16"/>
              </w:rPr>
            </w:pPr>
            <w:r>
              <w:rPr>
                <w:sz w:val="16"/>
              </w:rPr>
              <w:t>WCH-11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94.33</w:t>
            </w:r>
          </w:p>
        </w:tc>
        <w:tc>
          <w:tcPr>
            <w:tcW w:w="1440" w:type="dxa"/>
          </w:tcPr>
          <w:p>
            <w:pPr>
              <w:pStyle w:val="TableParagraph"/>
              <w:spacing w:line="176" w:lineRule="exact"/>
              <w:ind w:left="89" w:right="83"/>
              <w:rPr>
                <w:sz w:val="16"/>
              </w:rPr>
            </w:pPr>
            <w:r>
              <w:rPr>
                <w:sz w:val="16"/>
              </w:rPr>
              <w:t>0.53</w:t>
            </w:r>
          </w:p>
        </w:tc>
        <w:tc>
          <w:tcPr>
            <w:tcW w:w="1366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94" w:hRule="atLeast"/>
        </w:trPr>
        <w:tc>
          <w:tcPr>
            <w:tcW w:w="986" w:type="dxa"/>
            <w:shd w:val="clear" w:color="auto" w:fill="D8E1F2"/>
          </w:tcPr>
          <w:p>
            <w:pPr>
              <w:pStyle w:val="TableParagraph"/>
              <w:ind w:left="222"/>
              <w:jc w:val="left"/>
              <w:rPr>
                <w:sz w:val="16"/>
              </w:rPr>
            </w:pPr>
            <w:r>
              <w:rPr>
                <w:sz w:val="16"/>
              </w:rPr>
              <w:t>WCH-12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98.00</w:t>
            </w:r>
          </w:p>
        </w:tc>
        <w:tc>
          <w:tcPr>
            <w:tcW w:w="1440" w:type="dxa"/>
            <w:shd w:val="clear" w:color="auto" w:fill="D8E1F2"/>
          </w:tcPr>
          <w:p>
            <w:pPr>
              <w:pStyle w:val="TableParagraph"/>
              <w:ind w:left="89" w:right="83"/>
              <w:rPr>
                <w:sz w:val="16"/>
              </w:rPr>
            </w:pPr>
            <w:r>
              <w:rPr>
                <w:sz w:val="16"/>
              </w:rPr>
              <w:t>0.61</w:t>
            </w:r>
          </w:p>
        </w:tc>
        <w:tc>
          <w:tcPr>
            <w:tcW w:w="1366" w:type="dxa"/>
            <w:shd w:val="clear" w:color="auto" w:fill="D8E1F2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96" w:hRule="atLeast"/>
        </w:trPr>
        <w:tc>
          <w:tcPr>
            <w:tcW w:w="986" w:type="dxa"/>
          </w:tcPr>
          <w:p>
            <w:pPr>
              <w:pStyle w:val="TableParagraph"/>
              <w:spacing w:line="176" w:lineRule="exact"/>
              <w:ind w:left="222"/>
              <w:jc w:val="left"/>
              <w:rPr>
                <w:sz w:val="16"/>
              </w:rPr>
            </w:pPr>
            <w:r>
              <w:rPr>
                <w:sz w:val="16"/>
              </w:rPr>
              <w:t>WCH-13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102.17</w:t>
            </w:r>
          </w:p>
        </w:tc>
        <w:tc>
          <w:tcPr>
            <w:tcW w:w="1440" w:type="dxa"/>
          </w:tcPr>
          <w:p>
            <w:pPr>
              <w:pStyle w:val="TableParagraph"/>
              <w:spacing w:line="176" w:lineRule="exact"/>
              <w:ind w:left="89" w:right="83"/>
              <w:rPr>
                <w:sz w:val="16"/>
              </w:rPr>
            </w:pPr>
            <w:r>
              <w:rPr>
                <w:sz w:val="16"/>
              </w:rPr>
              <w:t>2.29</w:t>
            </w:r>
          </w:p>
        </w:tc>
        <w:tc>
          <w:tcPr>
            <w:tcW w:w="1366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94" w:hRule="atLeast"/>
        </w:trPr>
        <w:tc>
          <w:tcPr>
            <w:tcW w:w="986" w:type="dxa"/>
            <w:shd w:val="clear" w:color="auto" w:fill="D8E1F2"/>
          </w:tcPr>
          <w:p>
            <w:pPr>
              <w:pStyle w:val="TableParagraph"/>
              <w:ind w:left="222"/>
              <w:jc w:val="left"/>
              <w:rPr>
                <w:sz w:val="16"/>
              </w:rPr>
            </w:pPr>
            <w:r>
              <w:rPr>
                <w:sz w:val="16"/>
              </w:rPr>
              <w:t>WCH-14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105.50</w:t>
            </w:r>
          </w:p>
        </w:tc>
        <w:tc>
          <w:tcPr>
            <w:tcW w:w="1440" w:type="dxa"/>
            <w:shd w:val="clear" w:color="auto" w:fill="D8E1F2"/>
          </w:tcPr>
          <w:p>
            <w:pPr>
              <w:pStyle w:val="TableParagraph"/>
              <w:ind w:left="89" w:right="83"/>
              <w:rPr>
                <w:sz w:val="16"/>
              </w:rPr>
            </w:pPr>
            <w:r>
              <w:rPr>
                <w:sz w:val="16"/>
              </w:rPr>
              <w:t>2.44</w:t>
            </w:r>
          </w:p>
        </w:tc>
        <w:tc>
          <w:tcPr>
            <w:tcW w:w="1366" w:type="dxa"/>
            <w:shd w:val="clear" w:color="auto" w:fill="D8E1F2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96" w:hRule="atLeast"/>
        </w:trPr>
        <w:tc>
          <w:tcPr>
            <w:tcW w:w="986" w:type="dxa"/>
          </w:tcPr>
          <w:p>
            <w:pPr>
              <w:pStyle w:val="TableParagraph"/>
              <w:spacing w:line="175" w:lineRule="exact" w:before="1"/>
              <w:ind w:left="237"/>
              <w:jc w:val="left"/>
              <w:rPr>
                <w:sz w:val="16"/>
              </w:rPr>
            </w:pPr>
            <w:r>
              <w:rPr>
                <w:sz w:val="16"/>
              </w:rPr>
              <w:t>Wch-41</w:t>
            </w:r>
          </w:p>
        </w:tc>
        <w:tc>
          <w:tcPr>
            <w:tcW w:w="900" w:type="dxa"/>
          </w:tcPr>
          <w:p>
            <w:pPr>
              <w:pStyle w:val="TableParagraph"/>
              <w:spacing w:line="175" w:lineRule="exact" w:before="1"/>
              <w:ind w:right="84"/>
              <w:rPr>
                <w:sz w:val="16"/>
              </w:rPr>
            </w:pPr>
            <w:r>
              <w:rPr>
                <w:sz w:val="16"/>
              </w:rPr>
              <w:t>109.17</w:t>
            </w:r>
          </w:p>
        </w:tc>
        <w:tc>
          <w:tcPr>
            <w:tcW w:w="1440" w:type="dxa"/>
          </w:tcPr>
          <w:p>
            <w:pPr>
              <w:pStyle w:val="TableParagraph"/>
              <w:spacing w:line="175" w:lineRule="exact" w:before="1"/>
              <w:ind w:left="89" w:right="83"/>
              <w:rPr>
                <w:sz w:val="16"/>
              </w:rPr>
            </w:pPr>
            <w:r>
              <w:rPr>
                <w:sz w:val="16"/>
              </w:rPr>
              <w:t>1.77</w:t>
            </w:r>
          </w:p>
        </w:tc>
        <w:tc>
          <w:tcPr>
            <w:tcW w:w="1366" w:type="dxa"/>
          </w:tcPr>
          <w:p>
            <w:pPr>
              <w:pStyle w:val="TableParagraph"/>
              <w:spacing w:line="175" w:lineRule="exact" w:before="1"/>
              <w:ind w:left="537"/>
              <w:jc w:val="left"/>
              <w:rPr>
                <w:sz w:val="16"/>
              </w:rPr>
            </w:pPr>
            <w:r>
              <w:rPr>
                <w:sz w:val="16"/>
              </w:rPr>
              <w:t>0.90</w:t>
            </w:r>
          </w:p>
        </w:tc>
      </w:tr>
      <w:tr>
        <w:trPr>
          <w:trHeight w:val="194" w:hRule="atLeast"/>
        </w:trPr>
        <w:tc>
          <w:tcPr>
            <w:tcW w:w="986" w:type="dxa"/>
            <w:shd w:val="clear" w:color="auto" w:fill="D8E1F2"/>
          </w:tcPr>
          <w:p>
            <w:pPr>
              <w:pStyle w:val="TableParagraph"/>
              <w:ind w:left="237"/>
              <w:jc w:val="left"/>
              <w:rPr>
                <w:sz w:val="16"/>
              </w:rPr>
            </w:pPr>
            <w:r>
              <w:rPr>
                <w:sz w:val="16"/>
              </w:rPr>
              <w:t>Wch-42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112.50</w:t>
            </w:r>
          </w:p>
        </w:tc>
        <w:tc>
          <w:tcPr>
            <w:tcW w:w="1440" w:type="dxa"/>
            <w:shd w:val="clear" w:color="auto" w:fill="D8E1F2"/>
          </w:tcPr>
          <w:p>
            <w:pPr>
              <w:pStyle w:val="TableParagraph"/>
              <w:ind w:left="89" w:right="83"/>
              <w:rPr>
                <w:sz w:val="16"/>
              </w:rPr>
            </w:pPr>
            <w:r>
              <w:rPr>
                <w:sz w:val="16"/>
              </w:rPr>
              <w:t>2.00</w:t>
            </w:r>
          </w:p>
        </w:tc>
        <w:tc>
          <w:tcPr>
            <w:tcW w:w="1366" w:type="dxa"/>
            <w:shd w:val="clear" w:color="auto" w:fill="D8E1F2"/>
          </w:tcPr>
          <w:p>
            <w:pPr>
              <w:pStyle w:val="TableParagraph"/>
              <w:ind w:left="537"/>
              <w:jc w:val="left"/>
              <w:rPr>
                <w:sz w:val="16"/>
              </w:rPr>
            </w:pPr>
            <w:r>
              <w:rPr>
                <w:sz w:val="16"/>
              </w:rPr>
              <w:t>1.86</w:t>
            </w:r>
          </w:p>
        </w:tc>
      </w:tr>
      <w:tr>
        <w:trPr>
          <w:trHeight w:val="196" w:hRule="atLeast"/>
        </w:trPr>
        <w:tc>
          <w:tcPr>
            <w:tcW w:w="986" w:type="dxa"/>
          </w:tcPr>
          <w:p>
            <w:pPr>
              <w:pStyle w:val="TableParagraph"/>
              <w:spacing w:line="175" w:lineRule="exact" w:before="1"/>
              <w:ind w:left="222"/>
              <w:jc w:val="left"/>
              <w:rPr>
                <w:sz w:val="16"/>
              </w:rPr>
            </w:pPr>
            <w:r>
              <w:rPr>
                <w:sz w:val="16"/>
              </w:rPr>
              <w:t>WCH-15</w:t>
            </w:r>
          </w:p>
        </w:tc>
        <w:tc>
          <w:tcPr>
            <w:tcW w:w="900" w:type="dxa"/>
          </w:tcPr>
          <w:p>
            <w:pPr>
              <w:pStyle w:val="TableParagraph"/>
              <w:spacing w:line="175" w:lineRule="exact" w:before="1"/>
              <w:ind w:right="84"/>
              <w:rPr>
                <w:sz w:val="16"/>
              </w:rPr>
            </w:pPr>
            <w:r>
              <w:rPr>
                <w:sz w:val="16"/>
              </w:rPr>
              <w:t>115.00</w:t>
            </w:r>
          </w:p>
        </w:tc>
        <w:tc>
          <w:tcPr>
            <w:tcW w:w="1440" w:type="dxa"/>
          </w:tcPr>
          <w:p>
            <w:pPr>
              <w:pStyle w:val="TableParagraph"/>
              <w:spacing w:line="175" w:lineRule="exact" w:before="1"/>
              <w:ind w:left="89" w:right="83"/>
              <w:rPr>
                <w:sz w:val="16"/>
              </w:rPr>
            </w:pPr>
            <w:r>
              <w:rPr>
                <w:sz w:val="16"/>
              </w:rPr>
              <w:t>1.63</w:t>
            </w:r>
          </w:p>
        </w:tc>
        <w:tc>
          <w:tcPr>
            <w:tcW w:w="1366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96" w:hRule="atLeast"/>
        </w:trPr>
        <w:tc>
          <w:tcPr>
            <w:tcW w:w="986" w:type="dxa"/>
            <w:shd w:val="clear" w:color="auto" w:fill="D8E1F2"/>
          </w:tcPr>
          <w:p>
            <w:pPr>
              <w:pStyle w:val="TableParagraph"/>
              <w:spacing w:line="176" w:lineRule="exact"/>
              <w:ind w:left="222"/>
              <w:jc w:val="left"/>
              <w:rPr>
                <w:sz w:val="16"/>
              </w:rPr>
            </w:pPr>
            <w:r>
              <w:rPr>
                <w:sz w:val="16"/>
              </w:rPr>
              <w:t>WCH-16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118.00</w:t>
            </w:r>
          </w:p>
        </w:tc>
        <w:tc>
          <w:tcPr>
            <w:tcW w:w="1440" w:type="dxa"/>
            <w:shd w:val="clear" w:color="auto" w:fill="D8E1F2"/>
          </w:tcPr>
          <w:p>
            <w:pPr>
              <w:pStyle w:val="TableParagraph"/>
              <w:spacing w:line="176" w:lineRule="exact"/>
              <w:ind w:left="89" w:right="83"/>
              <w:rPr>
                <w:sz w:val="16"/>
              </w:rPr>
            </w:pPr>
            <w:r>
              <w:rPr>
                <w:sz w:val="16"/>
              </w:rPr>
              <w:t>1.76</w:t>
            </w:r>
          </w:p>
        </w:tc>
        <w:tc>
          <w:tcPr>
            <w:tcW w:w="1366" w:type="dxa"/>
            <w:shd w:val="clear" w:color="auto" w:fill="D8E1F2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94" w:hRule="atLeast"/>
        </w:trPr>
        <w:tc>
          <w:tcPr>
            <w:tcW w:w="986" w:type="dxa"/>
          </w:tcPr>
          <w:p>
            <w:pPr>
              <w:pStyle w:val="TableParagraph"/>
              <w:ind w:left="222"/>
              <w:jc w:val="left"/>
              <w:rPr>
                <w:sz w:val="16"/>
              </w:rPr>
            </w:pPr>
            <w:r>
              <w:rPr>
                <w:sz w:val="16"/>
              </w:rPr>
              <w:t>WCH-17</w:t>
            </w:r>
          </w:p>
        </w:tc>
        <w:tc>
          <w:tcPr>
            <w:tcW w:w="900" w:type="dxa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121.00</w:t>
            </w:r>
          </w:p>
        </w:tc>
        <w:tc>
          <w:tcPr>
            <w:tcW w:w="1440" w:type="dxa"/>
          </w:tcPr>
          <w:p>
            <w:pPr>
              <w:pStyle w:val="TableParagraph"/>
              <w:ind w:left="89" w:right="83"/>
              <w:rPr>
                <w:sz w:val="16"/>
              </w:rPr>
            </w:pPr>
            <w:r>
              <w:rPr>
                <w:sz w:val="16"/>
              </w:rPr>
              <w:t>0.59</w:t>
            </w:r>
          </w:p>
        </w:tc>
        <w:tc>
          <w:tcPr>
            <w:tcW w:w="1366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96" w:hRule="atLeast"/>
        </w:trPr>
        <w:tc>
          <w:tcPr>
            <w:tcW w:w="986" w:type="dxa"/>
            <w:shd w:val="clear" w:color="auto" w:fill="D8E1F2"/>
          </w:tcPr>
          <w:p>
            <w:pPr>
              <w:pStyle w:val="TableParagraph"/>
              <w:spacing w:line="176" w:lineRule="exact"/>
              <w:ind w:left="222"/>
              <w:jc w:val="left"/>
              <w:rPr>
                <w:sz w:val="16"/>
              </w:rPr>
            </w:pPr>
            <w:r>
              <w:rPr>
                <w:sz w:val="16"/>
              </w:rPr>
              <w:t>WCH-18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124.42</w:t>
            </w:r>
          </w:p>
        </w:tc>
        <w:tc>
          <w:tcPr>
            <w:tcW w:w="1440" w:type="dxa"/>
            <w:shd w:val="clear" w:color="auto" w:fill="D8E1F2"/>
          </w:tcPr>
          <w:p>
            <w:pPr>
              <w:pStyle w:val="TableParagraph"/>
              <w:spacing w:line="176" w:lineRule="exact"/>
              <w:ind w:left="89" w:right="83"/>
              <w:rPr>
                <w:sz w:val="16"/>
              </w:rPr>
            </w:pPr>
            <w:r>
              <w:rPr>
                <w:sz w:val="16"/>
              </w:rPr>
              <w:t>0.54</w:t>
            </w:r>
          </w:p>
        </w:tc>
        <w:tc>
          <w:tcPr>
            <w:tcW w:w="1366" w:type="dxa"/>
            <w:shd w:val="clear" w:color="auto" w:fill="D8E1F2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94" w:hRule="atLeast"/>
        </w:trPr>
        <w:tc>
          <w:tcPr>
            <w:tcW w:w="986" w:type="dxa"/>
          </w:tcPr>
          <w:p>
            <w:pPr>
              <w:pStyle w:val="TableParagraph"/>
              <w:ind w:left="237"/>
              <w:jc w:val="left"/>
              <w:rPr>
                <w:sz w:val="16"/>
              </w:rPr>
            </w:pPr>
            <w:r>
              <w:rPr>
                <w:sz w:val="16"/>
              </w:rPr>
              <w:t>Wch-43</w:t>
            </w:r>
          </w:p>
        </w:tc>
        <w:tc>
          <w:tcPr>
            <w:tcW w:w="900" w:type="dxa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126.17</w:t>
            </w:r>
          </w:p>
        </w:tc>
        <w:tc>
          <w:tcPr>
            <w:tcW w:w="1440" w:type="dxa"/>
          </w:tcPr>
          <w:p>
            <w:pPr>
              <w:pStyle w:val="TableParagraph"/>
              <w:ind w:left="89" w:right="83"/>
              <w:rPr>
                <w:sz w:val="16"/>
              </w:rPr>
            </w:pPr>
            <w:r>
              <w:rPr>
                <w:sz w:val="16"/>
              </w:rPr>
              <w:t>0.37</w:t>
            </w:r>
          </w:p>
        </w:tc>
        <w:tc>
          <w:tcPr>
            <w:tcW w:w="1366" w:type="dxa"/>
          </w:tcPr>
          <w:p>
            <w:pPr>
              <w:pStyle w:val="TableParagraph"/>
              <w:ind w:left="537"/>
              <w:jc w:val="left"/>
              <w:rPr>
                <w:sz w:val="16"/>
              </w:rPr>
            </w:pPr>
            <w:r>
              <w:rPr>
                <w:sz w:val="16"/>
              </w:rPr>
              <w:t>0.29</w:t>
            </w:r>
          </w:p>
        </w:tc>
      </w:tr>
      <w:tr>
        <w:trPr>
          <w:trHeight w:val="196" w:hRule="atLeast"/>
        </w:trPr>
        <w:tc>
          <w:tcPr>
            <w:tcW w:w="986" w:type="dxa"/>
            <w:shd w:val="clear" w:color="auto" w:fill="D8E1F2"/>
          </w:tcPr>
          <w:p>
            <w:pPr>
              <w:pStyle w:val="TableParagraph"/>
              <w:spacing w:line="176" w:lineRule="exact"/>
              <w:ind w:left="222"/>
              <w:jc w:val="left"/>
              <w:rPr>
                <w:sz w:val="16"/>
              </w:rPr>
            </w:pPr>
            <w:r>
              <w:rPr>
                <w:sz w:val="16"/>
              </w:rPr>
              <w:t>WCH-19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129.00</w:t>
            </w:r>
          </w:p>
        </w:tc>
        <w:tc>
          <w:tcPr>
            <w:tcW w:w="1440" w:type="dxa"/>
            <w:shd w:val="clear" w:color="auto" w:fill="D8E1F2"/>
          </w:tcPr>
          <w:p>
            <w:pPr>
              <w:pStyle w:val="TableParagraph"/>
              <w:spacing w:line="176" w:lineRule="exact"/>
              <w:ind w:left="89" w:right="83"/>
              <w:rPr>
                <w:sz w:val="16"/>
              </w:rPr>
            </w:pPr>
            <w:r>
              <w:rPr>
                <w:sz w:val="16"/>
              </w:rPr>
              <w:t>0.22</w:t>
            </w:r>
          </w:p>
        </w:tc>
        <w:tc>
          <w:tcPr>
            <w:tcW w:w="1366" w:type="dxa"/>
            <w:shd w:val="clear" w:color="auto" w:fill="D8E1F2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93" w:hRule="atLeast"/>
        </w:trPr>
        <w:tc>
          <w:tcPr>
            <w:tcW w:w="986" w:type="dxa"/>
          </w:tcPr>
          <w:p>
            <w:pPr>
              <w:pStyle w:val="TableParagraph"/>
              <w:ind w:left="222"/>
              <w:jc w:val="left"/>
              <w:rPr>
                <w:sz w:val="16"/>
              </w:rPr>
            </w:pPr>
            <w:r>
              <w:rPr>
                <w:sz w:val="16"/>
              </w:rPr>
              <w:t>WCH-20</w:t>
            </w:r>
          </w:p>
        </w:tc>
        <w:tc>
          <w:tcPr>
            <w:tcW w:w="900" w:type="dxa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130.00</w:t>
            </w:r>
          </w:p>
        </w:tc>
        <w:tc>
          <w:tcPr>
            <w:tcW w:w="1440" w:type="dxa"/>
          </w:tcPr>
          <w:p>
            <w:pPr>
              <w:pStyle w:val="TableParagraph"/>
              <w:ind w:left="89" w:right="83"/>
              <w:rPr>
                <w:sz w:val="16"/>
              </w:rPr>
            </w:pPr>
            <w:r>
              <w:rPr>
                <w:sz w:val="16"/>
              </w:rPr>
              <w:t>0.31</w:t>
            </w:r>
          </w:p>
        </w:tc>
        <w:tc>
          <w:tcPr>
            <w:tcW w:w="1366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96" w:hRule="atLeast"/>
        </w:trPr>
        <w:tc>
          <w:tcPr>
            <w:tcW w:w="986" w:type="dxa"/>
            <w:shd w:val="clear" w:color="auto" w:fill="D8E1F2"/>
          </w:tcPr>
          <w:p>
            <w:pPr>
              <w:pStyle w:val="TableParagraph"/>
              <w:spacing w:line="176" w:lineRule="exact"/>
              <w:ind w:left="237"/>
              <w:jc w:val="left"/>
              <w:rPr>
                <w:sz w:val="16"/>
              </w:rPr>
            </w:pPr>
            <w:r>
              <w:rPr>
                <w:sz w:val="16"/>
              </w:rPr>
              <w:t>Wch-60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131.75</w:t>
            </w:r>
          </w:p>
        </w:tc>
        <w:tc>
          <w:tcPr>
            <w:tcW w:w="1440" w:type="dxa"/>
            <w:shd w:val="clear" w:color="auto" w:fill="D8E1F2"/>
          </w:tcPr>
          <w:p>
            <w:pPr>
              <w:pStyle w:val="TableParagraph"/>
              <w:spacing w:line="176" w:lineRule="exact"/>
              <w:ind w:left="89" w:right="83"/>
              <w:rPr>
                <w:sz w:val="16"/>
              </w:rPr>
            </w:pPr>
            <w:r>
              <w:rPr>
                <w:sz w:val="16"/>
              </w:rPr>
              <w:t>0.33</w:t>
            </w:r>
          </w:p>
        </w:tc>
        <w:tc>
          <w:tcPr>
            <w:tcW w:w="1366" w:type="dxa"/>
            <w:shd w:val="clear" w:color="auto" w:fill="D8E1F2"/>
          </w:tcPr>
          <w:p>
            <w:pPr>
              <w:pStyle w:val="TableParagraph"/>
              <w:spacing w:line="176" w:lineRule="exact"/>
              <w:ind w:left="537"/>
              <w:jc w:val="left"/>
              <w:rPr>
                <w:sz w:val="16"/>
              </w:rPr>
            </w:pPr>
            <w:r>
              <w:rPr>
                <w:sz w:val="16"/>
              </w:rPr>
              <w:t>0.26</w:t>
            </w:r>
          </w:p>
        </w:tc>
      </w:tr>
      <w:tr>
        <w:trPr>
          <w:trHeight w:val="194" w:hRule="atLeast"/>
        </w:trPr>
        <w:tc>
          <w:tcPr>
            <w:tcW w:w="986" w:type="dxa"/>
          </w:tcPr>
          <w:p>
            <w:pPr>
              <w:pStyle w:val="TableParagraph"/>
              <w:ind w:left="237"/>
              <w:jc w:val="left"/>
              <w:rPr>
                <w:sz w:val="16"/>
              </w:rPr>
            </w:pPr>
            <w:r>
              <w:rPr>
                <w:sz w:val="16"/>
              </w:rPr>
              <w:t>Wch-61</w:t>
            </w:r>
          </w:p>
        </w:tc>
        <w:tc>
          <w:tcPr>
            <w:tcW w:w="900" w:type="dxa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132.75</w:t>
            </w:r>
          </w:p>
        </w:tc>
        <w:tc>
          <w:tcPr>
            <w:tcW w:w="1440" w:type="dxa"/>
          </w:tcPr>
          <w:p>
            <w:pPr>
              <w:pStyle w:val="TableParagraph"/>
              <w:ind w:left="89" w:right="83"/>
              <w:rPr>
                <w:sz w:val="16"/>
              </w:rPr>
            </w:pPr>
            <w:r>
              <w:rPr>
                <w:sz w:val="16"/>
              </w:rPr>
              <w:t>0.21</w:t>
            </w:r>
          </w:p>
        </w:tc>
        <w:tc>
          <w:tcPr>
            <w:tcW w:w="1366" w:type="dxa"/>
          </w:tcPr>
          <w:p>
            <w:pPr>
              <w:pStyle w:val="TableParagraph"/>
              <w:ind w:left="537"/>
              <w:jc w:val="left"/>
              <w:rPr>
                <w:sz w:val="16"/>
              </w:rPr>
            </w:pPr>
            <w:r>
              <w:rPr>
                <w:sz w:val="16"/>
              </w:rPr>
              <w:t>0.16</w:t>
            </w:r>
          </w:p>
        </w:tc>
      </w:tr>
      <w:tr>
        <w:trPr>
          <w:trHeight w:val="196" w:hRule="atLeast"/>
        </w:trPr>
        <w:tc>
          <w:tcPr>
            <w:tcW w:w="986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222"/>
              <w:jc w:val="left"/>
              <w:rPr>
                <w:sz w:val="16"/>
              </w:rPr>
            </w:pPr>
            <w:r>
              <w:rPr>
                <w:sz w:val="16"/>
              </w:rPr>
              <w:t>WCH-21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right="84"/>
              <w:rPr>
                <w:sz w:val="16"/>
              </w:rPr>
            </w:pPr>
            <w:r>
              <w:rPr>
                <w:sz w:val="16"/>
              </w:rPr>
              <w:t>133.50</w:t>
            </w:r>
          </w:p>
        </w:tc>
        <w:tc>
          <w:tcPr>
            <w:tcW w:w="1440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89" w:right="83"/>
              <w:rPr>
                <w:sz w:val="16"/>
              </w:rPr>
            </w:pPr>
            <w:r>
              <w:rPr>
                <w:sz w:val="16"/>
              </w:rPr>
              <w:t>0.31</w:t>
            </w:r>
          </w:p>
        </w:tc>
        <w:tc>
          <w:tcPr>
            <w:tcW w:w="1366" w:type="dxa"/>
            <w:shd w:val="clear" w:color="auto" w:fill="D8E1F2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96" w:hRule="atLeast"/>
        </w:trPr>
        <w:tc>
          <w:tcPr>
            <w:tcW w:w="986" w:type="dxa"/>
          </w:tcPr>
          <w:p>
            <w:pPr>
              <w:pStyle w:val="TableParagraph"/>
              <w:spacing w:line="176" w:lineRule="exact"/>
              <w:ind w:left="237"/>
              <w:jc w:val="left"/>
              <w:rPr>
                <w:sz w:val="16"/>
              </w:rPr>
            </w:pPr>
            <w:r>
              <w:rPr>
                <w:sz w:val="16"/>
              </w:rPr>
              <w:t>Wch-44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134.00</w:t>
            </w:r>
          </w:p>
        </w:tc>
        <w:tc>
          <w:tcPr>
            <w:tcW w:w="1440" w:type="dxa"/>
          </w:tcPr>
          <w:p>
            <w:pPr>
              <w:pStyle w:val="TableParagraph"/>
              <w:spacing w:line="176" w:lineRule="exact"/>
              <w:ind w:left="89" w:right="83"/>
              <w:rPr>
                <w:sz w:val="16"/>
              </w:rPr>
            </w:pPr>
            <w:r>
              <w:rPr>
                <w:sz w:val="16"/>
              </w:rPr>
              <w:t>0.30</w:t>
            </w:r>
          </w:p>
        </w:tc>
        <w:tc>
          <w:tcPr>
            <w:tcW w:w="1366" w:type="dxa"/>
          </w:tcPr>
          <w:p>
            <w:pPr>
              <w:pStyle w:val="TableParagraph"/>
              <w:spacing w:line="176" w:lineRule="exact"/>
              <w:ind w:left="537"/>
              <w:jc w:val="left"/>
              <w:rPr>
                <w:sz w:val="16"/>
              </w:rPr>
            </w:pPr>
            <w:r>
              <w:rPr>
                <w:sz w:val="16"/>
              </w:rPr>
              <w:t>0.20</w:t>
            </w:r>
          </w:p>
        </w:tc>
      </w:tr>
      <w:tr>
        <w:trPr>
          <w:trHeight w:val="194" w:hRule="atLeast"/>
        </w:trPr>
        <w:tc>
          <w:tcPr>
            <w:tcW w:w="986" w:type="dxa"/>
            <w:shd w:val="clear" w:color="auto" w:fill="D8E1F2"/>
          </w:tcPr>
          <w:p>
            <w:pPr>
              <w:pStyle w:val="TableParagraph"/>
              <w:ind w:left="222"/>
              <w:jc w:val="left"/>
              <w:rPr>
                <w:sz w:val="16"/>
              </w:rPr>
            </w:pPr>
            <w:r>
              <w:rPr>
                <w:sz w:val="16"/>
              </w:rPr>
              <w:t>WCH-22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136.00</w:t>
            </w:r>
          </w:p>
        </w:tc>
        <w:tc>
          <w:tcPr>
            <w:tcW w:w="1440" w:type="dxa"/>
            <w:shd w:val="clear" w:color="auto" w:fill="D8E1F2"/>
          </w:tcPr>
          <w:p>
            <w:pPr>
              <w:pStyle w:val="TableParagraph"/>
              <w:ind w:left="89" w:right="83"/>
              <w:rPr>
                <w:sz w:val="16"/>
              </w:rPr>
            </w:pPr>
            <w:r>
              <w:rPr>
                <w:sz w:val="16"/>
              </w:rPr>
              <w:t>0.28</w:t>
            </w:r>
          </w:p>
        </w:tc>
        <w:tc>
          <w:tcPr>
            <w:tcW w:w="1366" w:type="dxa"/>
            <w:shd w:val="clear" w:color="auto" w:fill="D8E1F2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96" w:hRule="atLeast"/>
        </w:trPr>
        <w:tc>
          <w:tcPr>
            <w:tcW w:w="986" w:type="dxa"/>
          </w:tcPr>
          <w:p>
            <w:pPr>
              <w:pStyle w:val="TableParagraph"/>
              <w:spacing w:line="176" w:lineRule="exact"/>
              <w:ind w:left="222"/>
              <w:jc w:val="left"/>
              <w:rPr>
                <w:sz w:val="16"/>
              </w:rPr>
            </w:pPr>
            <w:r>
              <w:rPr>
                <w:sz w:val="16"/>
              </w:rPr>
              <w:t>WCH-23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137.25</w:t>
            </w:r>
          </w:p>
        </w:tc>
        <w:tc>
          <w:tcPr>
            <w:tcW w:w="1440" w:type="dxa"/>
          </w:tcPr>
          <w:p>
            <w:pPr>
              <w:pStyle w:val="TableParagraph"/>
              <w:spacing w:line="176" w:lineRule="exact"/>
              <w:ind w:left="89" w:right="83"/>
              <w:rPr>
                <w:sz w:val="16"/>
              </w:rPr>
            </w:pPr>
            <w:r>
              <w:rPr>
                <w:sz w:val="16"/>
              </w:rPr>
              <w:t>0.27</w:t>
            </w:r>
          </w:p>
        </w:tc>
        <w:tc>
          <w:tcPr>
            <w:tcW w:w="1366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94" w:hRule="atLeast"/>
        </w:trPr>
        <w:tc>
          <w:tcPr>
            <w:tcW w:w="986" w:type="dxa"/>
            <w:shd w:val="clear" w:color="auto" w:fill="D8E1F2"/>
          </w:tcPr>
          <w:p>
            <w:pPr>
              <w:pStyle w:val="TableParagraph"/>
              <w:ind w:left="222"/>
              <w:jc w:val="left"/>
              <w:rPr>
                <w:sz w:val="16"/>
              </w:rPr>
            </w:pPr>
            <w:r>
              <w:rPr>
                <w:sz w:val="16"/>
              </w:rPr>
              <w:t>WCH-24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138.50</w:t>
            </w:r>
          </w:p>
        </w:tc>
        <w:tc>
          <w:tcPr>
            <w:tcW w:w="1440" w:type="dxa"/>
            <w:shd w:val="clear" w:color="auto" w:fill="D8E1F2"/>
          </w:tcPr>
          <w:p>
            <w:pPr>
              <w:pStyle w:val="TableParagraph"/>
              <w:ind w:left="89" w:right="83"/>
              <w:rPr>
                <w:sz w:val="16"/>
              </w:rPr>
            </w:pPr>
            <w:r>
              <w:rPr>
                <w:sz w:val="16"/>
              </w:rPr>
              <w:t>0.29</w:t>
            </w:r>
          </w:p>
        </w:tc>
        <w:tc>
          <w:tcPr>
            <w:tcW w:w="1366" w:type="dxa"/>
            <w:shd w:val="clear" w:color="auto" w:fill="D8E1F2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96" w:hRule="atLeast"/>
        </w:trPr>
        <w:tc>
          <w:tcPr>
            <w:tcW w:w="986" w:type="dxa"/>
          </w:tcPr>
          <w:p>
            <w:pPr>
              <w:pStyle w:val="TableParagraph"/>
              <w:spacing w:line="176" w:lineRule="exact"/>
              <w:ind w:left="222"/>
              <w:jc w:val="left"/>
              <w:rPr>
                <w:sz w:val="16"/>
              </w:rPr>
            </w:pPr>
            <w:r>
              <w:rPr>
                <w:sz w:val="16"/>
              </w:rPr>
              <w:t>WCH-25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139.67</w:t>
            </w:r>
          </w:p>
        </w:tc>
        <w:tc>
          <w:tcPr>
            <w:tcW w:w="1440" w:type="dxa"/>
          </w:tcPr>
          <w:p>
            <w:pPr>
              <w:pStyle w:val="TableParagraph"/>
              <w:spacing w:line="176" w:lineRule="exact"/>
              <w:ind w:left="89" w:right="83"/>
              <w:rPr>
                <w:sz w:val="16"/>
              </w:rPr>
            </w:pPr>
            <w:r>
              <w:rPr>
                <w:sz w:val="16"/>
              </w:rPr>
              <w:t>0.32</w:t>
            </w:r>
          </w:p>
        </w:tc>
        <w:tc>
          <w:tcPr>
            <w:tcW w:w="1366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94" w:hRule="atLeast"/>
        </w:trPr>
        <w:tc>
          <w:tcPr>
            <w:tcW w:w="986" w:type="dxa"/>
            <w:shd w:val="clear" w:color="auto" w:fill="D8E1F2"/>
          </w:tcPr>
          <w:p>
            <w:pPr>
              <w:pStyle w:val="TableParagraph"/>
              <w:ind w:left="222"/>
              <w:jc w:val="left"/>
              <w:rPr>
                <w:sz w:val="16"/>
              </w:rPr>
            </w:pPr>
            <w:r>
              <w:rPr>
                <w:sz w:val="16"/>
              </w:rPr>
              <w:t>WCH-26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141.08</w:t>
            </w:r>
          </w:p>
        </w:tc>
        <w:tc>
          <w:tcPr>
            <w:tcW w:w="1440" w:type="dxa"/>
            <w:shd w:val="clear" w:color="auto" w:fill="D8E1F2"/>
          </w:tcPr>
          <w:p>
            <w:pPr>
              <w:pStyle w:val="TableParagraph"/>
              <w:ind w:left="89" w:right="83"/>
              <w:rPr>
                <w:sz w:val="16"/>
              </w:rPr>
            </w:pPr>
            <w:r>
              <w:rPr>
                <w:sz w:val="16"/>
              </w:rPr>
              <w:t>0.26</w:t>
            </w:r>
          </w:p>
        </w:tc>
        <w:tc>
          <w:tcPr>
            <w:tcW w:w="1366" w:type="dxa"/>
            <w:shd w:val="clear" w:color="auto" w:fill="D8E1F2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96" w:hRule="atLeast"/>
        </w:trPr>
        <w:tc>
          <w:tcPr>
            <w:tcW w:w="986" w:type="dxa"/>
          </w:tcPr>
          <w:p>
            <w:pPr>
              <w:pStyle w:val="TableParagraph"/>
              <w:spacing w:line="176" w:lineRule="exact"/>
              <w:ind w:left="222"/>
              <w:jc w:val="left"/>
              <w:rPr>
                <w:sz w:val="16"/>
              </w:rPr>
            </w:pPr>
            <w:r>
              <w:rPr>
                <w:sz w:val="16"/>
              </w:rPr>
              <w:t>WCH-27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142.25</w:t>
            </w:r>
          </w:p>
        </w:tc>
        <w:tc>
          <w:tcPr>
            <w:tcW w:w="1440" w:type="dxa"/>
          </w:tcPr>
          <w:p>
            <w:pPr>
              <w:pStyle w:val="TableParagraph"/>
              <w:spacing w:line="176" w:lineRule="exact"/>
              <w:ind w:left="89" w:right="83"/>
              <w:rPr>
                <w:sz w:val="16"/>
              </w:rPr>
            </w:pPr>
            <w:r>
              <w:rPr>
                <w:sz w:val="16"/>
              </w:rPr>
              <w:t>0.23</w:t>
            </w:r>
          </w:p>
        </w:tc>
        <w:tc>
          <w:tcPr>
            <w:tcW w:w="1366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93" w:hRule="atLeast"/>
        </w:trPr>
        <w:tc>
          <w:tcPr>
            <w:tcW w:w="986" w:type="dxa"/>
            <w:shd w:val="clear" w:color="auto" w:fill="D8E1F2"/>
          </w:tcPr>
          <w:p>
            <w:pPr>
              <w:pStyle w:val="TableParagraph"/>
              <w:ind w:left="222"/>
              <w:jc w:val="left"/>
              <w:rPr>
                <w:sz w:val="16"/>
              </w:rPr>
            </w:pPr>
            <w:r>
              <w:rPr>
                <w:sz w:val="16"/>
              </w:rPr>
              <w:t>WCH-28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143.50</w:t>
            </w:r>
          </w:p>
        </w:tc>
        <w:tc>
          <w:tcPr>
            <w:tcW w:w="1440" w:type="dxa"/>
            <w:shd w:val="clear" w:color="auto" w:fill="D8E1F2"/>
          </w:tcPr>
          <w:p>
            <w:pPr>
              <w:pStyle w:val="TableParagraph"/>
              <w:ind w:left="89" w:right="83"/>
              <w:rPr>
                <w:sz w:val="16"/>
              </w:rPr>
            </w:pPr>
            <w:r>
              <w:rPr>
                <w:sz w:val="16"/>
              </w:rPr>
              <w:t>0.22</w:t>
            </w:r>
          </w:p>
        </w:tc>
        <w:tc>
          <w:tcPr>
            <w:tcW w:w="1366" w:type="dxa"/>
            <w:shd w:val="clear" w:color="auto" w:fill="D8E1F2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96" w:hRule="atLeast"/>
        </w:trPr>
        <w:tc>
          <w:tcPr>
            <w:tcW w:w="986" w:type="dxa"/>
          </w:tcPr>
          <w:p>
            <w:pPr>
              <w:pStyle w:val="TableParagraph"/>
              <w:spacing w:line="176" w:lineRule="exact"/>
              <w:ind w:left="237"/>
              <w:jc w:val="left"/>
              <w:rPr>
                <w:sz w:val="16"/>
              </w:rPr>
            </w:pPr>
            <w:r>
              <w:rPr>
                <w:sz w:val="16"/>
              </w:rPr>
              <w:t>Wch-45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145.17</w:t>
            </w:r>
          </w:p>
        </w:tc>
        <w:tc>
          <w:tcPr>
            <w:tcW w:w="1440" w:type="dxa"/>
          </w:tcPr>
          <w:p>
            <w:pPr>
              <w:pStyle w:val="TableParagraph"/>
              <w:spacing w:line="176" w:lineRule="exact"/>
              <w:ind w:left="89" w:right="83"/>
              <w:rPr>
                <w:sz w:val="16"/>
              </w:rPr>
            </w:pPr>
            <w:r>
              <w:rPr>
                <w:sz w:val="16"/>
              </w:rPr>
              <w:t>0.22</w:t>
            </w:r>
          </w:p>
        </w:tc>
        <w:tc>
          <w:tcPr>
            <w:tcW w:w="1366" w:type="dxa"/>
          </w:tcPr>
          <w:p>
            <w:pPr>
              <w:pStyle w:val="TableParagraph"/>
              <w:spacing w:line="176" w:lineRule="exact"/>
              <w:ind w:left="537"/>
              <w:jc w:val="left"/>
              <w:rPr>
                <w:sz w:val="16"/>
              </w:rPr>
            </w:pPr>
            <w:r>
              <w:rPr>
                <w:sz w:val="16"/>
              </w:rPr>
              <w:t>0.15</w:t>
            </w:r>
          </w:p>
        </w:tc>
      </w:tr>
      <w:tr>
        <w:trPr>
          <w:trHeight w:val="194" w:hRule="atLeast"/>
        </w:trPr>
        <w:tc>
          <w:tcPr>
            <w:tcW w:w="986" w:type="dxa"/>
            <w:shd w:val="clear" w:color="auto" w:fill="D8E1F2"/>
          </w:tcPr>
          <w:p>
            <w:pPr>
              <w:pStyle w:val="TableParagraph"/>
              <w:ind w:left="222"/>
              <w:jc w:val="left"/>
              <w:rPr>
                <w:sz w:val="16"/>
              </w:rPr>
            </w:pPr>
            <w:r>
              <w:rPr>
                <w:sz w:val="16"/>
              </w:rPr>
              <w:t>WCH-29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146.00</w:t>
            </w:r>
          </w:p>
        </w:tc>
        <w:tc>
          <w:tcPr>
            <w:tcW w:w="1440" w:type="dxa"/>
            <w:shd w:val="clear" w:color="auto" w:fill="D8E1F2"/>
          </w:tcPr>
          <w:p>
            <w:pPr>
              <w:pStyle w:val="TableParagraph"/>
              <w:ind w:left="89" w:right="83"/>
              <w:rPr>
                <w:sz w:val="16"/>
              </w:rPr>
            </w:pPr>
            <w:r>
              <w:rPr>
                <w:sz w:val="16"/>
              </w:rPr>
              <w:t>0.20</w:t>
            </w:r>
          </w:p>
        </w:tc>
        <w:tc>
          <w:tcPr>
            <w:tcW w:w="1366" w:type="dxa"/>
            <w:shd w:val="clear" w:color="auto" w:fill="D8E1F2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96" w:hRule="atLeast"/>
        </w:trPr>
        <w:tc>
          <w:tcPr>
            <w:tcW w:w="986" w:type="dxa"/>
          </w:tcPr>
          <w:p>
            <w:pPr>
              <w:pStyle w:val="TableParagraph"/>
              <w:spacing w:line="175" w:lineRule="exact" w:before="1"/>
              <w:ind w:left="222"/>
              <w:jc w:val="left"/>
              <w:rPr>
                <w:sz w:val="16"/>
              </w:rPr>
            </w:pPr>
            <w:r>
              <w:rPr>
                <w:sz w:val="16"/>
              </w:rPr>
              <w:t>WCH-30</w:t>
            </w:r>
          </w:p>
        </w:tc>
        <w:tc>
          <w:tcPr>
            <w:tcW w:w="900" w:type="dxa"/>
          </w:tcPr>
          <w:p>
            <w:pPr>
              <w:pStyle w:val="TableParagraph"/>
              <w:spacing w:line="175" w:lineRule="exact" w:before="1"/>
              <w:ind w:right="84"/>
              <w:rPr>
                <w:sz w:val="16"/>
              </w:rPr>
            </w:pPr>
            <w:r>
              <w:rPr>
                <w:sz w:val="16"/>
              </w:rPr>
              <w:t>147.08</w:t>
            </w:r>
          </w:p>
        </w:tc>
        <w:tc>
          <w:tcPr>
            <w:tcW w:w="1440" w:type="dxa"/>
          </w:tcPr>
          <w:p>
            <w:pPr>
              <w:pStyle w:val="TableParagraph"/>
              <w:spacing w:line="175" w:lineRule="exact" w:before="1"/>
              <w:ind w:left="89" w:right="83"/>
              <w:rPr>
                <w:sz w:val="16"/>
              </w:rPr>
            </w:pPr>
            <w:r>
              <w:rPr>
                <w:sz w:val="16"/>
              </w:rPr>
              <w:t>0.20</w:t>
            </w:r>
          </w:p>
        </w:tc>
        <w:tc>
          <w:tcPr>
            <w:tcW w:w="1366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96" w:hRule="atLeast"/>
        </w:trPr>
        <w:tc>
          <w:tcPr>
            <w:tcW w:w="986" w:type="dxa"/>
            <w:shd w:val="clear" w:color="auto" w:fill="D8E1F2"/>
          </w:tcPr>
          <w:p>
            <w:pPr>
              <w:pStyle w:val="TableParagraph"/>
              <w:spacing w:line="176" w:lineRule="exact"/>
              <w:ind w:left="222"/>
              <w:jc w:val="left"/>
              <w:rPr>
                <w:sz w:val="16"/>
              </w:rPr>
            </w:pPr>
            <w:r>
              <w:rPr>
                <w:sz w:val="16"/>
              </w:rPr>
              <w:t>WCH-31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149.25</w:t>
            </w:r>
          </w:p>
        </w:tc>
        <w:tc>
          <w:tcPr>
            <w:tcW w:w="1440" w:type="dxa"/>
            <w:shd w:val="clear" w:color="auto" w:fill="D8E1F2"/>
          </w:tcPr>
          <w:p>
            <w:pPr>
              <w:pStyle w:val="TableParagraph"/>
              <w:spacing w:line="176" w:lineRule="exact"/>
              <w:ind w:left="89" w:right="83"/>
              <w:rPr>
                <w:sz w:val="16"/>
              </w:rPr>
            </w:pPr>
            <w:r>
              <w:rPr>
                <w:sz w:val="16"/>
              </w:rPr>
              <w:t>0.18</w:t>
            </w:r>
          </w:p>
        </w:tc>
        <w:tc>
          <w:tcPr>
            <w:tcW w:w="1366" w:type="dxa"/>
            <w:shd w:val="clear" w:color="auto" w:fill="D8E1F2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94" w:hRule="atLeast"/>
        </w:trPr>
        <w:tc>
          <w:tcPr>
            <w:tcW w:w="986" w:type="dxa"/>
          </w:tcPr>
          <w:p>
            <w:pPr>
              <w:pStyle w:val="TableParagraph"/>
              <w:ind w:left="237"/>
              <w:jc w:val="left"/>
              <w:rPr>
                <w:sz w:val="16"/>
              </w:rPr>
            </w:pPr>
            <w:r>
              <w:rPr>
                <w:sz w:val="16"/>
              </w:rPr>
              <w:t>Wch-46</w:t>
            </w:r>
          </w:p>
        </w:tc>
        <w:tc>
          <w:tcPr>
            <w:tcW w:w="900" w:type="dxa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153.58</w:t>
            </w:r>
          </w:p>
        </w:tc>
        <w:tc>
          <w:tcPr>
            <w:tcW w:w="1440" w:type="dxa"/>
          </w:tcPr>
          <w:p>
            <w:pPr>
              <w:pStyle w:val="TableParagraph"/>
              <w:ind w:left="89" w:right="83"/>
              <w:rPr>
                <w:sz w:val="16"/>
              </w:rPr>
            </w:pPr>
            <w:r>
              <w:rPr>
                <w:sz w:val="16"/>
              </w:rPr>
              <w:t>0.31</w:t>
            </w:r>
          </w:p>
        </w:tc>
        <w:tc>
          <w:tcPr>
            <w:tcW w:w="1366" w:type="dxa"/>
          </w:tcPr>
          <w:p>
            <w:pPr>
              <w:pStyle w:val="TableParagraph"/>
              <w:ind w:left="537"/>
              <w:jc w:val="left"/>
              <w:rPr>
                <w:sz w:val="16"/>
              </w:rPr>
            </w:pPr>
            <w:r>
              <w:rPr>
                <w:sz w:val="16"/>
              </w:rPr>
              <w:t>0.24</w:t>
            </w:r>
          </w:p>
        </w:tc>
      </w:tr>
      <w:tr>
        <w:trPr>
          <w:trHeight w:val="196" w:hRule="atLeast"/>
        </w:trPr>
        <w:tc>
          <w:tcPr>
            <w:tcW w:w="986" w:type="dxa"/>
            <w:shd w:val="clear" w:color="auto" w:fill="D8E1F2"/>
          </w:tcPr>
          <w:p>
            <w:pPr>
              <w:pStyle w:val="TableParagraph"/>
              <w:spacing w:line="176" w:lineRule="exact"/>
              <w:ind w:left="237"/>
              <w:jc w:val="left"/>
              <w:rPr>
                <w:sz w:val="16"/>
              </w:rPr>
            </w:pPr>
            <w:r>
              <w:rPr>
                <w:sz w:val="16"/>
              </w:rPr>
              <w:t>Wch-47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160.17</w:t>
            </w:r>
          </w:p>
        </w:tc>
        <w:tc>
          <w:tcPr>
            <w:tcW w:w="1440" w:type="dxa"/>
            <w:shd w:val="clear" w:color="auto" w:fill="D8E1F2"/>
          </w:tcPr>
          <w:p>
            <w:pPr>
              <w:pStyle w:val="TableParagraph"/>
              <w:spacing w:line="176" w:lineRule="exact"/>
              <w:ind w:left="89" w:right="83"/>
              <w:rPr>
                <w:sz w:val="16"/>
              </w:rPr>
            </w:pPr>
            <w:r>
              <w:rPr>
                <w:sz w:val="16"/>
              </w:rPr>
              <w:t>0.36</w:t>
            </w:r>
          </w:p>
        </w:tc>
        <w:tc>
          <w:tcPr>
            <w:tcW w:w="1366" w:type="dxa"/>
            <w:shd w:val="clear" w:color="auto" w:fill="D8E1F2"/>
          </w:tcPr>
          <w:p>
            <w:pPr>
              <w:pStyle w:val="TableParagraph"/>
              <w:spacing w:line="176" w:lineRule="exact"/>
              <w:ind w:left="537"/>
              <w:jc w:val="left"/>
              <w:rPr>
                <w:sz w:val="16"/>
              </w:rPr>
            </w:pPr>
            <w:r>
              <w:rPr>
                <w:sz w:val="16"/>
              </w:rPr>
              <w:t>0.29</w:t>
            </w:r>
          </w:p>
        </w:tc>
      </w:tr>
      <w:tr>
        <w:trPr>
          <w:trHeight w:val="194" w:hRule="atLeast"/>
        </w:trPr>
        <w:tc>
          <w:tcPr>
            <w:tcW w:w="986" w:type="dxa"/>
          </w:tcPr>
          <w:p>
            <w:pPr>
              <w:pStyle w:val="TableParagraph"/>
              <w:ind w:left="237"/>
              <w:jc w:val="left"/>
              <w:rPr>
                <w:sz w:val="16"/>
              </w:rPr>
            </w:pPr>
            <w:r>
              <w:rPr>
                <w:sz w:val="16"/>
              </w:rPr>
              <w:t>Wch-48</w:t>
            </w:r>
          </w:p>
        </w:tc>
        <w:tc>
          <w:tcPr>
            <w:tcW w:w="900" w:type="dxa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160.83</w:t>
            </w:r>
          </w:p>
        </w:tc>
        <w:tc>
          <w:tcPr>
            <w:tcW w:w="1440" w:type="dxa"/>
          </w:tcPr>
          <w:p>
            <w:pPr>
              <w:pStyle w:val="TableParagraph"/>
              <w:ind w:left="89" w:right="83"/>
              <w:rPr>
                <w:sz w:val="16"/>
              </w:rPr>
            </w:pPr>
            <w:r>
              <w:rPr>
                <w:sz w:val="16"/>
              </w:rPr>
              <w:t>0.42</w:t>
            </w:r>
          </w:p>
        </w:tc>
        <w:tc>
          <w:tcPr>
            <w:tcW w:w="1366" w:type="dxa"/>
          </w:tcPr>
          <w:p>
            <w:pPr>
              <w:pStyle w:val="TableParagraph"/>
              <w:ind w:left="537"/>
              <w:jc w:val="left"/>
              <w:rPr>
                <w:sz w:val="16"/>
              </w:rPr>
            </w:pPr>
            <w:r>
              <w:rPr>
                <w:sz w:val="16"/>
              </w:rPr>
              <w:t>0.35</w:t>
            </w:r>
          </w:p>
        </w:tc>
      </w:tr>
      <w:tr>
        <w:trPr>
          <w:trHeight w:val="196" w:hRule="atLeast"/>
        </w:trPr>
        <w:tc>
          <w:tcPr>
            <w:tcW w:w="986" w:type="dxa"/>
            <w:shd w:val="clear" w:color="auto" w:fill="D8E1F2"/>
          </w:tcPr>
          <w:p>
            <w:pPr>
              <w:pStyle w:val="TableParagraph"/>
              <w:spacing w:line="176" w:lineRule="exact"/>
              <w:ind w:left="237"/>
              <w:jc w:val="left"/>
              <w:rPr>
                <w:sz w:val="16"/>
              </w:rPr>
            </w:pPr>
            <w:r>
              <w:rPr>
                <w:sz w:val="16"/>
              </w:rPr>
              <w:t>Wch-49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169.33</w:t>
            </w:r>
          </w:p>
        </w:tc>
        <w:tc>
          <w:tcPr>
            <w:tcW w:w="1440" w:type="dxa"/>
            <w:shd w:val="clear" w:color="auto" w:fill="D8E1F2"/>
          </w:tcPr>
          <w:p>
            <w:pPr>
              <w:pStyle w:val="TableParagraph"/>
              <w:spacing w:line="176" w:lineRule="exact"/>
              <w:ind w:left="89" w:right="83"/>
              <w:rPr>
                <w:sz w:val="16"/>
              </w:rPr>
            </w:pPr>
            <w:r>
              <w:rPr>
                <w:sz w:val="16"/>
              </w:rPr>
              <w:t>0.42</w:t>
            </w:r>
          </w:p>
        </w:tc>
        <w:tc>
          <w:tcPr>
            <w:tcW w:w="1366" w:type="dxa"/>
            <w:shd w:val="clear" w:color="auto" w:fill="D8E1F2"/>
          </w:tcPr>
          <w:p>
            <w:pPr>
              <w:pStyle w:val="TableParagraph"/>
              <w:spacing w:line="176" w:lineRule="exact"/>
              <w:ind w:left="537"/>
              <w:jc w:val="left"/>
              <w:rPr>
                <w:sz w:val="16"/>
              </w:rPr>
            </w:pPr>
            <w:r>
              <w:rPr>
                <w:sz w:val="16"/>
              </w:rPr>
              <w:t>0.33</w:t>
            </w:r>
          </w:p>
        </w:tc>
      </w:tr>
      <w:tr>
        <w:trPr>
          <w:trHeight w:val="193" w:hRule="atLeast"/>
        </w:trPr>
        <w:tc>
          <w:tcPr>
            <w:tcW w:w="986" w:type="dxa"/>
          </w:tcPr>
          <w:p>
            <w:pPr>
              <w:pStyle w:val="TableParagraph"/>
              <w:ind w:left="237"/>
              <w:jc w:val="left"/>
              <w:rPr>
                <w:sz w:val="16"/>
              </w:rPr>
            </w:pPr>
            <w:r>
              <w:rPr>
                <w:sz w:val="16"/>
              </w:rPr>
              <w:t>Wch-50</w:t>
            </w:r>
          </w:p>
        </w:tc>
        <w:tc>
          <w:tcPr>
            <w:tcW w:w="900" w:type="dxa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170.92</w:t>
            </w:r>
          </w:p>
        </w:tc>
        <w:tc>
          <w:tcPr>
            <w:tcW w:w="1440" w:type="dxa"/>
          </w:tcPr>
          <w:p>
            <w:pPr>
              <w:pStyle w:val="TableParagraph"/>
              <w:ind w:left="89" w:right="83"/>
              <w:rPr>
                <w:sz w:val="16"/>
              </w:rPr>
            </w:pPr>
            <w:r>
              <w:rPr>
                <w:sz w:val="16"/>
              </w:rPr>
              <w:t>0.47</w:t>
            </w:r>
          </w:p>
        </w:tc>
        <w:tc>
          <w:tcPr>
            <w:tcW w:w="1366" w:type="dxa"/>
          </w:tcPr>
          <w:p>
            <w:pPr>
              <w:pStyle w:val="TableParagraph"/>
              <w:ind w:left="537"/>
              <w:jc w:val="left"/>
              <w:rPr>
                <w:sz w:val="16"/>
              </w:rPr>
            </w:pPr>
            <w:r>
              <w:rPr>
                <w:sz w:val="16"/>
              </w:rPr>
              <w:t>0.38</w:t>
            </w:r>
          </w:p>
        </w:tc>
      </w:tr>
      <w:tr>
        <w:trPr>
          <w:trHeight w:val="196" w:hRule="atLeast"/>
        </w:trPr>
        <w:tc>
          <w:tcPr>
            <w:tcW w:w="986" w:type="dxa"/>
            <w:shd w:val="clear" w:color="auto" w:fill="D8E1F2"/>
          </w:tcPr>
          <w:p>
            <w:pPr>
              <w:pStyle w:val="TableParagraph"/>
              <w:spacing w:line="176" w:lineRule="exact"/>
              <w:ind w:left="237"/>
              <w:jc w:val="left"/>
              <w:rPr>
                <w:sz w:val="16"/>
              </w:rPr>
            </w:pPr>
            <w:r>
              <w:rPr>
                <w:sz w:val="16"/>
              </w:rPr>
              <w:t>Wch-51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172.00</w:t>
            </w:r>
          </w:p>
        </w:tc>
        <w:tc>
          <w:tcPr>
            <w:tcW w:w="1440" w:type="dxa"/>
            <w:shd w:val="clear" w:color="auto" w:fill="D8E1F2"/>
          </w:tcPr>
          <w:p>
            <w:pPr>
              <w:pStyle w:val="TableParagraph"/>
              <w:spacing w:line="176" w:lineRule="exact"/>
              <w:ind w:left="89" w:right="83"/>
              <w:rPr>
                <w:sz w:val="16"/>
              </w:rPr>
            </w:pPr>
            <w:r>
              <w:rPr>
                <w:sz w:val="16"/>
              </w:rPr>
              <w:t>0.62</w:t>
            </w:r>
          </w:p>
        </w:tc>
        <w:tc>
          <w:tcPr>
            <w:tcW w:w="1366" w:type="dxa"/>
            <w:shd w:val="clear" w:color="auto" w:fill="D8E1F2"/>
          </w:tcPr>
          <w:p>
            <w:pPr>
              <w:pStyle w:val="TableParagraph"/>
              <w:spacing w:line="176" w:lineRule="exact"/>
              <w:ind w:left="537"/>
              <w:jc w:val="left"/>
              <w:rPr>
                <w:sz w:val="16"/>
              </w:rPr>
            </w:pPr>
            <w:r>
              <w:rPr>
                <w:sz w:val="16"/>
              </w:rPr>
              <w:t>0.49</w:t>
            </w:r>
          </w:p>
        </w:tc>
      </w:tr>
      <w:tr>
        <w:trPr>
          <w:trHeight w:val="193" w:hRule="atLeast"/>
        </w:trPr>
        <w:tc>
          <w:tcPr>
            <w:tcW w:w="986" w:type="dxa"/>
          </w:tcPr>
          <w:p>
            <w:pPr>
              <w:pStyle w:val="TableParagraph"/>
              <w:ind w:left="237"/>
              <w:jc w:val="left"/>
              <w:rPr>
                <w:sz w:val="16"/>
              </w:rPr>
            </w:pPr>
            <w:r>
              <w:rPr>
                <w:sz w:val="16"/>
              </w:rPr>
              <w:t>Wch-52</w:t>
            </w:r>
          </w:p>
        </w:tc>
        <w:tc>
          <w:tcPr>
            <w:tcW w:w="900" w:type="dxa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172.42</w:t>
            </w:r>
          </w:p>
        </w:tc>
        <w:tc>
          <w:tcPr>
            <w:tcW w:w="1440" w:type="dxa"/>
          </w:tcPr>
          <w:p>
            <w:pPr>
              <w:pStyle w:val="TableParagraph"/>
              <w:ind w:left="89" w:right="83"/>
              <w:rPr>
                <w:sz w:val="16"/>
              </w:rPr>
            </w:pPr>
            <w:r>
              <w:rPr>
                <w:sz w:val="16"/>
              </w:rPr>
              <w:t>1.35</w:t>
            </w:r>
          </w:p>
        </w:tc>
        <w:tc>
          <w:tcPr>
            <w:tcW w:w="1366" w:type="dxa"/>
          </w:tcPr>
          <w:p>
            <w:pPr>
              <w:pStyle w:val="TableParagraph"/>
              <w:ind w:left="537"/>
              <w:jc w:val="left"/>
              <w:rPr>
                <w:sz w:val="16"/>
              </w:rPr>
            </w:pPr>
            <w:r>
              <w:rPr>
                <w:sz w:val="16"/>
              </w:rPr>
              <w:t>0.65</w:t>
            </w:r>
          </w:p>
        </w:tc>
      </w:tr>
      <w:tr>
        <w:trPr>
          <w:trHeight w:val="196" w:hRule="atLeast"/>
        </w:trPr>
        <w:tc>
          <w:tcPr>
            <w:tcW w:w="986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237"/>
              <w:jc w:val="left"/>
              <w:rPr>
                <w:sz w:val="16"/>
              </w:rPr>
            </w:pPr>
            <w:r>
              <w:rPr>
                <w:sz w:val="16"/>
              </w:rPr>
              <w:t>Wch-53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right="84"/>
              <w:rPr>
                <w:sz w:val="16"/>
              </w:rPr>
            </w:pPr>
            <w:r>
              <w:rPr>
                <w:sz w:val="16"/>
              </w:rPr>
              <w:t>173.83</w:t>
            </w:r>
          </w:p>
        </w:tc>
        <w:tc>
          <w:tcPr>
            <w:tcW w:w="1440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89" w:right="83"/>
              <w:rPr>
                <w:sz w:val="16"/>
              </w:rPr>
            </w:pPr>
            <w:r>
              <w:rPr>
                <w:sz w:val="16"/>
              </w:rPr>
              <w:t>1.26</w:t>
            </w:r>
          </w:p>
        </w:tc>
        <w:tc>
          <w:tcPr>
            <w:tcW w:w="1366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537"/>
              <w:jc w:val="left"/>
              <w:rPr>
                <w:sz w:val="16"/>
              </w:rPr>
            </w:pPr>
            <w:r>
              <w:rPr>
                <w:sz w:val="16"/>
              </w:rPr>
              <w:t>1.19</w:t>
            </w:r>
          </w:p>
        </w:tc>
      </w:tr>
      <w:tr>
        <w:trPr>
          <w:trHeight w:val="194" w:hRule="atLeast"/>
        </w:trPr>
        <w:tc>
          <w:tcPr>
            <w:tcW w:w="986" w:type="dxa"/>
          </w:tcPr>
          <w:p>
            <w:pPr>
              <w:pStyle w:val="TableParagraph"/>
              <w:ind w:left="237"/>
              <w:jc w:val="left"/>
              <w:rPr>
                <w:sz w:val="16"/>
              </w:rPr>
            </w:pPr>
            <w:r>
              <w:rPr>
                <w:sz w:val="16"/>
              </w:rPr>
              <w:t>Wch-54</w:t>
            </w:r>
          </w:p>
        </w:tc>
        <w:tc>
          <w:tcPr>
            <w:tcW w:w="900" w:type="dxa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174.42</w:t>
            </w:r>
          </w:p>
        </w:tc>
        <w:tc>
          <w:tcPr>
            <w:tcW w:w="1440" w:type="dxa"/>
          </w:tcPr>
          <w:p>
            <w:pPr>
              <w:pStyle w:val="TableParagraph"/>
              <w:ind w:left="89" w:right="83"/>
              <w:rPr>
                <w:sz w:val="16"/>
              </w:rPr>
            </w:pPr>
            <w:r>
              <w:rPr>
                <w:sz w:val="16"/>
              </w:rPr>
              <w:t>1.09</w:t>
            </w:r>
          </w:p>
        </w:tc>
        <w:tc>
          <w:tcPr>
            <w:tcW w:w="1366" w:type="dxa"/>
          </w:tcPr>
          <w:p>
            <w:pPr>
              <w:pStyle w:val="TableParagraph"/>
              <w:ind w:left="537"/>
              <w:jc w:val="left"/>
              <w:rPr>
                <w:sz w:val="16"/>
              </w:rPr>
            </w:pPr>
            <w:r>
              <w:rPr>
                <w:sz w:val="16"/>
              </w:rPr>
              <w:t>0.99</w:t>
            </w:r>
          </w:p>
        </w:tc>
      </w:tr>
      <w:tr>
        <w:trPr>
          <w:trHeight w:val="196" w:hRule="atLeast"/>
        </w:trPr>
        <w:tc>
          <w:tcPr>
            <w:tcW w:w="986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237"/>
              <w:jc w:val="left"/>
              <w:rPr>
                <w:sz w:val="16"/>
              </w:rPr>
            </w:pPr>
            <w:r>
              <w:rPr>
                <w:sz w:val="16"/>
              </w:rPr>
              <w:t>Wch-32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right="84"/>
              <w:rPr>
                <w:sz w:val="16"/>
              </w:rPr>
            </w:pPr>
            <w:r>
              <w:rPr>
                <w:sz w:val="16"/>
              </w:rPr>
              <w:t>181.92</w:t>
            </w:r>
          </w:p>
        </w:tc>
        <w:tc>
          <w:tcPr>
            <w:tcW w:w="1440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89" w:right="83"/>
              <w:rPr>
                <w:sz w:val="16"/>
              </w:rPr>
            </w:pPr>
            <w:r>
              <w:rPr>
                <w:sz w:val="16"/>
              </w:rPr>
              <w:t>2.49</w:t>
            </w:r>
          </w:p>
        </w:tc>
        <w:tc>
          <w:tcPr>
            <w:tcW w:w="1366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537"/>
              <w:jc w:val="left"/>
              <w:rPr>
                <w:sz w:val="16"/>
              </w:rPr>
            </w:pPr>
            <w:r>
              <w:rPr>
                <w:sz w:val="16"/>
              </w:rPr>
              <w:t>1.54</w:t>
            </w:r>
          </w:p>
        </w:tc>
      </w:tr>
      <w:tr>
        <w:trPr>
          <w:trHeight w:val="196" w:hRule="atLeast"/>
        </w:trPr>
        <w:tc>
          <w:tcPr>
            <w:tcW w:w="986" w:type="dxa"/>
          </w:tcPr>
          <w:p>
            <w:pPr>
              <w:pStyle w:val="TableParagraph"/>
              <w:spacing w:line="176" w:lineRule="exact"/>
              <w:ind w:left="237"/>
              <w:jc w:val="left"/>
              <w:rPr>
                <w:sz w:val="16"/>
              </w:rPr>
            </w:pPr>
            <w:r>
              <w:rPr>
                <w:sz w:val="16"/>
              </w:rPr>
              <w:t>Wch-33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185.92</w:t>
            </w:r>
          </w:p>
        </w:tc>
        <w:tc>
          <w:tcPr>
            <w:tcW w:w="1440" w:type="dxa"/>
          </w:tcPr>
          <w:p>
            <w:pPr>
              <w:pStyle w:val="TableParagraph"/>
              <w:spacing w:line="176" w:lineRule="exact"/>
              <w:ind w:left="89" w:right="83"/>
              <w:rPr>
                <w:sz w:val="16"/>
              </w:rPr>
            </w:pPr>
            <w:r>
              <w:rPr>
                <w:sz w:val="16"/>
              </w:rPr>
              <w:t>1.78</w:t>
            </w:r>
          </w:p>
        </w:tc>
        <w:tc>
          <w:tcPr>
            <w:tcW w:w="1366" w:type="dxa"/>
          </w:tcPr>
          <w:p>
            <w:pPr>
              <w:pStyle w:val="TableParagraph"/>
              <w:spacing w:line="176" w:lineRule="exact"/>
              <w:ind w:left="537"/>
              <w:jc w:val="left"/>
              <w:rPr>
                <w:sz w:val="16"/>
              </w:rPr>
            </w:pPr>
            <w:r>
              <w:rPr>
                <w:sz w:val="16"/>
              </w:rPr>
              <w:t>0.63</w:t>
            </w:r>
          </w:p>
        </w:tc>
      </w:tr>
    </w:tbl>
    <w:p>
      <w:pPr>
        <w:spacing w:after="0" w:line="176" w:lineRule="exact"/>
        <w:jc w:val="left"/>
        <w:rPr>
          <w:sz w:val="16"/>
        </w:rPr>
        <w:sectPr>
          <w:footerReference w:type="default" r:id="rId72"/>
          <w:pgSz w:w="12240" w:h="15840"/>
          <w:pgMar w:footer="1014" w:header="0" w:top="1440" w:bottom="1200" w:left="1320" w:right="820"/>
        </w:sectPr>
      </w:pPr>
    </w:p>
    <w:tbl>
      <w:tblPr>
        <w:tblW w:w="0" w:type="auto"/>
        <w:jc w:val="left"/>
        <w:tblInd w:w="2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6"/>
        <w:gridCol w:w="900"/>
        <w:gridCol w:w="1440"/>
        <w:gridCol w:w="1366"/>
      </w:tblGrid>
      <w:tr>
        <w:trPr>
          <w:trHeight w:val="196" w:hRule="atLeast"/>
        </w:trPr>
        <w:tc>
          <w:tcPr>
            <w:tcW w:w="986" w:type="dxa"/>
            <w:shd w:val="clear" w:color="auto" w:fill="D8E1F2"/>
          </w:tcPr>
          <w:p>
            <w:pPr>
              <w:pStyle w:val="TableParagraph"/>
              <w:spacing w:line="176" w:lineRule="exact"/>
              <w:ind w:left="218" w:right="211"/>
              <w:rPr>
                <w:sz w:val="16"/>
              </w:rPr>
            </w:pPr>
            <w:r>
              <w:rPr>
                <w:sz w:val="16"/>
              </w:rPr>
              <w:t>Wch-34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left="223"/>
              <w:jc w:val="left"/>
              <w:rPr>
                <w:sz w:val="16"/>
              </w:rPr>
            </w:pPr>
            <w:r>
              <w:rPr>
                <w:sz w:val="16"/>
              </w:rPr>
              <w:t>186.42</w:t>
            </w:r>
          </w:p>
        </w:tc>
        <w:tc>
          <w:tcPr>
            <w:tcW w:w="1440" w:type="dxa"/>
            <w:shd w:val="clear" w:color="auto" w:fill="D8E1F2"/>
          </w:tcPr>
          <w:p>
            <w:pPr>
              <w:pStyle w:val="TableParagraph"/>
              <w:spacing w:line="176" w:lineRule="exact"/>
              <w:ind w:left="89" w:right="83"/>
              <w:rPr>
                <w:sz w:val="16"/>
              </w:rPr>
            </w:pPr>
            <w:r>
              <w:rPr>
                <w:sz w:val="16"/>
              </w:rPr>
              <w:t>2.05</w:t>
            </w:r>
          </w:p>
        </w:tc>
        <w:tc>
          <w:tcPr>
            <w:tcW w:w="1366" w:type="dxa"/>
            <w:shd w:val="clear" w:color="auto" w:fill="D8E1F2"/>
          </w:tcPr>
          <w:p>
            <w:pPr>
              <w:pStyle w:val="TableParagraph"/>
              <w:spacing w:line="176" w:lineRule="exact"/>
              <w:ind w:left="537"/>
              <w:jc w:val="left"/>
              <w:rPr>
                <w:sz w:val="16"/>
              </w:rPr>
            </w:pPr>
            <w:r>
              <w:rPr>
                <w:sz w:val="16"/>
              </w:rPr>
              <w:t>1.43</w:t>
            </w:r>
          </w:p>
        </w:tc>
      </w:tr>
      <w:tr>
        <w:trPr>
          <w:trHeight w:val="193" w:hRule="atLeast"/>
        </w:trPr>
        <w:tc>
          <w:tcPr>
            <w:tcW w:w="986" w:type="dxa"/>
          </w:tcPr>
          <w:p>
            <w:pPr>
              <w:pStyle w:val="TableParagraph"/>
              <w:ind w:left="218" w:right="211"/>
              <w:rPr>
                <w:sz w:val="16"/>
              </w:rPr>
            </w:pPr>
            <w:r>
              <w:rPr>
                <w:sz w:val="16"/>
              </w:rPr>
              <w:t>Wch-35</w:t>
            </w:r>
          </w:p>
        </w:tc>
        <w:tc>
          <w:tcPr>
            <w:tcW w:w="900" w:type="dxa"/>
          </w:tcPr>
          <w:p>
            <w:pPr>
              <w:pStyle w:val="TableParagraph"/>
              <w:ind w:left="223"/>
              <w:jc w:val="left"/>
              <w:rPr>
                <w:sz w:val="16"/>
              </w:rPr>
            </w:pPr>
            <w:r>
              <w:rPr>
                <w:sz w:val="16"/>
              </w:rPr>
              <w:t>187.75</w:t>
            </w:r>
          </w:p>
        </w:tc>
        <w:tc>
          <w:tcPr>
            <w:tcW w:w="1440" w:type="dxa"/>
          </w:tcPr>
          <w:p>
            <w:pPr>
              <w:pStyle w:val="TableParagraph"/>
              <w:ind w:left="89" w:right="83"/>
              <w:rPr>
                <w:sz w:val="16"/>
              </w:rPr>
            </w:pPr>
            <w:r>
              <w:rPr>
                <w:sz w:val="16"/>
              </w:rPr>
              <w:t>1.02</w:t>
            </w:r>
          </w:p>
        </w:tc>
        <w:tc>
          <w:tcPr>
            <w:tcW w:w="1366" w:type="dxa"/>
          </w:tcPr>
          <w:p>
            <w:pPr>
              <w:pStyle w:val="TableParagraph"/>
              <w:ind w:left="537"/>
              <w:jc w:val="left"/>
              <w:rPr>
                <w:sz w:val="16"/>
              </w:rPr>
            </w:pPr>
            <w:r>
              <w:rPr>
                <w:sz w:val="16"/>
              </w:rPr>
              <w:t>0.76</w:t>
            </w:r>
          </w:p>
        </w:tc>
      </w:tr>
      <w:tr>
        <w:trPr>
          <w:trHeight w:val="196" w:hRule="atLeast"/>
        </w:trPr>
        <w:tc>
          <w:tcPr>
            <w:tcW w:w="986" w:type="dxa"/>
            <w:shd w:val="clear" w:color="auto" w:fill="D8E1F2"/>
          </w:tcPr>
          <w:p>
            <w:pPr>
              <w:pStyle w:val="TableParagraph"/>
              <w:spacing w:line="176" w:lineRule="exact"/>
              <w:ind w:left="218" w:right="211"/>
              <w:rPr>
                <w:sz w:val="16"/>
              </w:rPr>
            </w:pPr>
            <w:r>
              <w:rPr>
                <w:sz w:val="16"/>
              </w:rPr>
              <w:t>Wch-36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left="223"/>
              <w:jc w:val="left"/>
              <w:rPr>
                <w:sz w:val="16"/>
              </w:rPr>
            </w:pPr>
            <w:r>
              <w:rPr>
                <w:sz w:val="16"/>
              </w:rPr>
              <w:t>191.08</w:t>
            </w:r>
          </w:p>
        </w:tc>
        <w:tc>
          <w:tcPr>
            <w:tcW w:w="1440" w:type="dxa"/>
            <w:shd w:val="clear" w:color="auto" w:fill="D8E1F2"/>
          </w:tcPr>
          <w:p>
            <w:pPr>
              <w:pStyle w:val="TableParagraph"/>
              <w:spacing w:line="176" w:lineRule="exact"/>
              <w:ind w:left="89" w:right="83"/>
              <w:rPr>
                <w:sz w:val="16"/>
              </w:rPr>
            </w:pPr>
            <w:r>
              <w:rPr>
                <w:sz w:val="16"/>
              </w:rPr>
              <w:t>0.69</w:t>
            </w:r>
          </w:p>
        </w:tc>
        <w:tc>
          <w:tcPr>
            <w:tcW w:w="1366" w:type="dxa"/>
            <w:shd w:val="clear" w:color="auto" w:fill="D8E1F2"/>
          </w:tcPr>
          <w:p>
            <w:pPr>
              <w:pStyle w:val="TableParagraph"/>
              <w:spacing w:line="176" w:lineRule="exact"/>
              <w:ind w:left="537"/>
              <w:jc w:val="left"/>
              <w:rPr>
                <w:sz w:val="16"/>
              </w:rPr>
            </w:pPr>
            <w:r>
              <w:rPr>
                <w:sz w:val="16"/>
              </w:rPr>
              <w:t>0.61</w:t>
            </w:r>
          </w:p>
        </w:tc>
      </w:tr>
      <w:tr>
        <w:trPr>
          <w:trHeight w:val="194" w:hRule="atLeast"/>
        </w:trPr>
        <w:tc>
          <w:tcPr>
            <w:tcW w:w="986" w:type="dxa"/>
          </w:tcPr>
          <w:p>
            <w:pPr>
              <w:pStyle w:val="TableParagraph"/>
              <w:ind w:left="218" w:right="211"/>
              <w:rPr>
                <w:sz w:val="16"/>
              </w:rPr>
            </w:pPr>
            <w:r>
              <w:rPr>
                <w:sz w:val="16"/>
              </w:rPr>
              <w:t>Wch-55</w:t>
            </w:r>
          </w:p>
        </w:tc>
        <w:tc>
          <w:tcPr>
            <w:tcW w:w="900" w:type="dxa"/>
          </w:tcPr>
          <w:p>
            <w:pPr>
              <w:pStyle w:val="TableParagraph"/>
              <w:ind w:left="223"/>
              <w:jc w:val="left"/>
              <w:rPr>
                <w:sz w:val="16"/>
              </w:rPr>
            </w:pPr>
            <w:r>
              <w:rPr>
                <w:sz w:val="16"/>
              </w:rPr>
              <w:t>191.33</w:t>
            </w:r>
          </w:p>
        </w:tc>
        <w:tc>
          <w:tcPr>
            <w:tcW w:w="1440" w:type="dxa"/>
          </w:tcPr>
          <w:p>
            <w:pPr>
              <w:pStyle w:val="TableParagraph"/>
              <w:ind w:left="89" w:right="83"/>
              <w:rPr>
                <w:sz w:val="16"/>
              </w:rPr>
            </w:pPr>
            <w:r>
              <w:rPr>
                <w:sz w:val="16"/>
              </w:rPr>
              <w:t>1.20</w:t>
            </w:r>
          </w:p>
        </w:tc>
        <w:tc>
          <w:tcPr>
            <w:tcW w:w="1366" w:type="dxa"/>
          </w:tcPr>
          <w:p>
            <w:pPr>
              <w:pStyle w:val="TableParagraph"/>
              <w:ind w:left="537"/>
              <w:jc w:val="left"/>
              <w:rPr>
                <w:sz w:val="16"/>
              </w:rPr>
            </w:pPr>
            <w:r>
              <w:rPr>
                <w:sz w:val="16"/>
              </w:rPr>
              <w:t>1.00</w:t>
            </w:r>
          </w:p>
        </w:tc>
      </w:tr>
      <w:tr>
        <w:trPr>
          <w:trHeight w:val="196" w:hRule="atLeast"/>
        </w:trPr>
        <w:tc>
          <w:tcPr>
            <w:tcW w:w="986" w:type="dxa"/>
            <w:shd w:val="clear" w:color="auto" w:fill="D8E1F2"/>
          </w:tcPr>
          <w:p>
            <w:pPr>
              <w:pStyle w:val="TableParagraph"/>
              <w:spacing w:line="176" w:lineRule="exact"/>
              <w:ind w:left="218" w:right="211"/>
              <w:rPr>
                <w:sz w:val="16"/>
              </w:rPr>
            </w:pPr>
            <w:r>
              <w:rPr>
                <w:sz w:val="16"/>
              </w:rPr>
              <w:t>Wch-37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left="223"/>
              <w:jc w:val="left"/>
              <w:rPr>
                <w:sz w:val="16"/>
              </w:rPr>
            </w:pPr>
            <w:r>
              <w:rPr>
                <w:sz w:val="16"/>
              </w:rPr>
              <w:t>192.75</w:t>
            </w:r>
          </w:p>
        </w:tc>
        <w:tc>
          <w:tcPr>
            <w:tcW w:w="1440" w:type="dxa"/>
            <w:shd w:val="clear" w:color="auto" w:fill="D8E1F2"/>
          </w:tcPr>
          <w:p>
            <w:pPr>
              <w:pStyle w:val="TableParagraph"/>
              <w:spacing w:line="176" w:lineRule="exact"/>
              <w:ind w:left="89" w:right="83"/>
              <w:rPr>
                <w:sz w:val="16"/>
              </w:rPr>
            </w:pPr>
            <w:r>
              <w:rPr>
                <w:sz w:val="16"/>
              </w:rPr>
              <w:t>0.96</w:t>
            </w:r>
          </w:p>
        </w:tc>
        <w:tc>
          <w:tcPr>
            <w:tcW w:w="1366" w:type="dxa"/>
            <w:shd w:val="clear" w:color="auto" w:fill="D8E1F2"/>
          </w:tcPr>
          <w:p>
            <w:pPr>
              <w:pStyle w:val="TableParagraph"/>
              <w:spacing w:line="176" w:lineRule="exact"/>
              <w:ind w:left="537"/>
              <w:jc w:val="left"/>
              <w:rPr>
                <w:sz w:val="16"/>
              </w:rPr>
            </w:pPr>
            <w:r>
              <w:rPr>
                <w:sz w:val="16"/>
              </w:rPr>
              <w:t>0.56</w:t>
            </w:r>
          </w:p>
        </w:tc>
      </w:tr>
      <w:tr>
        <w:trPr>
          <w:trHeight w:val="194" w:hRule="atLeast"/>
        </w:trPr>
        <w:tc>
          <w:tcPr>
            <w:tcW w:w="986" w:type="dxa"/>
          </w:tcPr>
          <w:p>
            <w:pPr>
              <w:pStyle w:val="TableParagraph"/>
              <w:ind w:left="218" w:right="211"/>
              <w:rPr>
                <w:sz w:val="16"/>
              </w:rPr>
            </w:pPr>
            <w:r>
              <w:rPr>
                <w:sz w:val="16"/>
              </w:rPr>
              <w:t>Wch-38</w:t>
            </w:r>
          </w:p>
        </w:tc>
        <w:tc>
          <w:tcPr>
            <w:tcW w:w="900" w:type="dxa"/>
          </w:tcPr>
          <w:p>
            <w:pPr>
              <w:pStyle w:val="TableParagraph"/>
              <w:ind w:left="223"/>
              <w:jc w:val="left"/>
              <w:rPr>
                <w:sz w:val="16"/>
              </w:rPr>
            </w:pPr>
            <w:r>
              <w:rPr>
                <w:sz w:val="16"/>
              </w:rPr>
              <w:t>193.75</w:t>
            </w:r>
          </w:p>
        </w:tc>
        <w:tc>
          <w:tcPr>
            <w:tcW w:w="1440" w:type="dxa"/>
          </w:tcPr>
          <w:p>
            <w:pPr>
              <w:pStyle w:val="TableParagraph"/>
              <w:ind w:left="89" w:right="83"/>
              <w:rPr>
                <w:sz w:val="16"/>
              </w:rPr>
            </w:pPr>
            <w:r>
              <w:rPr>
                <w:sz w:val="16"/>
              </w:rPr>
              <w:t>1.66</w:t>
            </w:r>
          </w:p>
        </w:tc>
        <w:tc>
          <w:tcPr>
            <w:tcW w:w="1366" w:type="dxa"/>
          </w:tcPr>
          <w:p>
            <w:pPr>
              <w:pStyle w:val="TableParagraph"/>
              <w:ind w:left="537"/>
              <w:jc w:val="left"/>
              <w:rPr>
                <w:sz w:val="16"/>
              </w:rPr>
            </w:pPr>
            <w:r>
              <w:rPr>
                <w:sz w:val="16"/>
              </w:rPr>
              <w:t>1.59</w:t>
            </w:r>
          </w:p>
        </w:tc>
      </w:tr>
      <w:tr>
        <w:trPr>
          <w:trHeight w:val="196" w:hRule="atLeast"/>
        </w:trPr>
        <w:tc>
          <w:tcPr>
            <w:tcW w:w="986" w:type="dxa"/>
            <w:shd w:val="clear" w:color="auto" w:fill="D8E1F2"/>
          </w:tcPr>
          <w:p>
            <w:pPr>
              <w:pStyle w:val="TableParagraph"/>
              <w:spacing w:line="176" w:lineRule="exact"/>
              <w:ind w:left="218" w:right="211"/>
              <w:rPr>
                <w:sz w:val="16"/>
              </w:rPr>
            </w:pPr>
            <w:r>
              <w:rPr>
                <w:sz w:val="16"/>
              </w:rPr>
              <w:t>Wch-39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left="223"/>
              <w:jc w:val="left"/>
              <w:rPr>
                <w:sz w:val="16"/>
              </w:rPr>
            </w:pPr>
            <w:r>
              <w:rPr>
                <w:sz w:val="16"/>
              </w:rPr>
              <w:t>195.42</w:t>
            </w:r>
          </w:p>
        </w:tc>
        <w:tc>
          <w:tcPr>
            <w:tcW w:w="1440" w:type="dxa"/>
            <w:shd w:val="clear" w:color="auto" w:fill="D8E1F2"/>
          </w:tcPr>
          <w:p>
            <w:pPr>
              <w:pStyle w:val="TableParagraph"/>
              <w:spacing w:line="176" w:lineRule="exact"/>
              <w:ind w:left="89" w:right="83"/>
              <w:rPr>
                <w:sz w:val="16"/>
              </w:rPr>
            </w:pPr>
            <w:r>
              <w:rPr>
                <w:sz w:val="16"/>
              </w:rPr>
              <w:t>1.26</w:t>
            </w:r>
          </w:p>
        </w:tc>
        <w:tc>
          <w:tcPr>
            <w:tcW w:w="1366" w:type="dxa"/>
            <w:shd w:val="clear" w:color="auto" w:fill="D8E1F2"/>
          </w:tcPr>
          <w:p>
            <w:pPr>
              <w:pStyle w:val="TableParagraph"/>
              <w:spacing w:line="176" w:lineRule="exact"/>
              <w:ind w:left="537"/>
              <w:jc w:val="left"/>
              <w:rPr>
                <w:sz w:val="16"/>
              </w:rPr>
            </w:pPr>
            <w:r>
              <w:rPr>
                <w:sz w:val="16"/>
              </w:rPr>
              <w:t>1.12</w:t>
            </w:r>
          </w:p>
        </w:tc>
      </w:tr>
      <w:tr>
        <w:trPr>
          <w:trHeight w:val="194" w:hRule="atLeast"/>
        </w:trPr>
        <w:tc>
          <w:tcPr>
            <w:tcW w:w="986" w:type="dxa"/>
          </w:tcPr>
          <w:p>
            <w:pPr>
              <w:pStyle w:val="TableParagraph"/>
              <w:ind w:left="218" w:right="211"/>
              <w:rPr>
                <w:sz w:val="16"/>
              </w:rPr>
            </w:pPr>
            <w:r>
              <w:rPr>
                <w:sz w:val="16"/>
              </w:rPr>
              <w:t>Wch-56</w:t>
            </w:r>
          </w:p>
        </w:tc>
        <w:tc>
          <w:tcPr>
            <w:tcW w:w="900" w:type="dxa"/>
          </w:tcPr>
          <w:p>
            <w:pPr>
              <w:pStyle w:val="TableParagraph"/>
              <w:ind w:left="223"/>
              <w:jc w:val="left"/>
              <w:rPr>
                <w:sz w:val="16"/>
              </w:rPr>
            </w:pPr>
            <w:r>
              <w:rPr>
                <w:sz w:val="16"/>
              </w:rPr>
              <w:t>203.08</w:t>
            </w:r>
          </w:p>
        </w:tc>
        <w:tc>
          <w:tcPr>
            <w:tcW w:w="1440" w:type="dxa"/>
          </w:tcPr>
          <w:p>
            <w:pPr>
              <w:pStyle w:val="TableParagraph"/>
              <w:ind w:left="89" w:right="83"/>
              <w:rPr>
                <w:sz w:val="16"/>
              </w:rPr>
            </w:pPr>
            <w:r>
              <w:rPr>
                <w:sz w:val="16"/>
              </w:rPr>
              <w:t>1.27</w:t>
            </w:r>
          </w:p>
        </w:tc>
        <w:tc>
          <w:tcPr>
            <w:tcW w:w="1366" w:type="dxa"/>
          </w:tcPr>
          <w:p>
            <w:pPr>
              <w:pStyle w:val="TableParagraph"/>
              <w:ind w:left="537"/>
              <w:jc w:val="left"/>
              <w:rPr>
                <w:sz w:val="16"/>
              </w:rPr>
            </w:pPr>
            <w:r>
              <w:rPr>
                <w:sz w:val="16"/>
              </w:rPr>
              <w:t>1.12</w:t>
            </w:r>
          </w:p>
        </w:tc>
      </w:tr>
      <w:tr>
        <w:trPr>
          <w:trHeight w:val="196" w:hRule="atLeast"/>
        </w:trPr>
        <w:tc>
          <w:tcPr>
            <w:tcW w:w="986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218" w:right="211"/>
              <w:rPr>
                <w:sz w:val="16"/>
              </w:rPr>
            </w:pPr>
            <w:r>
              <w:rPr>
                <w:sz w:val="16"/>
              </w:rPr>
              <w:t>Wch-57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223"/>
              <w:jc w:val="left"/>
              <w:rPr>
                <w:sz w:val="16"/>
              </w:rPr>
            </w:pPr>
            <w:r>
              <w:rPr>
                <w:sz w:val="16"/>
              </w:rPr>
              <w:t>207.00</w:t>
            </w:r>
          </w:p>
        </w:tc>
        <w:tc>
          <w:tcPr>
            <w:tcW w:w="1440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89" w:right="83"/>
              <w:rPr>
                <w:sz w:val="16"/>
              </w:rPr>
            </w:pPr>
            <w:r>
              <w:rPr>
                <w:sz w:val="16"/>
              </w:rPr>
              <w:t>1.36</w:t>
            </w:r>
          </w:p>
        </w:tc>
        <w:tc>
          <w:tcPr>
            <w:tcW w:w="1366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537"/>
              <w:jc w:val="left"/>
              <w:rPr>
                <w:sz w:val="16"/>
              </w:rPr>
            </w:pPr>
            <w:r>
              <w:rPr>
                <w:sz w:val="16"/>
              </w:rPr>
              <w:t>1.21</w:t>
            </w:r>
          </w:p>
        </w:tc>
      </w:tr>
      <w:tr>
        <w:trPr>
          <w:trHeight w:val="196" w:hRule="atLeast"/>
        </w:trPr>
        <w:tc>
          <w:tcPr>
            <w:tcW w:w="986" w:type="dxa"/>
          </w:tcPr>
          <w:p>
            <w:pPr>
              <w:pStyle w:val="TableParagraph"/>
              <w:spacing w:line="176" w:lineRule="exact"/>
              <w:ind w:left="218" w:right="211"/>
              <w:rPr>
                <w:sz w:val="16"/>
              </w:rPr>
            </w:pPr>
            <w:r>
              <w:rPr>
                <w:sz w:val="16"/>
              </w:rPr>
              <w:t>Wch-58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left="223"/>
              <w:jc w:val="left"/>
              <w:rPr>
                <w:sz w:val="16"/>
              </w:rPr>
            </w:pPr>
            <w:r>
              <w:rPr>
                <w:sz w:val="16"/>
              </w:rPr>
              <w:t>209.92</w:t>
            </w:r>
          </w:p>
        </w:tc>
        <w:tc>
          <w:tcPr>
            <w:tcW w:w="1440" w:type="dxa"/>
          </w:tcPr>
          <w:p>
            <w:pPr>
              <w:pStyle w:val="TableParagraph"/>
              <w:spacing w:line="176" w:lineRule="exact"/>
              <w:ind w:left="89" w:right="83"/>
              <w:rPr>
                <w:sz w:val="16"/>
              </w:rPr>
            </w:pPr>
            <w:r>
              <w:rPr>
                <w:sz w:val="16"/>
              </w:rPr>
              <w:t>0.89</w:t>
            </w:r>
          </w:p>
        </w:tc>
        <w:tc>
          <w:tcPr>
            <w:tcW w:w="1366" w:type="dxa"/>
          </w:tcPr>
          <w:p>
            <w:pPr>
              <w:pStyle w:val="TableParagraph"/>
              <w:spacing w:line="176" w:lineRule="exact"/>
              <w:ind w:left="537"/>
              <w:jc w:val="left"/>
              <w:rPr>
                <w:sz w:val="16"/>
              </w:rPr>
            </w:pPr>
            <w:r>
              <w:rPr>
                <w:sz w:val="16"/>
              </w:rPr>
              <w:t>1.67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9"/>
        </w:rPr>
      </w:pPr>
    </w:p>
    <w:p>
      <w:pPr>
        <w:spacing w:before="0"/>
        <w:ind w:left="120" w:right="0" w:firstLine="0"/>
        <w:jc w:val="left"/>
        <w:rPr>
          <w:sz w:val="22"/>
        </w:rPr>
      </w:pPr>
      <w:r>
        <w:rPr>
          <w:sz w:val="22"/>
        </w:rPr>
        <w:t>Table</w:t>
      </w:r>
      <w:r>
        <w:rPr>
          <w:spacing w:val="-1"/>
          <w:sz w:val="22"/>
        </w:rPr>
        <w:t> </w:t>
      </w:r>
      <w:r>
        <w:rPr>
          <w:sz w:val="22"/>
        </w:rPr>
        <w:t>4.</w:t>
      </w:r>
      <w:r>
        <w:rPr>
          <w:spacing w:val="-3"/>
          <w:sz w:val="22"/>
        </w:rPr>
        <w:t> </w:t>
      </w:r>
      <w:r>
        <w:rPr>
          <w:sz w:val="22"/>
        </w:rPr>
        <w:t>Porphyrin</w:t>
      </w:r>
      <w:r>
        <w:rPr>
          <w:spacing w:val="-2"/>
          <w:sz w:val="22"/>
        </w:rPr>
        <w:t> </w:t>
      </w:r>
      <w:r>
        <w:rPr>
          <w:sz w:val="22"/>
        </w:rPr>
        <w:t>sums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each</w:t>
      </w:r>
      <w:r>
        <w:rPr>
          <w:spacing w:val="-2"/>
          <w:sz w:val="22"/>
        </w:rPr>
        <w:t> </w:t>
      </w:r>
      <w:r>
        <w:rPr>
          <w:sz w:val="22"/>
        </w:rPr>
        <w:t>class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compound. BiCAP,</w:t>
      </w:r>
      <w:r>
        <w:rPr>
          <w:spacing w:val="-2"/>
          <w:sz w:val="22"/>
        </w:rPr>
        <w:t> </w:t>
      </w:r>
      <w:r>
        <w:rPr>
          <w:sz w:val="22"/>
        </w:rPr>
        <w:t>DPEP,</w:t>
      </w:r>
      <w:r>
        <w:rPr>
          <w:spacing w:val="-2"/>
          <w:sz w:val="22"/>
        </w:rPr>
        <w:t> </w:t>
      </w:r>
      <w:r>
        <w:rPr>
          <w:sz w:val="22"/>
        </w:rPr>
        <w:t>and</w:t>
      </w:r>
      <w:r>
        <w:rPr>
          <w:spacing w:val="-2"/>
          <w:sz w:val="22"/>
        </w:rPr>
        <w:t> </w:t>
      </w:r>
      <w:r>
        <w:rPr>
          <w:sz w:val="22"/>
        </w:rPr>
        <w:t>ETIO</w:t>
      </w:r>
      <w:r>
        <w:rPr>
          <w:spacing w:val="-3"/>
          <w:sz w:val="22"/>
        </w:rPr>
        <w:t> </w:t>
      </w:r>
      <w:r>
        <w:rPr>
          <w:sz w:val="22"/>
        </w:rPr>
        <w:t>reported</w:t>
      </w:r>
      <w:r>
        <w:rPr>
          <w:spacing w:val="-1"/>
          <w:sz w:val="22"/>
        </w:rPr>
        <w:t> </w:t>
      </w:r>
      <w:r>
        <w:rPr>
          <w:sz w:val="22"/>
        </w:rPr>
        <w:t>in</w:t>
      </w:r>
      <w:r>
        <w:rPr>
          <w:spacing w:val="-2"/>
          <w:sz w:val="22"/>
        </w:rPr>
        <w:t> </w:t>
      </w:r>
      <w:r>
        <w:rPr>
          <w:sz w:val="22"/>
        </w:rPr>
        <w:t>ng/g</w:t>
      </w:r>
      <w:r>
        <w:rPr>
          <w:spacing w:val="-2"/>
          <w:sz w:val="22"/>
        </w:rPr>
        <w:t> </w:t>
      </w:r>
      <w:r>
        <w:rPr>
          <w:sz w:val="22"/>
        </w:rPr>
        <w:t>OC</w:t>
      </w:r>
    </w:p>
    <w:p>
      <w:pPr>
        <w:pStyle w:val="BodyText"/>
        <w:spacing w:before="5"/>
        <w:rPr>
          <w:sz w:val="16"/>
        </w:rPr>
      </w:pPr>
    </w:p>
    <w:tbl>
      <w:tblPr>
        <w:tblW w:w="0" w:type="auto"/>
        <w:jc w:val="left"/>
        <w:tblInd w:w="1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6"/>
        <w:gridCol w:w="900"/>
        <w:gridCol w:w="900"/>
        <w:gridCol w:w="900"/>
        <w:gridCol w:w="900"/>
        <w:gridCol w:w="900"/>
        <w:gridCol w:w="900"/>
        <w:gridCol w:w="900"/>
      </w:tblGrid>
      <w:tr>
        <w:trPr>
          <w:trHeight w:val="390" w:hRule="atLeast"/>
        </w:trPr>
        <w:tc>
          <w:tcPr>
            <w:tcW w:w="806" w:type="dxa"/>
            <w:shd w:val="clear" w:color="auto" w:fill="4472C3"/>
          </w:tcPr>
          <w:p>
            <w:pPr>
              <w:pStyle w:val="TableParagraph"/>
              <w:spacing w:line="240" w:lineRule="auto"/>
              <w:ind w:left="0"/>
              <w:jc w:val="left"/>
              <w:rPr>
                <w:sz w:val="16"/>
              </w:rPr>
            </w:pPr>
          </w:p>
          <w:p>
            <w:pPr>
              <w:pStyle w:val="TableParagraph"/>
              <w:spacing w:line="175" w:lineRule="exact"/>
              <w:ind w:left="0" w:right="196"/>
              <w:jc w:val="righ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Sample</w:t>
            </w:r>
          </w:p>
        </w:tc>
        <w:tc>
          <w:tcPr>
            <w:tcW w:w="900" w:type="dxa"/>
            <w:shd w:val="clear" w:color="auto" w:fill="4472C3"/>
          </w:tcPr>
          <w:p>
            <w:pPr>
              <w:pStyle w:val="TableParagraph"/>
              <w:spacing w:line="240" w:lineRule="auto"/>
              <w:ind w:left="0"/>
              <w:jc w:val="left"/>
              <w:rPr>
                <w:sz w:val="16"/>
              </w:rPr>
            </w:pPr>
          </w:p>
          <w:p>
            <w:pPr>
              <w:pStyle w:val="TableParagraph"/>
              <w:spacing w:line="175" w:lineRule="exact"/>
              <w:ind w:left="70" w:right="95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Depth</w:t>
            </w:r>
            <w:r>
              <w:rPr>
                <w:b/>
                <w:color w:val="FFFFFF"/>
                <w:spacing w:val="-2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(ft)</w:t>
            </w:r>
          </w:p>
        </w:tc>
        <w:tc>
          <w:tcPr>
            <w:tcW w:w="900" w:type="dxa"/>
            <w:shd w:val="clear" w:color="auto" w:fill="4472C3"/>
          </w:tcPr>
          <w:p>
            <w:pPr>
              <w:pStyle w:val="TableParagraph"/>
              <w:spacing w:line="194" w:lineRule="exact"/>
              <w:ind w:left="105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VO-BiCAP</w:t>
            </w:r>
          </w:p>
          <w:p>
            <w:pPr>
              <w:pStyle w:val="TableParagraph"/>
              <w:spacing w:line="175" w:lineRule="exact" w:before="1"/>
              <w:ind w:left="105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(ng/g OC)</w:t>
            </w:r>
          </w:p>
        </w:tc>
        <w:tc>
          <w:tcPr>
            <w:tcW w:w="900" w:type="dxa"/>
            <w:shd w:val="clear" w:color="auto" w:fill="4472C3"/>
          </w:tcPr>
          <w:p>
            <w:pPr>
              <w:pStyle w:val="TableParagraph"/>
              <w:spacing w:line="194" w:lineRule="exact"/>
              <w:ind w:left="105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Ni-BiCAP</w:t>
            </w:r>
          </w:p>
          <w:p>
            <w:pPr>
              <w:pStyle w:val="TableParagraph"/>
              <w:spacing w:line="175" w:lineRule="exact" w:before="1"/>
              <w:ind w:left="105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(ng/g OC)</w:t>
            </w:r>
          </w:p>
        </w:tc>
        <w:tc>
          <w:tcPr>
            <w:tcW w:w="900" w:type="dxa"/>
            <w:shd w:val="clear" w:color="auto" w:fill="4472C3"/>
          </w:tcPr>
          <w:p>
            <w:pPr>
              <w:pStyle w:val="TableParagraph"/>
              <w:spacing w:line="194" w:lineRule="exact"/>
              <w:ind w:left="105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VO-DPEP</w:t>
            </w:r>
          </w:p>
          <w:p>
            <w:pPr>
              <w:pStyle w:val="TableParagraph"/>
              <w:spacing w:line="175" w:lineRule="exact" w:before="1"/>
              <w:ind w:left="105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(ng/g OC)</w:t>
            </w:r>
          </w:p>
        </w:tc>
        <w:tc>
          <w:tcPr>
            <w:tcW w:w="900" w:type="dxa"/>
            <w:shd w:val="clear" w:color="auto" w:fill="4472C3"/>
          </w:tcPr>
          <w:p>
            <w:pPr>
              <w:pStyle w:val="TableParagraph"/>
              <w:spacing w:line="194" w:lineRule="exact"/>
              <w:ind w:left="105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Ni-DPEP</w:t>
            </w:r>
          </w:p>
          <w:p>
            <w:pPr>
              <w:pStyle w:val="TableParagraph"/>
              <w:spacing w:line="175" w:lineRule="exact" w:before="1"/>
              <w:ind w:left="105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(ng/g OC)</w:t>
            </w:r>
          </w:p>
        </w:tc>
        <w:tc>
          <w:tcPr>
            <w:tcW w:w="900" w:type="dxa"/>
            <w:shd w:val="clear" w:color="auto" w:fill="4472C3"/>
          </w:tcPr>
          <w:p>
            <w:pPr>
              <w:pStyle w:val="TableParagraph"/>
              <w:spacing w:line="194" w:lineRule="exact"/>
              <w:ind w:left="105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VO-ETIO</w:t>
            </w:r>
          </w:p>
          <w:p>
            <w:pPr>
              <w:pStyle w:val="TableParagraph"/>
              <w:spacing w:line="175" w:lineRule="exact" w:before="1"/>
              <w:ind w:left="105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(ng/g OC)</w:t>
            </w:r>
          </w:p>
        </w:tc>
        <w:tc>
          <w:tcPr>
            <w:tcW w:w="900" w:type="dxa"/>
            <w:shd w:val="clear" w:color="auto" w:fill="4472C3"/>
          </w:tcPr>
          <w:p>
            <w:pPr>
              <w:pStyle w:val="TableParagraph"/>
              <w:spacing w:line="194" w:lineRule="exact"/>
              <w:ind w:left="105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Ni-ETIO</w:t>
            </w:r>
          </w:p>
          <w:p>
            <w:pPr>
              <w:pStyle w:val="TableParagraph"/>
              <w:spacing w:line="175" w:lineRule="exact" w:before="1"/>
              <w:ind w:left="105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(ng/g OC)</w:t>
            </w:r>
          </w:p>
        </w:tc>
      </w:tr>
      <w:tr>
        <w:trPr>
          <w:trHeight w:val="196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spacing w:line="176" w:lineRule="exact"/>
              <w:ind w:left="0" w:right="160"/>
              <w:jc w:val="right"/>
              <w:rPr>
                <w:sz w:val="16"/>
              </w:rPr>
            </w:pPr>
            <w:r>
              <w:rPr>
                <w:sz w:val="16"/>
              </w:rPr>
              <w:t>WCH-1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74.00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30.91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400.62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left="0" w:right="257"/>
              <w:jc w:val="right"/>
              <w:rPr>
                <w:sz w:val="16"/>
              </w:rPr>
            </w:pPr>
            <w:r>
              <w:rPr>
                <w:sz w:val="16"/>
              </w:rPr>
              <w:t>69.86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1226.78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12.00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left="182"/>
              <w:jc w:val="left"/>
              <w:rPr>
                <w:sz w:val="16"/>
              </w:rPr>
            </w:pPr>
            <w:r>
              <w:rPr>
                <w:sz w:val="16"/>
              </w:rPr>
              <w:t>1468.88</w:t>
            </w:r>
          </w:p>
        </w:tc>
      </w:tr>
      <w:tr>
        <w:trPr>
          <w:trHeight w:val="194" w:hRule="atLeast"/>
        </w:trPr>
        <w:tc>
          <w:tcPr>
            <w:tcW w:w="806" w:type="dxa"/>
          </w:tcPr>
          <w:p>
            <w:pPr>
              <w:pStyle w:val="TableParagraph"/>
              <w:ind w:left="0" w:right="160"/>
              <w:jc w:val="right"/>
              <w:rPr>
                <w:sz w:val="16"/>
              </w:rPr>
            </w:pPr>
            <w:r>
              <w:rPr>
                <w:sz w:val="16"/>
              </w:rPr>
              <w:t>WCH-2</w:t>
            </w:r>
          </w:p>
        </w:tc>
        <w:tc>
          <w:tcPr>
            <w:tcW w:w="900" w:type="dxa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75.50</w:t>
            </w:r>
          </w:p>
        </w:tc>
        <w:tc>
          <w:tcPr>
            <w:tcW w:w="900" w:type="dxa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122.58</w:t>
            </w:r>
          </w:p>
        </w:tc>
        <w:tc>
          <w:tcPr>
            <w:tcW w:w="900" w:type="dxa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1318.49</w:t>
            </w:r>
          </w:p>
        </w:tc>
        <w:tc>
          <w:tcPr>
            <w:tcW w:w="900" w:type="dxa"/>
          </w:tcPr>
          <w:p>
            <w:pPr>
              <w:pStyle w:val="TableParagraph"/>
              <w:ind w:left="0" w:right="217"/>
              <w:jc w:val="right"/>
              <w:rPr>
                <w:sz w:val="16"/>
              </w:rPr>
            </w:pPr>
            <w:r>
              <w:rPr>
                <w:sz w:val="16"/>
              </w:rPr>
              <w:t>180.32</w:t>
            </w:r>
          </w:p>
        </w:tc>
        <w:tc>
          <w:tcPr>
            <w:tcW w:w="900" w:type="dxa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4040.24</w:t>
            </w:r>
          </w:p>
        </w:tc>
        <w:tc>
          <w:tcPr>
            <w:tcW w:w="900" w:type="dxa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25.89</w:t>
            </w:r>
          </w:p>
        </w:tc>
        <w:tc>
          <w:tcPr>
            <w:tcW w:w="900" w:type="dxa"/>
          </w:tcPr>
          <w:p>
            <w:pPr>
              <w:pStyle w:val="TableParagraph"/>
              <w:ind w:left="182"/>
              <w:jc w:val="left"/>
              <w:rPr>
                <w:sz w:val="16"/>
              </w:rPr>
            </w:pPr>
            <w:r>
              <w:rPr>
                <w:sz w:val="16"/>
              </w:rPr>
              <w:t>4147.96</w:t>
            </w:r>
          </w:p>
        </w:tc>
      </w:tr>
      <w:tr>
        <w:trPr>
          <w:trHeight w:val="196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spacing w:line="176" w:lineRule="exact"/>
              <w:ind w:left="0" w:right="160"/>
              <w:jc w:val="right"/>
              <w:rPr>
                <w:sz w:val="16"/>
              </w:rPr>
            </w:pPr>
            <w:r>
              <w:rPr>
                <w:sz w:val="16"/>
              </w:rPr>
              <w:t>WCH-3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77.08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108.69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510.34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left="0" w:right="217"/>
              <w:jc w:val="right"/>
              <w:rPr>
                <w:sz w:val="16"/>
              </w:rPr>
            </w:pPr>
            <w:r>
              <w:rPr>
                <w:sz w:val="16"/>
              </w:rPr>
              <w:t>124.78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1952.99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30.54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left="182"/>
              <w:jc w:val="left"/>
              <w:rPr>
                <w:sz w:val="16"/>
              </w:rPr>
            </w:pPr>
            <w:r>
              <w:rPr>
                <w:sz w:val="16"/>
              </w:rPr>
              <w:t>2686.11</w:t>
            </w:r>
          </w:p>
        </w:tc>
      </w:tr>
      <w:tr>
        <w:trPr>
          <w:trHeight w:val="194" w:hRule="atLeast"/>
        </w:trPr>
        <w:tc>
          <w:tcPr>
            <w:tcW w:w="806" w:type="dxa"/>
          </w:tcPr>
          <w:p>
            <w:pPr>
              <w:pStyle w:val="TableParagraph"/>
              <w:ind w:left="0" w:right="160"/>
              <w:jc w:val="right"/>
              <w:rPr>
                <w:sz w:val="16"/>
              </w:rPr>
            </w:pPr>
            <w:r>
              <w:rPr>
                <w:sz w:val="16"/>
              </w:rPr>
              <w:t>WCH-4</w:t>
            </w:r>
          </w:p>
        </w:tc>
        <w:tc>
          <w:tcPr>
            <w:tcW w:w="900" w:type="dxa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78.00</w:t>
            </w:r>
          </w:p>
        </w:tc>
        <w:tc>
          <w:tcPr>
            <w:tcW w:w="900" w:type="dxa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91.87</w:t>
            </w:r>
          </w:p>
        </w:tc>
        <w:tc>
          <w:tcPr>
            <w:tcW w:w="900" w:type="dxa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1422.44</w:t>
            </w:r>
          </w:p>
        </w:tc>
        <w:tc>
          <w:tcPr>
            <w:tcW w:w="900" w:type="dxa"/>
          </w:tcPr>
          <w:p>
            <w:pPr>
              <w:pStyle w:val="TableParagraph"/>
              <w:ind w:left="0" w:right="217"/>
              <w:jc w:val="right"/>
              <w:rPr>
                <w:sz w:val="16"/>
              </w:rPr>
            </w:pPr>
            <w:r>
              <w:rPr>
                <w:sz w:val="16"/>
              </w:rPr>
              <w:t>166.34</w:t>
            </w:r>
          </w:p>
        </w:tc>
        <w:tc>
          <w:tcPr>
            <w:tcW w:w="900" w:type="dxa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4850.82</w:t>
            </w:r>
          </w:p>
        </w:tc>
        <w:tc>
          <w:tcPr>
            <w:tcW w:w="900" w:type="dxa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21.04</w:t>
            </w:r>
          </w:p>
        </w:tc>
        <w:tc>
          <w:tcPr>
            <w:tcW w:w="900" w:type="dxa"/>
          </w:tcPr>
          <w:p>
            <w:pPr>
              <w:pStyle w:val="TableParagraph"/>
              <w:ind w:left="182"/>
              <w:jc w:val="left"/>
              <w:rPr>
                <w:sz w:val="16"/>
              </w:rPr>
            </w:pPr>
            <w:r>
              <w:rPr>
                <w:sz w:val="16"/>
              </w:rPr>
              <w:t>4256.90</w:t>
            </w:r>
          </w:p>
        </w:tc>
      </w:tr>
      <w:tr>
        <w:trPr>
          <w:trHeight w:val="196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0" w:right="160"/>
              <w:jc w:val="right"/>
              <w:rPr>
                <w:sz w:val="16"/>
              </w:rPr>
            </w:pPr>
            <w:r>
              <w:rPr>
                <w:sz w:val="16"/>
              </w:rPr>
              <w:t>WCH-5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right="84"/>
              <w:rPr>
                <w:sz w:val="16"/>
              </w:rPr>
            </w:pPr>
            <w:r>
              <w:rPr>
                <w:sz w:val="16"/>
              </w:rPr>
              <w:t>79.67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right="84"/>
              <w:rPr>
                <w:sz w:val="16"/>
              </w:rPr>
            </w:pPr>
            <w:r>
              <w:rPr>
                <w:sz w:val="16"/>
              </w:rPr>
              <w:t>294.61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right="84"/>
              <w:rPr>
                <w:sz w:val="16"/>
              </w:rPr>
            </w:pPr>
            <w:r>
              <w:rPr>
                <w:sz w:val="16"/>
              </w:rPr>
              <w:t>1262.37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0" w:right="217"/>
              <w:jc w:val="right"/>
              <w:rPr>
                <w:sz w:val="16"/>
              </w:rPr>
            </w:pPr>
            <w:r>
              <w:rPr>
                <w:sz w:val="16"/>
              </w:rPr>
              <w:t>409.53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right="84"/>
              <w:rPr>
                <w:sz w:val="16"/>
              </w:rPr>
            </w:pPr>
            <w:r>
              <w:rPr>
                <w:sz w:val="16"/>
              </w:rPr>
              <w:t>2848.97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right="84"/>
              <w:rPr>
                <w:sz w:val="16"/>
              </w:rPr>
            </w:pPr>
            <w:r>
              <w:rPr>
                <w:sz w:val="16"/>
              </w:rPr>
              <w:t>80.44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182"/>
              <w:jc w:val="left"/>
              <w:rPr>
                <w:sz w:val="16"/>
              </w:rPr>
            </w:pPr>
            <w:r>
              <w:rPr>
                <w:sz w:val="16"/>
              </w:rPr>
              <w:t>3062.79</w:t>
            </w:r>
          </w:p>
        </w:tc>
      </w:tr>
      <w:tr>
        <w:trPr>
          <w:trHeight w:val="194" w:hRule="atLeast"/>
        </w:trPr>
        <w:tc>
          <w:tcPr>
            <w:tcW w:w="806" w:type="dxa"/>
          </w:tcPr>
          <w:p>
            <w:pPr>
              <w:pStyle w:val="TableParagraph"/>
              <w:ind w:left="0" w:right="160"/>
              <w:jc w:val="right"/>
              <w:rPr>
                <w:sz w:val="16"/>
              </w:rPr>
            </w:pPr>
            <w:r>
              <w:rPr>
                <w:sz w:val="16"/>
              </w:rPr>
              <w:t>WCH-6</w:t>
            </w:r>
          </w:p>
        </w:tc>
        <w:tc>
          <w:tcPr>
            <w:tcW w:w="900" w:type="dxa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80.67</w:t>
            </w:r>
          </w:p>
        </w:tc>
        <w:tc>
          <w:tcPr>
            <w:tcW w:w="900" w:type="dxa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197.12</w:t>
            </w:r>
          </w:p>
        </w:tc>
        <w:tc>
          <w:tcPr>
            <w:tcW w:w="900" w:type="dxa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373.60</w:t>
            </w:r>
          </w:p>
        </w:tc>
        <w:tc>
          <w:tcPr>
            <w:tcW w:w="900" w:type="dxa"/>
          </w:tcPr>
          <w:p>
            <w:pPr>
              <w:pStyle w:val="TableParagraph"/>
              <w:ind w:left="0" w:right="217"/>
              <w:jc w:val="right"/>
              <w:rPr>
                <w:sz w:val="16"/>
              </w:rPr>
            </w:pPr>
            <w:r>
              <w:rPr>
                <w:sz w:val="16"/>
              </w:rPr>
              <w:t>385.65</w:t>
            </w:r>
          </w:p>
        </w:tc>
        <w:tc>
          <w:tcPr>
            <w:tcW w:w="900" w:type="dxa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1525.06</w:t>
            </w:r>
          </w:p>
        </w:tc>
        <w:tc>
          <w:tcPr>
            <w:tcW w:w="900" w:type="dxa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71.86</w:t>
            </w:r>
          </w:p>
        </w:tc>
        <w:tc>
          <w:tcPr>
            <w:tcW w:w="900" w:type="dxa"/>
          </w:tcPr>
          <w:p>
            <w:pPr>
              <w:pStyle w:val="TableParagraph"/>
              <w:ind w:left="182"/>
              <w:jc w:val="left"/>
              <w:rPr>
                <w:sz w:val="16"/>
              </w:rPr>
            </w:pPr>
            <w:r>
              <w:rPr>
                <w:sz w:val="16"/>
              </w:rPr>
              <w:t>2101.18</w:t>
            </w:r>
          </w:p>
        </w:tc>
      </w:tr>
      <w:tr>
        <w:trPr>
          <w:trHeight w:val="196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0" w:right="160"/>
              <w:jc w:val="right"/>
              <w:rPr>
                <w:sz w:val="16"/>
              </w:rPr>
            </w:pPr>
            <w:r>
              <w:rPr>
                <w:sz w:val="16"/>
              </w:rPr>
              <w:t>WCH-7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right="84"/>
              <w:rPr>
                <w:sz w:val="16"/>
              </w:rPr>
            </w:pPr>
            <w:r>
              <w:rPr>
                <w:sz w:val="16"/>
              </w:rPr>
              <w:t>81.00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right="84"/>
              <w:rPr>
                <w:sz w:val="16"/>
              </w:rPr>
            </w:pPr>
            <w:r>
              <w:rPr>
                <w:sz w:val="16"/>
              </w:rPr>
              <w:t>748.08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right="84"/>
              <w:rPr>
                <w:sz w:val="16"/>
              </w:rPr>
            </w:pPr>
            <w:r>
              <w:rPr>
                <w:sz w:val="16"/>
              </w:rPr>
              <w:t>642.68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0" w:right="175"/>
              <w:jc w:val="right"/>
              <w:rPr>
                <w:sz w:val="16"/>
              </w:rPr>
            </w:pPr>
            <w:r>
              <w:rPr>
                <w:sz w:val="16"/>
              </w:rPr>
              <w:t>1040.04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right="84"/>
              <w:rPr>
                <w:sz w:val="16"/>
              </w:rPr>
            </w:pPr>
            <w:r>
              <w:rPr>
                <w:sz w:val="16"/>
              </w:rPr>
              <w:t>2442.31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right="84"/>
              <w:rPr>
                <w:sz w:val="16"/>
              </w:rPr>
            </w:pPr>
            <w:r>
              <w:rPr>
                <w:sz w:val="16"/>
              </w:rPr>
              <w:t>207.10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182"/>
              <w:jc w:val="left"/>
              <w:rPr>
                <w:sz w:val="16"/>
              </w:rPr>
            </w:pPr>
            <w:r>
              <w:rPr>
                <w:sz w:val="16"/>
              </w:rPr>
              <w:t>2614.80</w:t>
            </w: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6" w:lineRule="exact"/>
              <w:ind w:left="0" w:right="160"/>
              <w:jc w:val="right"/>
              <w:rPr>
                <w:sz w:val="16"/>
              </w:rPr>
            </w:pPr>
            <w:r>
              <w:rPr>
                <w:sz w:val="16"/>
              </w:rPr>
              <w:t>WCH-8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84.50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348.14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607.68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left="0" w:right="217"/>
              <w:jc w:val="right"/>
              <w:rPr>
                <w:sz w:val="16"/>
              </w:rPr>
            </w:pPr>
            <w:r>
              <w:rPr>
                <w:sz w:val="16"/>
              </w:rPr>
              <w:t>480.51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2478.33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99.43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left="182"/>
              <w:jc w:val="left"/>
              <w:rPr>
                <w:sz w:val="16"/>
              </w:rPr>
            </w:pPr>
            <w:r>
              <w:rPr>
                <w:sz w:val="16"/>
              </w:rPr>
              <w:t>2684.43</w:t>
            </w:r>
          </w:p>
        </w:tc>
      </w:tr>
      <w:tr>
        <w:trPr>
          <w:trHeight w:val="194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ind w:left="0" w:right="160"/>
              <w:jc w:val="right"/>
              <w:rPr>
                <w:sz w:val="16"/>
              </w:rPr>
            </w:pPr>
            <w:r>
              <w:rPr>
                <w:sz w:val="16"/>
              </w:rPr>
              <w:t>WCH-9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88.00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230.44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1039.07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left="0" w:right="217"/>
              <w:jc w:val="right"/>
              <w:rPr>
                <w:sz w:val="16"/>
              </w:rPr>
            </w:pPr>
            <w:r>
              <w:rPr>
                <w:sz w:val="16"/>
              </w:rPr>
              <w:t>322.65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3344.55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73.24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left="182"/>
              <w:jc w:val="left"/>
              <w:rPr>
                <w:sz w:val="16"/>
              </w:rPr>
            </w:pPr>
            <w:r>
              <w:rPr>
                <w:sz w:val="16"/>
              </w:rPr>
              <w:t>3458.51</w:t>
            </w: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6" w:lineRule="exact"/>
              <w:ind w:left="0" w:right="123"/>
              <w:jc w:val="right"/>
              <w:rPr>
                <w:sz w:val="16"/>
              </w:rPr>
            </w:pPr>
            <w:r>
              <w:rPr>
                <w:sz w:val="16"/>
              </w:rPr>
              <w:t>WCH-10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91.50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4515.86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210.00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left="0" w:right="175"/>
              <w:jc w:val="right"/>
              <w:rPr>
                <w:sz w:val="16"/>
              </w:rPr>
            </w:pPr>
            <w:r>
              <w:rPr>
                <w:sz w:val="16"/>
              </w:rPr>
              <w:t>5838.20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913.05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1369.90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left="182"/>
              <w:jc w:val="left"/>
              <w:rPr>
                <w:sz w:val="16"/>
              </w:rPr>
            </w:pPr>
            <w:r>
              <w:rPr>
                <w:sz w:val="16"/>
              </w:rPr>
              <w:t>1181.21</w:t>
            </w:r>
          </w:p>
        </w:tc>
      </w:tr>
      <w:tr>
        <w:trPr>
          <w:trHeight w:val="194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ind w:left="0" w:right="123"/>
              <w:jc w:val="right"/>
              <w:rPr>
                <w:sz w:val="16"/>
              </w:rPr>
            </w:pPr>
            <w:r>
              <w:rPr>
                <w:sz w:val="16"/>
              </w:rPr>
              <w:t>WCH-40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93.83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182.98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110.89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left="0" w:right="217"/>
              <w:jc w:val="right"/>
              <w:rPr>
                <w:sz w:val="16"/>
              </w:rPr>
            </w:pPr>
            <w:r>
              <w:rPr>
                <w:sz w:val="16"/>
              </w:rPr>
              <w:t>205.93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315.44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37.03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left="223"/>
              <w:jc w:val="left"/>
              <w:rPr>
                <w:sz w:val="16"/>
              </w:rPr>
            </w:pPr>
            <w:r>
              <w:rPr>
                <w:sz w:val="16"/>
              </w:rPr>
              <w:t>292.07</w:t>
            </w: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6" w:lineRule="exact"/>
              <w:ind w:left="0" w:right="123"/>
              <w:jc w:val="right"/>
              <w:rPr>
                <w:sz w:val="16"/>
              </w:rPr>
            </w:pPr>
            <w:r>
              <w:rPr>
                <w:sz w:val="16"/>
              </w:rPr>
              <w:t>WCH-11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94.33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2122.29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213.38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left="0" w:right="175"/>
              <w:jc w:val="right"/>
              <w:rPr>
                <w:sz w:val="16"/>
              </w:rPr>
            </w:pPr>
            <w:r>
              <w:rPr>
                <w:sz w:val="16"/>
              </w:rPr>
              <w:t>2193.37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1067.99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427.20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left="182"/>
              <w:jc w:val="left"/>
              <w:rPr>
                <w:sz w:val="16"/>
              </w:rPr>
            </w:pPr>
            <w:r>
              <w:rPr>
                <w:sz w:val="16"/>
              </w:rPr>
              <w:t>1454.81</w:t>
            </w:r>
          </w:p>
        </w:tc>
      </w:tr>
      <w:tr>
        <w:trPr>
          <w:trHeight w:val="194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ind w:left="0" w:right="123"/>
              <w:jc w:val="right"/>
              <w:rPr>
                <w:sz w:val="16"/>
              </w:rPr>
            </w:pPr>
            <w:r>
              <w:rPr>
                <w:sz w:val="16"/>
              </w:rPr>
              <w:t>WCH-12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98.00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174.88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55.27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left="0" w:right="217"/>
              <w:jc w:val="right"/>
              <w:rPr>
                <w:sz w:val="16"/>
              </w:rPr>
            </w:pPr>
            <w:r>
              <w:rPr>
                <w:sz w:val="16"/>
              </w:rPr>
              <w:t>231.65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548.04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47.74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left="223"/>
              <w:jc w:val="left"/>
              <w:rPr>
                <w:sz w:val="16"/>
              </w:rPr>
            </w:pPr>
            <w:r>
              <w:rPr>
                <w:sz w:val="16"/>
              </w:rPr>
              <w:t>959.32</w:t>
            </w: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6" w:lineRule="exact"/>
              <w:ind w:left="0" w:right="123"/>
              <w:jc w:val="right"/>
              <w:rPr>
                <w:sz w:val="16"/>
              </w:rPr>
            </w:pPr>
            <w:r>
              <w:rPr>
                <w:sz w:val="16"/>
              </w:rPr>
              <w:t>WCH-13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102.17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1275.46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143.80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left="0" w:right="175"/>
              <w:jc w:val="right"/>
              <w:rPr>
                <w:sz w:val="16"/>
              </w:rPr>
            </w:pPr>
            <w:r>
              <w:rPr>
                <w:sz w:val="16"/>
              </w:rPr>
              <w:t>1110.89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726.02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209.32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left="223"/>
              <w:jc w:val="left"/>
              <w:rPr>
                <w:sz w:val="16"/>
              </w:rPr>
            </w:pPr>
            <w:r>
              <w:rPr>
                <w:sz w:val="16"/>
              </w:rPr>
              <w:t>852.06</w:t>
            </w:r>
          </w:p>
        </w:tc>
      </w:tr>
      <w:tr>
        <w:trPr>
          <w:trHeight w:val="193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ind w:left="0" w:right="123"/>
              <w:jc w:val="right"/>
              <w:rPr>
                <w:sz w:val="16"/>
              </w:rPr>
            </w:pPr>
            <w:r>
              <w:rPr>
                <w:sz w:val="16"/>
              </w:rPr>
              <w:t>WCH-14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105.50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2197.96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167.94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left="0" w:right="175"/>
              <w:jc w:val="right"/>
              <w:rPr>
                <w:sz w:val="16"/>
              </w:rPr>
            </w:pPr>
            <w:r>
              <w:rPr>
                <w:sz w:val="16"/>
              </w:rPr>
              <w:t>1971.55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873.69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374.21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left="182"/>
              <w:jc w:val="left"/>
              <w:rPr>
                <w:sz w:val="16"/>
              </w:rPr>
            </w:pPr>
            <w:r>
              <w:rPr>
                <w:sz w:val="16"/>
              </w:rPr>
              <w:t>1085.00</w:t>
            </w: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5" w:lineRule="exact" w:before="1"/>
              <w:ind w:left="0" w:right="123"/>
              <w:jc w:val="right"/>
              <w:rPr>
                <w:sz w:val="16"/>
              </w:rPr>
            </w:pPr>
            <w:r>
              <w:rPr>
                <w:sz w:val="16"/>
              </w:rPr>
              <w:t>WCH-41</w:t>
            </w:r>
          </w:p>
        </w:tc>
        <w:tc>
          <w:tcPr>
            <w:tcW w:w="900" w:type="dxa"/>
          </w:tcPr>
          <w:p>
            <w:pPr>
              <w:pStyle w:val="TableParagraph"/>
              <w:spacing w:line="175" w:lineRule="exact" w:before="1"/>
              <w:ind w:right="84"/>
              <w:rPr>
                <w:sz w:val="16"/>
              </w:rPr>
            </w:pPr>
            <w:r>
              <w:rPr>
                <w:sz w:val="16"/>
              </w:rPr>
              <w:t>109.17</w:t>
            </w:r>
          </w:p>
        </w:tc>
        <w:tc>
          <w:tcPr>
            <w:tcW w:w="900" w:type="dxa"/>
          </w:tcPr>
          <w:p>
            <w:pPr>
              <w:pStyle w:val="TableParagraph"/>
              <w:spacing w:line="175" w:lineRule="exact" w:before="1"/>
              <w:ind w:right="84"/>
              <w:rPr>
                <w:sz w:val="16"/>
              </w:rPr>
            </w:pPr>
            <w:r>
              <w:rPr>
                <w:sz w:val="16"/>
              </w:rPr>
              <w:t>3524.59</w:t>
            </w:r>
          </w:p>
        </w:tc>
        <w:tc>
          <w:tcPr>
            <w:tcW w:w="900" w:type="dxa"/>
          </w:tcPr>
          <w:p>
            <w:pPr>
              <w:pStyle w:val="TableParagraph"/>
              <w:spacing w:line="175" w:lineRule="exact" w:before="1"/>
              <w:ind w:right="84"/>
              <w:rPr>
                <w:sz w:val="16"/>
              </w:rPr>
            </w:pPr>
            <w:r>
              <w:rPr>
                <w:sz w:val="16"/>
              </w:rPr>
              <w:t>492.90</w:t>
            </w:r>
          </w:p>
        </w:tc>
        <w:tc>
          <w:tcPr>
            <w:tcW w:w="900" w:type="dxa"/>
          </w:tcPr>
          <w:p>
            <w:pPr>
              <w:pStyle w:val="TableParagraph"/>
              <w:spacing w:line="175" w:lineRule="exact" w:before="1"/>
              <w:ind w:left="0" w:right="175"/>
              <w:jc w:val="right"/>
              <w:rPr>
                <w:sz w:val="16"/>
              </w:rPr>
            </w:pPr>
            <w:r>
              <w:rPr>
                <w:sz w:val="16"/>
              </w:rPr>
              <w:t>2799.63</w:t>
            </w:r>
          </w:p>
        </w:tc>
        <w:tc>
          <w:tcPr>
            <w:tcW w:w="900" w:type="dxa"/>
          </w:tcPr>
          <w:p>
            <w:pPr>
              <w:pStyle w:val="TableParagraph"/>
              <w:spacing w:line="175" w:lineRule="exact" w:before="1"/>
              <w:ind w:right="84"/>
              <w:rPr>
                <w:sz w:val="16"/>
              </w:rPr>
            </w:pPr>
            <w:r>
              <w:rPr>
                <w:sz w:val="16"/>
              </w:rPr>
              <w:t>1551.21</w:t>
            </w:r>
          </w:p>
        </w:tc>
        <w:tc>
          <w:tcPr>
            <w:tcW w:w="900" w:type="dxa"/>
          </w:tcPr>
          <w:p>
            <w:pPr>
              <w:pStyle w:val="TableParagraph"/>
              <w:spacing w:line="175" w:lineRule="exact" w:before="1"/>
              <w:ind w:right="84"/>
              <w:rPr>
                <w:sz w:val="16"/>
              </w:rPr>
            </w:pPr>
            <w:r>
              <w:rPr>
                <w:sz w:val="16"/>
              </w:rPr>
              <w:t>417.60</w:t>
            </w:r>
          </w:p>
        </w:tc>
        <w:tc>
          <w:tcPr>
            <w:tcW w:w="900" w:type="dxa"/>
          </w:tcPr>
          <w:p>
            <w:pPr>
              <w:pStyle w:val="TableParagraph"/>
              <w:spacing w:line="175" w:lineRule="exact" w:before="1"/>
              <w:ind w:left="182"/>
              <w:jc w:val="left"/>
              <w:rPr>
                <w:sz w:val="16"/>
              </w:rPr>
            </w:pPr>
            <w:r>
              <w:rPr>
                <w:sz w:val="16"/>
              </w:rPr>
              <w:t>1060.32</w:t>
            </w:r>
          </w:p>
        </w:tc>
      </w:tr>
      <w:tr>
        <w:trPr>
          <w:trHeight w:val="194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ind w:left="0" w:right="123"/>
              <w:jc w:val="right"/>
              <w:rPr>
                <w:sz w:val="16"/>
              </w:rPr>
            </w:pPr>
            <w:r>
              <w:rPr>
                <w:sz w:val="16"/>
              </w:rPr>
              <w:t>WCH-42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112.50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1332.84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110.35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left="0" w:right="175"/>
              <w:jc w:val="right"/>
              <w:rPr>
                <w:sz w:val="16"/>
              </w:rPr>
            </w:pPr>
            <w:r>
              <w:rPr>
                <w:sz w:val="16"/>
              </w:rPr>
              <w:t>1155.00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540.08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155.19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left="223"/>
              <w:jc w:val="left"/>
              <w:rPr>
                <w:sz w:val="16"/>
              </w:rPr>
            </w:pPr>
            <w:r>
              <w:rPr>
                <w:sz w:val="16"/>
              </w:rPr>
              <w:t>370.56</w:t>
            </w: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5" w:lineRule="exact" w:before="1"/>
              <w:ind w:left="0" w:right="123"/>
              <w:jc w:val="right"/>
              <w:rPr>
                <w:sz w:val="16"/>
              </w:rPr>
            </w:pPr>
            <w:r>
              <w:rPr>
                <w:sz w:val="16"/>
              </w:rPr>
              <w:t>WCH-15</w:t>
            </w:r>
          </w:p>
        </w:tc>
        <w:tc>
          <w:tcPr>
            <w:tcW w:w="900" w:type="dxa"/>
          </w:tcPr>
          <w:p>
            <w:pPr>
              <w:pStyle w:val="TableParagraph"/>
              <w:spacing w:line="175" w:lineRule="exact" w:before="1"/>
              <w:ind w:right="84"/>
              <w:rPr>
                <w:sz w:val="16"/>
              </w:rPr>
            </w:pPr>
            <w:r>
              <w:rPr>
                <w:sz w:val="16"/>
              </w:rPr>
              <w:t>115.00</w:t>
            </w:r>
          </w:p>
        </w:tc>
        <w:tc>
          <w:tcPr>
            <w:tcW w:w="900" w:type="dxa"/>
          </w:tcPr>
          <w:p>
            <w:pPr>
              <w:pStyle w:val="TableParagraph"/>
              <w:spacing w:line="175" w:lineRule="exact" w:before="1"/>
              <w:ind w:right="84"/>
              <w:rPr>
                <w:sz w:val="16"/>
              </w:rPr>
            </w:pPr>
            <w:r>
              <w:rPr>
                <w:sz w:val="16"/>
              </w:rPr>
              <w:t>1527.55</w:t>
            </w:r>
          </w:p>
        </w:tc>
        <w:tc>
          <w:tcPr>
            <w:tcW w:w="900" w:type="dxa"/>
          </w:tcPr>
          <w:p>
            <w:pPr>
              <w:pStyle w:val="TableParagraph"/>
              <w:spacing w:line="175" w:lineRule="exact" w:before="1"/>
              <w:ind w:right="84"/>
              <w:rPr>
                <w:sz w:val="16"/>
              </w:rPr>
            </w:pPr>
            <w:r>
              <w:rPr>
                <w:sz w:val="16"/>
              </w:rPr>
              <w:t>240.01</w:t>
            </w:r>
          </w:p>
        </w:tc>
        <w:tc>
          <w:tcPr>
            <w:tcW w:w="900" w:type="dxa"/>
          </w:tcPr>
          <w:p>
            <w:pPr>
              <w:pStyle w:val="TableParagraph"/>
              <w:spacing w:line="175" w:lineRule="exact" w:before="1"/>
              <w:ind w:left="0" w:right="175"/>
              <w:jc w:val="right"/>
              <w:rPr>
                <w:sz w:val="16"/>
              </w:rPr>
            </w:pPr>
            <w:r>
              <w:rPr>
                <w:sz w:val="16"/>
              </w:rPr>
              <w:t>1154.15</w:t>
            </w:r>
          </w:p>
        </w:tc>
        <w:tc>
          <w:tcPr>
            <w:tcW w:w="900" w:type="dxa"/>
          </w:tcPr>
          <w:p>
            <w:pPr>
              <w:pStyle w:val="TableParagraph"/>
              <w:spacing w:line="175" w:lineRule="exact" w:before="1"/>
              <w:ind w:right="84"/>
              <w:rPr>
                <w:sz w:val="16"/>
              </w:rPr>
            </w:pPr>
            <w:r>
              <w:rPr>
                <w:sz w:val="16"/>
              </w:rPr>
              <w:t>1008.80</w:t>
            </w:r>
          </w:p>
        </w:tc>
        <w:tc>
          <w:tcPr>
            <w:tcW w:w="900" w:type="dxa"/>
          </w:tcPr>
          <w:p>
            <w:pPr>
              <w:pStyle w:val="TableParagraph"/>
              <w:spacing w:line="175" w:lineRule="exact" w:before="1"/>
              <w:ind w:right="84"/>
              <w:rPr>
                <w:sz w:val="16"/>
              </w:rPr>
            </w:pPr>
            <w:r>
              <w:rPr>
                <w:sz w:val="16"/>
              </w:rPr>
              <w:t>229.01</w:t>
            </w:r>
          </w:p>
        </w:tc>
        <w:tc>
          <w:tcPr>
            <w:tcW w:w="900" w:type="dxa"/>
          </w:tcPr>
          <w:p>
            <w:pPr>
              <w:pStyle w:val="TableParagraph"/>
              <w:spacing w:line="175" w:lineRule="exact" w:before="1"/>
              <w:ind w:left="182"/>
              <w:jc w:val="left"/>
              <w:rPr>
                <w:sz w:val="16"/>
              </w:rPr>
            </w:pPr>
            <w:r>
              <w:rPr>
                <w:sz w:val="16"/>
              </w:rPr>
              <w:t>1128.56</w:t>
            </w:r>
          </w:p>
        </w:tc>
      </w:tr>
      <w:tr>
        <w:trPr>
          <w:trHeight w:val="196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spacing w:line="176" w:lineRule="exact"/>
              <w:ind w:left="0" w:right="123"/>
              <w:jc w:val="right"/>
              <w:rPr>
                <w:sz w:val="16"/>
              </w:rPr>
            </w:pPr>
            <w:r>
              <w:rPr>
                <w:sz w:val="16"/>
              </w:rPr>
              <w:t>WCH-16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118.00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266.33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102.35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left="0" w:right="217"/>
              <w:jc w:val="right"/>
              <w:rPr>
                <w:sz w:val="16"/>
              </w:rPr>
            </w:pPr>
            <w:r>
              <w:rPr>
                <w:sz w:val="16"/>
              </w:rPr>
              <w:t>221.90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366.40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43.97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left="223"/>
              <w:jc w:val="left"/>
              <w:rPr>
                <w:sz w:val="16"/>
              </w:rPr>
            </w:pPr>
            <w:r>
              <w:rPr>
                <w:sz w:val="16"/>
              </w:rPr>
              <w:t>375.26</w:t>
            </w:r>
          </w:p>
        </w:tc>
      </w:tr>
      <w:tr>
        <w:trPr>
          <w:trHeight w:val="194" w:hRule="atLeast"/>
        </w:trPr>
        <w:tc>
          <w:tcPr>
            <w:tcW w:w="806" w:type="dxa"/>
          </w:tcPr>
          <w:p>
            <w:pPr>
              <w:pStyle w:val="TableParagraph"/>
              <w:ind w:left="0" w:right="123"/>
              <w:jc w:val="right"/>
              <w:rPr>
                <w:sz w:val="16"/>
              </w:rPr>
            </w:pPr>
            <w:r>
              <w:rPr>
                <w:sz w:val="16"/>
              </w:rPr>
              <w:t>WCH-17</w:t>
            </w:r>
          </w:p>
        </w:tc>
        <w:tc>
          <w:tcPr>
            <w:tcW w:w="900" w:type="dxa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121.00</w:t>
            </w:r>
          </w:p>
        </w:tc>
        <w:tc>
          <w:tcPr>
            <w:tcW w:w="900" w:type="dxa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460.58</w:t>
            </w:r>
          </w:p>
        </w:tc>
        <w:tc>
          <w:tcPr>
            <w:tcW w:w="900" w:type="dxa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4.40</w:t>
            </w:r>
          </w:p>
        </w:tc>
        <w:tc>
          <w:tcPr>
            <w:tcW w:w="900" w:type="dxa"/>
          </w:tcPr>
          <w:p>
            <w:pPr>
              <w:pStyle w:val="TableParagraph"/>
              <w:ind w:left="0" w:right="217"/>
              <w:jc w:val="right"/>
              <w:rPr>
                <w:sz w:val="16"/>
              </w:rPr>
            </w:pPr>
            <w:r>
              <w:rPr>
                <w:sz w:val="16"/>
              </w:rPr>
              <w:t>375.09</w:t>
            </w:r>
          </w:p>
        </w:tc>
        <w:tc>
          <w:tcPr>
            <w:tcW w:w="900" w:type="dxa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159.13</w:t>
            </w:r>
          </w:p>
        </w:tc>
        <w:tc>
          <w:tcPr>
            <w:tcW w:w="900" w:type="dxa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65.49</w:t>
            </w:r>
          </w:p>
        </w:tc>
        <w:tc>
          <w:tcPr>
            <w:tcW w:w="900" w:type="dxa"/>
          </w:tcPr>
          <w:p>
            <w:pPr>
              <w:pStyle w:val="TableParagraph"/>
              <w:ind w:left="223"/>
              <w:jc w:val="left"/>
              <w:rPr>
                <w:sz w:val="16"/>
              </w:rPr>
            </w:pPr>
            <w:r>
              <w:rPr>
                <w:sz w:val="16"/>
              </w:rPr>
              <w:t>319.32</w:t>
            </w:r>
          </w:p>
        </w:tc>
      </w:tr>
      <w:tr>
        <w:trPr>
          <w:trHeight w:val="196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spacing w:line="176" w:lineRule="exact"/>
              <w:ind w:left="0" w:right="123"/>
              <w:jc w:val="right"/>
              <w:rPr>
                <w:sz w:val="16"/>
              </w:rPr>
            </w:pPr>
            <w:r>
              <w:rPr>
                <w:sz w:val="16"/>
              </w:rPr>
              <w:t>WCH-18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124.42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578.58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9.86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left="0" w:right="217"/>
              <w:jc w:val="right"/>
              <w:rPr>
                <w:sz w:val="16"/>
              </w:rPr>
            </w:pPr>
            <w:r>
              <w:rPr>
                <w:sz w:val="16"/>
              </w:rPr>
              <w:t>514.88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112.63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77.29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left="223"/>
              <w:jc w:val="left"/>
              <w:rPr>
                <w:sz w:val="16"/>
              </w:rPr>
            </w:pPr>
            <w:r>
              <w:rPr>
                <w:sz w:val="16"/>
              </w:rPr>
              <w:t>107.86</w:t>
            </w:r>
          </w:p>
        </w:tc>
      </w:tr>
      <w:tr>
        <w:trPr>
          <w:trHeight w:val="194" w:hRule="atLeast"/>
        </w:trPr>
        <w:tc>
          <w:tcPr>
            <w:tcW w:w="806" w:type="dxa"/>
          </w:tcPr>
          <w:p>
            <w:pPr>
              <w:pStyle w:val="TableParagraph"/>
              <w:ind w:left="0" w:right="123"/>
              <w:jc w:val="right"/>
              <w:rPr>
                <w:sz w:val="16"/>
              </w:rPr>
            </w:pPr>
            <w:r>
              <w:rPr>
                <w:sz w:val="16"/>
              </w:rPr>
              <w:t>WCH-43</w:t>
            </w:r>
          </w:p>
        </w:tc>
        <w:tc>
          <w:tcPr>
            <w:tcW w:w="900" w:type="dxa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126.17</w:t>
            </w:r>
          </w:p>
        </w:tc>
        <w:tc>
          <w:tcPr>
            <w:tcW w:w="900" w:type="dxa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109.11</w:t>
            </w:r>
          </w:p>
        </w:tc>
        <w:tc>
          <w:tcPr>
            <w:tcW w:w="900" w:type="dxa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900" w:type="dxa"/>
          </w:tcPr>
          <w:p>
            <w:pPr>
              <w:pStyle w:val="TableParagraph"/>
              <w:ind w:left="0" w:right="217"/>
              <w:jc w:val="right"/>
              <w:rPr>
                <w:sz w:val="16"/>
              </w:rPr>
            </w:pPr>
            <w:r>
              <w:rPr>
                <w:sz w:val="16"/>
              </w:rPr>
              <w:t>117.56</w:t>
            </w:r>
          </w:p>
        </w:tc>
        <w:tc>
          <w:tcPr>
            <w:tcW w:w="900" w:type="dxa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106.10</w:t>
            </w:r>
          </w:p>
        </w:tc>
        <w:tc>
          <w:tcPr>
            <w:tcW w:w="900" w:type="dxa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10.39</w:t>
            </w:r>
          </w:p>
        </w:tc>
        <w:tc>
          <w:tcPr>
            <w:tcW w:w="900" w:type="dxa"/>
          </w:tcPr>
          <w:p>
            <w:pPr>
              <w:pStyle w:val="TableParagraph"/>
              <w:ind w:left="223"/>
              <w:jc w:val="left"/>
              <w:rPr>
                <w:sz w:val="16"/>
              </w:rPr>
            </w:pPr>
            <w:r>
              <w:rPr>
                <w:sz w:val="16"/>
              </w:rPr>
              <w:t>147.03</w:t>
            </w:r>
          </w:p>
        </w:tc>
      </w:tr>
      <w:tr>
        <w:trPr>
          <w:trHeight w:val="196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spacing w:line="176" w:lineRule="exact"/>
              <w:ind w:left="0" w:right="123"/>
              <w:jc w:val="right"/>
              <w:rPr>
                <w:sz w:val="16"/>
              </w:rPr>
            </w:pPr>
            <w:r>
              <w:rPr>
                <w:sz w:val="16"/>
              </w:rPr>
              <w:t>WCH-19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129.00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136.77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left="0" w:right="217"/>
              <w:jc w:val="right"/>
              <w:rPr>
                <w:sz w:val="16"/>
              </w:rPr>
            </w:pPr>
            <w:r>
              <w:rPr>
                <w:sz w:val="16"/>
              </w:rPr>
              <w:t>105.35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67.04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11.55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left="223"/>
              <w:jc w:val="left"/>
              <w:rPr>
                <w:sz w:val="16"/>
              </w:rPr>
            </w:pPr>
            <w:r>
              <w:rPr>
                <w:sz w:val="16"/>
              </w:rPr>
              <w:t>164.37</w:t>
            </w:r>
          </w:p>
        </w:tc>
      </w:tr>
      <w:tr>
        <w:trPr>
          <w:trHeight w:val="194" w:hRule="atLeast"/>
        </w:trPr>
        <w:tc>
          <w:tcPr>
            <w:tcW w:w="806" w:type="dxa"/>
          </w:tcPr>
          <w:p>
            <w:pPr>
              <w:pStyle w:val="TableParagraph"/>
              <w:ind w:left="0" w:right="123"/>
              <w:jc w:val="right"/>
              <w:rPr>
                <w:sz w:val="16"/>
              </w:rPr>
            </w:pPr>
            <w:r>
              <w:rPr>
                <w:sz w:val="16"/>
              </w:rPr>
              <w:t>WCH-20</w:t>
            </w:r>
          </w:p>
        </w:tc>
        <w:tc>
          <w:tcPr>
            <w:tcW w:w="900" w:type="dxa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130.00</w:t>
            </w:r>
          </w:p>
        </w:tc>
        <w:tc>
          <w:tcPr>
            <w:tcW w:w="900" w:type="dxa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74.83</w:t>
            </w:r>
          </w:p>
        </w:tc>
        <w:tc>
          <w:tcPr>
            <w:tcW w:w="900" w:type="dxa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900" w:type="dxa"/>
          </w:tcPr>
          <w:p>
            <w:pPr>
              <w:pStyle w:val="TableParagraph"/>
              <w:ind w:left="0" w:right="257"/>
              <w:jc w:val="right"/>
              <w:rPr>
                <w:sz w:val="16"/>
              </w:rPr>
            </w:pPr>
            <w:r>
              <w:rPr>
                <w:sz w:val="16"/>
              </w:rPr>
              <w:t>65.15</w:t>
            </w:r>
          </w:p>
        </w:tc>
        <w:tc>
          <w:tcPr>
            <w:tcW w:w="900" w:type="dxa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4.16</w:t>
            </w:r>
          </w:p>
        </w:tc>
        <w:tc>
          <w:tcPr>
            <w:tcW w:w="900" w:type="dxa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1.71</w:t>
            </w:r>
          </w:p>
        </w:tc>
        <w:tc>
          <w:tcPr>
            <w:tcW w:w="900" w:type="dxa"/>
          </w:tcPr>
          <w:p>
            <w:pPr>
              <w:pStyle w:val="TableParagraph"/>
              <w:ind w:left="264"/>
              <w:jc w:val="left"/>
              <w:rPr>
                <w:sz w:val="16"/>
              </w:rPr>
            </w:pPr>
            <w:r>
              <w:rPr>
                <w:sz w:val="16"/>
              </w:rPr>
              <w:t>23.96</w:t>
            </w:r>
          </w:p>
        </w:tc>
      </w:tr>
      <w:tr>
        <w:trPr>
          <w:trHeight w:val="196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spacing w:line="176" w:lineRule="exact"/>
              <w:ind w:left="0" w:right="123"/>
              <w:jc w:val="right"/>
              <w:rPr>
                <w:sz w:val="16"/>
              </w:rPr>
            </w:pPr>
            <w:r>
              <w:rPr>
                <w:sz w:val="16"/>
              </w:rPr>
              <w:t>WCH-60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131.75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556.35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1.97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left="0" w:right="217"/>
              <w:jc w:val="right"/>
              <w:rPr>
                <w:sz w:val="16"/>
              </w:rPr>
            </w:pPr>
            <w:r>
              <w:rPr>
                <w:sz w:val="16"/>
              </w:rPr>
              <w:t>440.44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26.52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45.55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left="264"/>
              <w:jc w:val="left"/>
              <w:rPr>
                <w:sz w:val="16"/>
              </w:rPr>
            </w:pPr>
            <w:r>
              <w:rPr>
                <w:sz w:val="16"/>
              </w:rPr>
              <w:t>47.63</w:t>
            </w:r>
          </w:p>
        </w:tc>
      </w:tr>
      <w:tr>
        <w:trPr>
          <w:trHeight w:val="193" w:hRule="atLeast"/>
        </w:trPr>
        <w:tc>
          <w:tcPr>
            <w:tcW w:w="806" w:type="dxa"/>
          </w:tcPr>
          <w:p>
            <w:pPr>
              <w:pStyle w:val="TableParagraph"/>
              <w:ind w:left="0" w:right="123"/>
              <w:jc w:val="right"/>
              <w:rPr>
                <w:sz w:val="16"/>
              </w:rPr>
            </w:pPr>
            <w:r>
              <w:rPr>
                <w:sz w:val="16"/>
              </w:rPr>
              <w:t>WCH-61</w:t>
            </w:r>
          </w:p>
        </w:tc>
        <w:tc>
          <w:tcPr>
            <w:tcW w:w="900" w:type="dxa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132.75</w:t>
            </w:r>
          </w:p>
        </w:tc>
        <w:tc>
          <w:tcPr>
            <w:tcW w:w="900" w:type="dxa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551.15</w:t>
            </w:r>
          </w:p>
        </w:tc>
        <w:tc>
          <w:tcPr>
            <w:tcW w:w="900" w:type="dxa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27.92</w:t>
            </w:r>
          </w:p>
        </w:tc>
        <w:tc>
          <w:tcPr>
            <w:tcW w:w="900" w:type="dxa"/>
          </w:tcPr>
          <w:p>
            <w:pPr>
              <w:pStyle w:val="TableParagraph"/>
              <w:ind w:left="0" w:right="217"/>
              <w:jc w:val="right"/>
              <w:rPr>
                <w:sz w:val="16"/>
              </w:rPr>
            </w:pPr>
            <w:r>
              <w:rPr>
                <w:sz w:val="16"/>
              </w:rPr>
              <w:t>463.69</w:t>
            </w:r>
          </w:p>
        </w:tc>
        <w:tc>
          <w:tcPr>
            <w:tcW w:w="900" w:type="dxa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191.68</w:t>
            </w:r>
          </w:p>
        </w:tc>
        <w:tc>
          <w:tcPr>
            <w:tcW w:w="900" w:type="dxa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57.70</w:t>
            </w:r>
          </w:p>
        </w:tc>
        <w:tc>
          <w:tcPr>
            <w:tcW w:w="900" w:type="dxa"/>
          </w:tcPr>
          <w:p>
            <w:pPr>
              <w:pStyle w:val="TableParagraph"/>
              <w:ind w:left="223"/>
              <w:jc w:val="left"/>
              <w:rPr>
                <w:sz w:val="16"/>
              </w:rPr>
            </w:pPr>
            <w:r>
              <w:rPr>
                <w:sz w:val="16"/>
              </w:rPr>
              <w:t>290.36</w:t>
            </w:r>
          </w:p>
        </w:tc>
      </w:tr>
      <w:tr>
        <w:trPr>
          <w:trHeight w:val="196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0" w:right="123"/>
              <w:jc w:val="right"/>
              <w:rPr>
                <w:sz w:val="16"/>
              </w:rPr>
            </w:pPr>
            <w:r>
              <w:rPr>
                <w:sz w:val="16"/>
              </w:rPr>
              <w:t>WCH-21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right="84"/>
              <w:rPr>
                <w:sz w:val="16"/>
              </w:rPr>
            </w:pPr>
            <w:r>
              <w:rPr>
                <w:sz w:val="16"/>
              </w:rPr>
              <w:t>133.50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right="84"/>
              <w:rPr>
                <w:sz w:val="16"/>
              </w:rPr>
            </w:pPr>
            <w:r>
              <w:rPr>
                <w:sz w:val="16"/>
              </w:rPr>
              <w:t>396.95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right="84"/>
              <w:rPr>
                <w:sz w:val="16"/>
              </w:rPr>
            </w:pPr>
            <w:r>
              <w:rPr>
                <w:sz w:val="16"/>
              </w:rPr>
              <w:t>75.74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0" w:right="217"/>
              <w:jc w:val="right"/>
              <w:rPr>
                <w:sz w:val="16"/>
              </w:rPr>
            </w:pPr>
            <w:r>
              <w:rPr>
                <w:sz w:val="16"/>
              </w:rPr>
              <w:t>342.32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right="84"/>
              <w:rPr>
                <w:sz w:val="16"/>
              </w:rPr>
            </w:pPr>
            <w:r>
              <w:rPr>
                <w:sz w:val="16"/>
              </w:rPr>
              <w:t>863.30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right="84"/>
              <w:rPr>
                <w:sz w:val="16"/>
              </w:rPr>
            </w:pPr>
            <w:r>
              <w:rPr>
                <w:sz w:val="16"/>
              </w:rPr>
              <w:t>43.12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182"/>
              <w:jc w:val="left"/>
              <w:rPr>
                <w:sz w:val="16"/>
              </w:rPr>
            </w:pPr>
            <w:r>
              <w:rPr>
                <w:sz w:val="16"/>
              </w:rPr>
              <w:t>1608.85</w:t>
            </w: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6" w:lineRule="exact"/>
              <w:ind w:left="0" w:right="123"/>
              <w:jc w:val="right"/>
              <w:rPr>
                <w:sz w:val="16"/>
              </w:rPr>
            </w:pPr>
            <w:r>
              <w:rPr>
                <w:sz w:val="16"/>
              </w:rPr>
              <w:t>WCH-44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134.00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166.55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7.03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left="0" w:right="217"/>
              <w:jc w:val="right"/>
              <w:rPr>
                <w:sz w:val="16"/>
              </w:rPr>
            </w:pPr>
            <w:r>
              <w:rPr>
                <w:sz w:val="16"/>
              </w:rPr>
              <w:t>156.02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90.08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20.00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left="223"/>
              <w:jc w:val="left"/>
              <w:rPr>
                <w:sz w:val="16"/>
              </w:rPr>
            </w:pPr>
            <w:r>
              <w:rPr>
                <w:sz w:val="16"/>
              </w:rPr>
              <w:t>185.08</w:t>
            </w:r>
          </w:p>
        </w:tc>
      </w:tr>
      <w:tr>
        <w:trPr>
          <w:trHeight w:val="193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ind w:left="0" w:right="123"/>
              <w:jc w:val="right"/>
              <w:rPr>
                <w:sz w:val="16"/>
              </w:rPr>
            </w:pPr>
            <w:r>
              <w:rPr>
                <w:sz w:val="16"/>
              </w:rPr>
              <w:t>WCH-22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136.00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510.70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166.36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left="0" w:right="217"/>
              <w:jc w:val="right"/>
              <w:rPr>
                <w:sz w:val="16"/>
              </w:rPr>
            </w:pPr>
            <w:r>
              <w:rPr>
                <w:sz w:val="16"/>
              </w:rPr>
              <w:t>450.59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1685.81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46.41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left="182"/>
              <w:jc w:val="left"/>
              <w:rPr>
                <w:sz w:val="16"/>
              </w:rPr>
            </w:pPr>
            <w:r>
              <w:rPr>
                <w:sz w:val="16"/>
              </w:rPr>
              <w:t>3604.12</w:t>
            </w: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6" w:lineRule="exact"/>
              <w:ind w:left="0" w:right="123"/>
              <w:jc w:val="right"/>
              <w:rPr>
                <w:sz w:val="16"/>
              </w:rPr>
            </w:pPr>
            <w:r>
              <w:rPr>
                <w:sz w:val="16"/>
              </w:rPr>
              <w:t>WCH-23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137.25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379.27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95.27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left="0" w:right="217"/>
              <w:jc w:val="right"/>
              <w:rPr>
                <w:sz w:val="16"/>
              </w:rPr>
            </w:pPr>
            <w:r>
              <w:rPr>
                <w:sz w:val="16"/>
              </w:rPr>
              <w:t>310.70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943.32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31.27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left="182"/>
              <w:jc w:val="left"/>
              <w:rPr>
                <w:sz w:val="16"/>
              </w:rPr>
            </w:pPr>
            <w:r>
              <w:rPr>
                <w:sz w:val="16"/>
              </w:rPr>
              <w:t>1755.95</w:t>
            </w:r>
          </w:p>
        </w:tc>
      </w:tr>
      <w:tr>
        <w:trPr>
          <w:trHeight w:val="194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ind w:left="0" w:right="123"/>
              <w:jc w:val="right"/>
              <w:rPr>
                <w:sz w:val="16"/>
              </w:rPr>
            </w:pPr>
            <w:r>
              <w:rPr>
                <w:sz w:val="16"/>
              </w:rPr>
              <w:t>WCH-24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138.50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676.12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119.38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left="0" w:right="217"/>
              <w:jc w:val="right"/>
              <w:rPr>
                <w:sz w:val="16"/>
              </w:rPr>
            </w:pPr>
            <w:r>
              <w:rPr>
                <w:sz w:val="16"/>
              </w:rPr>
              <w:t>542.79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1032.13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41.56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left="182"/>
              <w:jc w:val="left"/>
              <w:rPr>
                <w:sz w:val="16"/>
              </w:rPr>
            </w:pPr>
            <w:r>
              <w:rPr>
                <w:sz w:val="16"/>
              </w:rPr>
              <w:t>1560.18</w:t>
            </w: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6" w:lineRule="exact"/>
              <w:ind w:left="0" w:right="123"/>
              <w:jc w:val="right"/>
              <w:rPr>
                <w:sz w:val="16"/>
              </w:rPr>
            </w:pPr>
            <w:r>
              <w:rPr>
                <w:sz w:val="16"/>
              </w:rPr>
              <w:t>WCH-25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139.67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770.57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119.18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left="0" w:right="217"/>
              <w:jc w:val="right"/>
              <w:rPr>
                <w:sz w:val="16"/>
              </w:rPr>
            </w:pPr>
            <w:r>
              <w:rPr>
                <w:sz w:val="16"/>
              </w:rPr>
              <w:t>689.40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987.33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64.16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left="182"/>
              <w:jc w:val="left"/>
              <w:rPr>
                <w:sz w:val="16"/>
              </w:rPr>
            </w:pPr>
            <w:r>
              <w:rPr>
                <w:sz w:val="16"/>
              </w:rPr>
              <w:t>1467.65</w:t>
            </w:r>
          </w:p>
        </w:tc>
      </w:tr>
      <w:tr>
        <w:trPr>
          <w:trHeight w:val="194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ind w:left="0" w:right="123"/>
              <w:jc w:val="right"/>
              <w:rPr>
                <w:sz w:val="16"/>
              </w:rPr>
            </w:pPr>
            <w:r>
              <w:rPr>
                <w:sz w:val="16"/>
              </w:rPr>
              <w:t>WCH-26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141.08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930.98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106.05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left="0" w:right="217"/>
              <w:jc w:val="right"/>
              <w:rPr>
                <w:sz w:val="16"/>
              </w:rPr>
            </w:pPr>
            <w:r>
              <w:rPr>
                <w:sz w:val="16"/>
              </w:rPr>
              <w:t>824.13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1054.40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68.21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left="182"/>
              <w:jc w:val="left"/>
              <w:rPr>
                <w:sz w:val="16"/>
              </w:rPr>
            </w:pPr>
            <w:r>
              <w:rPr>
                <w:sz w:val="16"/>
              </w:rPr>
              <w:t>1441.74</w:t>
            </w: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6" w:lineRule="exact"/>
              <w:ind w:left="0" w:right="123"/>
              <w:jc w:val="right"/>
              <w:rPr>
                <w:sz w:val="16"/>
              </w:rPr>
            </w:pPr>
            <w:r>
              <w:rPr>
                <w:sz w:val="16"/>
              </w:rPr>
              <w:t>WCH-27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142.25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709.28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261.32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left="0" w:right="217"/>
              <w:jc w:val="right"/>
              <w:rPr>
                <w:sz w:val="16"/>
              </w:rPr>
            </w:pPr>
            <w:r>
              <w:rPr>
                <w:sz w:val="16"/>
              </w:rPr>
              <w:t>685.51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2066.52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66.49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left="182"/>
              <w:jc w:val="left"/>
              <w:rPr>
                <w:sz w:val="16"/>
              </w:rPr>
            </w:pPr>
            <w:r>
              <w:rPr>
                <w:sz w:val="16"/>
              </w:rPr>
              <w:t>2776.08</w:t>
            </w:r>
          </w:p>
        </w:tc>
      </w:tr>
      <w:tr>
        <w:trPr>
          <w:trHeight w:val="193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ind w:left="0" w:right="123"/>
              <w:jc w:val="right"/>
              <w:rPr>
                <w:sz w:val="16"/>
              </w:rPr>
            </w:pPr>
            <w:r>
              <w:rPr>
                <w:sz w:val="16"/>
              </w:rPr>
              <w:t>WCH-28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143.50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823.49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278.07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left="0" w:right="217"/>
              <w:jc w:val="right"/>
              <w:rPr>
                <w:sz w:val="16"/>
              </w:rPr>
            </w:pPr>
            <w:r>
              <w:rPr>
                <w:sz w:val="16"/>
              </w:rPr>
              <w:t>915.57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2350.70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77.03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left="182"/>
              <w:jc w:val="left"/>
              <w:rPr>
                <w:sz w:val="16"/>
              </w:rPr>
            </w:pPr>
            <w:r>
              <w:rPr>
                <w:sz w:val="16"/>
              </w:rPr>
              <w:t>3458.48</w:t>
            </w: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5" w:lineRule="exact" w:before="1"/>
              <w:ind w:left="0" w:right="123"/>
              <w:jc w:val="right"/>
              <w:rPr>
                <w:sz w:val="16"/>
              </w:rPr>
            </w:pPr>
            <w:r>
              <w:rPr>
                <w:sz w:val="16"/>
              </w:rPr>
              <w:t>WCH-45</w:t>
            </w:r>
          </w:p>
        </w:tc>
        <w:tc>
          <w:tcPr>
            <w:tcW w:w="900" w:type="dxa"/>
          </w:tcPr>
          <w:p>
            <w:pPr>
              <w:pStyle w:val="TableParagraph"/>
              <w:spacing w:line="175" w:lineRule="exact" w:before="1"/>
              <w:ind w:right="84"/>
              <w:rPr>
                <w:sz w:val="16"/>
              </w:rPr>
            </w:pPr>
            <w:r>
              <w:rPr>
                <w:sz w:val="16"/>
              </w:rPr>
              <w:t>145.17</w:t>
            </w:r>
          </w:p>
        </w:tc>
        <w:tc>
          <w:tcPr>
            <w:tcW w:w="900" w:type="dxa"/>
          </w:tcPr>
          <w:p>
            <w:pPr>
              <w:pStyle w:val="TableParagraph"/>
              <w:spacing w:line="175" w:lineRule="exact" w:before="1"/>
              <w:ind w:right="84"/>
              <w:rPr>
                <w:sz w:val="16"/>
              </w:rPr>
            </w:pPr>
            <w:r>
              <w:rPr>
                <w:sz w:val="16"/>
              </w:rPr>
              <w:t>346.71</w:t>
            </w:r>
          </w:p>
        </w:tc>
        <w:tc>
          <w:tcPr>
            <w:tcW w:w="900" w:type="dxa"/>
          </w:tcPr>
          <w:p>
            <w:pPr>
              <w:pStyle w:val="TableParagraph"/>
              <w:spacing w:line="175" w:lineRule="exact" w:before="1"/>
              <w:ind w:right="84"/>
              <w:rPr>
                <w:sz w:val="16"/>
              </w:rPr>
            </w:pPr>
            <w:r>
              <w:rPr>
                <w:sz w:val="16"/>
              </w:rPr>
              <w:t>21.22</w:t>
            </w:r>
          </w:p>
        </w:tc>
        <w:tc>
          <w:tcPr>
            <w:tcW w:w="900" w:type="dxa"/>
          </w:tcPr>
          <w:p>
            <w:pPr>
              <w:pStyle w:val="TableParagraph"/>
              <w:spacing w:line="175" w:lineRule="exact" w:before="1"/>
              <w:ind w:left="0" w:right="217"/>
              <w:jc w:val="right"/>
              <w:rPr>
                <w:sz w:val="16"/>
              </w:rPr>
            </w:pPr>
            <w:r>
              <w:rPr>
                <w:sz w:val="16"/>
              </w:rPr>
              <w:t>377.28</w:t>
            </w:r>
          </w:p>
        </w:tc>
        <w:tc>
          <w:tcPr>
            <w:tcW w:w="900" w:type="dxa"/>
          </w:tcPr>
          <w:p>
            <w:pPr>
              <w:pStyle w:val="TableParagraph"/>
              <w:spacing w:line="175" w:lineRule="exact" w:before="1"/>
              <w:ind w:right="84"/>
              <w:rPr>
                <w:sz w:val="16"/>
              </w:rPr>
            </w:pPr>
            <w:r>
              <w:rPr>
                <w:sz w:val="16"/>
              </w:rPr>
              <w:t>215.95</w:t>
            </w:r>
          </w:p>
        </w:tc>
        <w:tc>
          <w:tcPr>
            <w:tcW w:w="900" w:type="dxa"/>
          </w:tcPr>
          <w:p>
            <w:pPr>
              <w:pStyle w:val="TableParagraph"/>
              <w:spacing w:line="175" w:lineRule="exact" w:before="1"/>
              <w:ind w:right="84"/>
              <w:rPr>
                <w:sz w:val="16"/>
              </w:rPr>
            </w:pPr>
            <w:r>
              <w:rPr>
                <w:sz w:val="16"/>
              </w:rPr>
              <w:t>29.29</w:t>
            </w:r>
          </w:p>
        </w:tc>
        <w:tc>
          <w:tcPr>
            <w:tcW w:w="900" w:type="dxa"/>
          </w:tcPr>
          <w:p>
            <w:pPr>
              <w:pStyle w:val="TableParagraph"/>
              <w:spacing w:line="175" w:lineRule="exact" w:before="1"/>
              <w:ind w:left="223"/>
              <w:jc w:val="left"/>
              <w:rPr>
                <w:sz w:val="16"/>
              </w:rPr>
            </w:pPr>
            <w:r>
              <w:rPr>
                <w:sz w:val="16"/>
              </w:rPr>
              <w:t>248.45</w:t>
            </w:r>
          </w:p>
        </w:tc>
      </w:tr>
      <w:tr>
        <w:trPr>
          <w:trHeight w:val="193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ind w:left="0" w:right="123"/>
              <w:jc w:val="right"/>
              <w:rPr>
                <w:sz w:val="16"/>
              </w:rPr>
            </w:pPr>
            <w:r>
              <w:rPr>
                <w:sz w:val="16"/>
              </w:rPr>
              <w:t>WCH-29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146.00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944.83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288.83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left="0" w:right="175"/>
              <w:jc w:val="right"/>
              <w:rPr>
                <w:sz w:val="16"/>
              </w:rPr>
            </w:pPr>
            <w:r>
              <w:rPr>
                <w:sz w:val="16"/>
              </w:rPr>
              <w:t>1066.33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2422.85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100.47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left="182"/>
              <w:jc w:val="left"/>
              <w:rPr>
                <w:sz w:val="16"/>
              </w:rPr>
            </w:pPr>
            <w:r>
              <w:rPr>
                <w:sz w:val="16"/>
              </w:rPr>
              <w:t>3292.29</w:t>
            </w: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5" w:lineRule="exact" w:before="1"/>
              <w:ind w:left="0" w:right="123"/>
              <w:jc w:val="right"/>
              <w:rPr>
                <w:sz w:val="16"/>
              </w:rPr>
            </w:pPr>
            <w:r>
              <w:rPr>
                <w:sz w:val="16"/>
              </w:rPr>
              <w:t>WCH-30</w:t>
            </w:r>
          </w:p>
        </w:tc>
        <w:tc>
          <w:tcPr>
            <w:tcW w:w="900" w:type="dxa"/>
          </w:tcPr>
          <w:p>
            <w:pPr>
              <w:pStyle w:val="TableParagraph"/>
              <w:spacing w:line="175" w:lineRule="exact" w:before="1"/>
              <w:ind w:right="84"/>
              <w:rPr>
                <w:sz w:val="16"/>
              </w:rPr>
            </w:pPr>
            <w:r>
              <w:rPr>
                <w:sz w:val="16"/>
              </w:rPr>
              <w:t>147.08</w:t>
            </w:r>
          </w:p>
        </w:tc>
        <w:tc>
          <w:tcPr>
            <w:tcW w:w="900" w:type="dxa"/>
          </w:tcPr>
          <w:p>
            <w:pPr>
              <w:pStyle w:val="TableParagraph"/>
              <w:spacing w:line="175" w:lineRule="exact" w:before="1"/>
              <w:ind w:right="84"/>
              <w:rPr>
                <w:sz w:val="16"/>
              </w:rPr>
            </w:pPr>
            <w:r>
              <w:rPr>
                <w:sz w:val="16"/>
              </w:rPr>
              <w:t>702.62</w:t>
            </w:r>
          </w:p>
        </w:tc>
        <w:tc>
          <w:tcPr>
            <w:tcW w:w="900" w:type="dxa"/>
          </w:tcPr>
          <w:p>
            <w:pPr>
              <w:pStyle w:val="TableParagraph"/>
              <w:spacing w:line="175" w:lineRule="exact" w:before="1"/>
              <w:ind w:right="84"/>
              <w:rPr>
                <w:sz w:val="16"/>
              </w:rPr>
            </w:pPr>
            <w:r>
              <w:rPr>
                <w:sz w:val="16"/>
              </w:rPr>
              <w:t>365.13</w:t>
            </w:r>
          </w:p>
        </w:tc>
        <w:tc>
          <w:tcPr>
            <w:tcW w:w="900" w:type="dxa"/>
          </w:tcPr>
          <w:p>
            <w:pPr>
              <w:pStyle w:val="TableParagraph"/>
              <w:spacing w:line="175" w:lineRule="exact" w:before="1"/>
              <w:ind w:left="0" w:right="217"/>
              <w:jc w:val="right"/>
              <w:rPr>
                <w:sz w:val="16"/>
              </w:rPr>
            </w:pPr>
            <w:r>
              <w:rPr>
                <w:sz w:val="16"/>
              </w:rPr>
              <w:t>817.62</w:t>
            </w:r>
          </w:p>
        </w:tc>
        <w:tc>
          <w:tcPr>
            <w:tcW w:w="900" w:type="dxa"/>
          </w:tcPr>
          <w:p>
            <w:pPr>
              <w:pStyle w:val="TableParagraph"/>
              <w:spacing w:line="175" w:lineRule="exact" w:before="1"/>
              <w:ind w:right="84"/>
              <w:rPr>
                <w:sz w:val="16"/>
              </w:rPr>
            </w:pPr>
            <w:r>
              <w:rPr>
                <w:sz w:val="16"/>
              </w:rPr>
              <w:t>2917.77</w:t>
            </w:r>
          </w:p>
        </w:tc>
        <w:tc>
          <w:tcPr>
            <w:tcW w:w="900" w:type="dxa"/>
          </w:tcPr>
          <w:p>
            <w:pPr>
              <w:pStyle w:val="TableParagraph"/>
              <w:spacing w:line="175" w:lineRule="exact" w:before="1"/>
              <w:ind w:right="84"/>
              <w:rPr>
                <w:sz w:val="16"/>
              </w:rPr>
            </w:pPr>
            <w:r>
              <w:rPr>
                <w:sz w:val="16"/>
              </w:rPr>
              <w:t>71.63</w:t>
            </w:r>
          </w:p>
        </w:tc>
        <w:tc>
          <w:tcPr>
            <w:tcW w:w="900" w:type="dxa"/>
          </w:tcPr>
          <w:p>
            <w:pPr>
              <w:pStyle w:val="TableParagraph"/>
              <w:spacing w:line="175" w:lineRule="exact" w:before="1"/>
              <w:ind w:left="182"/>
              <w:jc w:val="left"/>
              <w:rPr>
                <w:sz w:val="16"/>
              </w:rPr>
            </w:pPr>
            <w:r>
              <w:rPr>
                <w:sz w:val="16"/>
              </w:rPr>
              <w:t>3316.36</w:t>
            </w:r>
          </w:p>
        </w:tc>
      </w:tr>
      <w:tr>
        <w:trPr>
          <w:trHeight w:val="196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spacing w:line="176" w:lineRule="exact"/>
              <w:ind w:left="0" w:right="123"/>
              <w:jc w:val="right"/>
              <w:rPr>
                <w:sz w:val="16"/>
              </w:rPr>
            </w:pPr>
            <w:r>
              <w:rPr>
                <w:sz w:val="16"/>
              </w:rPr>
              <w:t>WCH-31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149.25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541.20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186.56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left="0" w:right="217"/>
              <w:jc w:val="right"/>
              <w:rPr>
                <w:sz w:val="16"/>
              </w:rPr>
            </w:pPr>
            <w:r>
              <w:rPr>
                <w:sz w:val="16"/>
              </w:rPr>
              <w:t>589.35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1615.58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48.57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left="182"/>
              <w:jc w:val="left"/>
              <w:rPr>
                <w:sz w:val="16"/>
              </w:rPr>
            </w:pPr>
            <w:r>
              <w:rPr>
                <w:sz w:val="16"/>
              </w:rPr>
              <w:t>2438.31</w:t>
            </w:r>
          </w:p>
        </w:tc>
      </w:tr>
      <w:tr>
        <w:trPr>
          <w:trHeight w:val="193" w:hRule="atLeast"/>
        </w:trPr>
        <w:tc>
          <w:tcPr>
            <w:tcW w:w="806" w:type="dxa"/>
          </w:tcPr>
          <w:p>
            <w:pPr>
              <w:pStyle w:val="TableParagraph"/>
              <w:ind w:left="0" w:right="123"/>
              <w:jc w:val="right"/>
              <w:rPr>
                <w:sz w:val="16"/>
              </w:rPr>
            </w:pPr>
            <w:r>
              <w:rPr>
                <w:sz w:val="16"/>
              </w:rPr>
              <w:t>WCH-46</w:t>
            </w:r>
          </w:p>
        </w:tc>
        <w:tc>
          <w:tcPr>
            <w:tcW w:w="900" w:type="dxa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153.58</w:t>
            </w:r>
          </w:p>
        </w:tc>
        <w:tc>
          <w:tcPr>
            <w:tcW w:w="900" w:type="dxa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851.26</w:t>
            </w:r>
          </w:p>
        </w:tc>
        <w:tc>
          <w:tcPr>
            <w:tcW w:w="900" w:type="dxa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3.57</w:t>
            </w:r>
          </w:p>
        </w:tc>
        <w:tc>
          <w:tcPr>
            <w:tcW w:w="900" w:type="dxa"/>
          </w:tcPr>
          <w:p>
            <w:pPr>
              <w:pStyle w:val="TableParagraph"/>
              <w:ind w:left="0" w:right="217"/>
              <w:jc w:val="right"/>
              <w:rPr>
                <w:sz w:val="16"/>
              </w:rPr>
            </w:pPr>
            <w:r>
              <w:rPr>
                <w:sz w:val="16"/>
              </w:rPr>
              <w:t>649.80</w:t>
            </w:r>
          </w:p>
        </w:tc>
        <w:tc>
          <w:tcPr>
            <w:tcW w:w="900" w:type="dxa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49.78</w:t>
            </w:r>
          </w:p>
        </w:tc>
        <w:tc>
          <w:tcPr>
            <w:tcW w:w="900" w:type="dxa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50.81</w:t>
            </w:r>
          </w:p>
        </w:tc>
        <w:tc>
          <w:tcPr>
            <w:tcW w:w="900" w:type="dxa"/>
          </w:tcPr>
          <w:p>
            <w:pPr>
              <w:pStyle w:val="TableParagraph"/>
              <w:ind w:left="223"/>
              <w:jc w:val="left"/>
              <w:rPr>
                <w:sz w:val="16"/>
              </w:rPr>
            </w:pPr>
            <w:r>
              <w:rPr>
                <w:sz w:val="16"/>
              </w:rPr>
              <w:t>107.97</w:t>
            </w:r>
          </w:p>
        </w:tc>
      </w:tr>
      <w:tr>
        <w:trPr>
          <w:trHeight w:val="196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spacing w:line="176" w:lineRule="exact"/>
              <w:ind w:left="0" w:right="123"/>
              <w:jc w:val="right"/>
              <w:rPr>
                <w:sz w:val="16"/>
              </w:rPr>
            </w:pPr>
            <w:r>
              <w:rPr>
                <w:sz w:val="16"/>
              </w:rPr>
              <w:t>WCH-47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160.17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406.25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6.82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left="0" w:right="217"/>
              <w:jc w:val="right"/>
              <w:rPr>
                <w:sz w:val="16"/>
              </w:rPr>
            </w:pPr>
            <w:r>
              <w:rPr>
                <w:sz w:val="16"/>
              </w:rPr>
              <w:t>293.90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98.82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13.71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left="223"/>
              <w:jc w:val="left"/>
              <w:rPr>
                <w:sz w:val="16"/>
              </w:rPr>
            </w:pPr>
            <w:r>
              <w:rPr>
                <w:sz w:val="16"/>
              </w:rPr>
              <w:t>215.22</w:t>
            </w:r>
          </w:p>
        </w:tc>
      </w:tr>
      <w:tr>
        <w:trPr>
          <w:trHeight w:val="194" w:hRule="atLeast"/>
        </w:trPr>
        <w:tc>
          <w:tcPr>
            <w:tcW w:w="806" w:type="dxa"/>
          </w:tcPr>
          <w:p>
            <w:pPr>
              <w:pStyle w:val="TableParagraph"/>
              <w:ind w:left="0" w:right="123"/>
              <w:jc w:val="right"/>
              <w:rPr>
                <w:sz w:val="16"/>
              </w:rPr>
            </w:pPr>
            <w:r>
              <w:rPr>
                <w:sz w:val="16"/>
              </w:rPr>
              <w:t>WCH-48</w:t>
            </w:r>
          </w:p>
        </w:tc>
        <w:tc>
          <w:tcPr>
            <w:tcW w:w="900" w:type="dxa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160.83</w:t>
            </w:r>
          </w:p>
        </w:tc>
        <w:tc>
          <w:tcPr>
            <w:tcW w:w="900" w:type="dxa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428.70</w:t>
            </w:r>
          </w:p>
        </w:tc>
        <w:tc>
          <w:tcPr>
            <w:tcW w:w="900" w:type="dxa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7.44</w:t>
            </w:r>
          </w:p>
        </w:tc>
        <w:tc>
          <w:tcPr>
            <w:tcW w:w="900" w:type="dxa"/>
          </w:tcPr>
          <w:p>
            <w:pPr>
              <w:pStyle w:val="TableParagraph"/>
              <w:ind w:left="0" w:right="217"/>
              <w:jc w:val="right"/>
              <w:rPr>
                <w:sz w:val="16"/>
              </w:rPr>
            </w:pPr>
            <w:r>
              <w:rPr>
                <w:sz w:val="16"/>
              </w:rPr>
              <w:t>284.63</w:t>
            </w:r>
          </w:p>
        </w:tc>
        <w:tc>
          <w:tcPr>
            <w:tcW w:w="900" w:type="dxa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91.43</w:t>
            </w:r>
          </w:p>
        </w:tc>
        <w:tc>
          <w:tcPr>
            <w:tcW w:w="900" w:type="dxa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23.22</w:t>
            </w:r>
          </w:p>
        </w:tc>
        <w:tc>
          <w:tcPr>
            <w:tcW w:w="900" w:type="dxa"/>
          </w:tcPr>
          <w:p>
            <w:pPr>
              <w:pStyle w:val="TableParagraph"/>
              <w:ind w:left="223"/>
              <w:jc w:val="left"/>
              <w:rPr>
                <w:sz w:val="16"/>
              </w:rPr>
            </w:pPr>
            <w:r>
              <w:rPr>
                <w:sz w:val="16"/>
              </w:rPr>
              <w:t>182.05</w:t>
            </w:r>
          </w:p>
        </w:tc>
      </w:tr>
      <w:tr>
        <w:trPr>
          <w:trHeight w:val="196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spacing w:line="176" w:lineRule="exact"/>
              <w:ind w:left="0" w:right="123"/>
              <w:jc w:val="right"/>
              <w:rPr>
                <w:sz w:val="16"/>
              </w:rPr>
            </w:pPr>
            <w:r>
              <w:rPr>
                <w:sz w:val="16"/>
              </w:rPr>
              <w:t>WCH-49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169.33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536.82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9.61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left="0" w:right="217"/>
              <w:jc w:val="right"/>
              <w:rPr>
                <w:sz w:val="16"/>
              </w:rPr>
            </w:pPr>
            <w:r>
              <w:rPr>
                <w:sz w:val="16"/>
              </w:rPr>
              <w:t>330.64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122.82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24.85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left="223"/>
              <w:jc w:val="left"/>
              <w:rPr>
                <w:sz w:val="16"/>
              </w:rPr>
            </w:pPr>
            <w:r>
              <w:rPr>
                <w:sz w:val="16"/>
              </w:rPr>
              <w:t>197.42</w:t>
            </w:r>
          </w:p>
        </w:tc>
      </w:tr>
      <w:tr>
        <w:trPr>
          <w:trHeight w:val="194" w:hRule="atLeast"/>
        </w:trPr>
        <w:tc>
          <w:tcPr>
            <w:tcW w:w="806" w:type="dxa"/>
          </w:tcPr>
          <w:p>
            <w:pPr>
              <w:pStyle w:val="TableParagraph"/>
              <w:ind w:left="0" w:right="123"/>
              <w:jc w:val="right"/>
              <w:rPr>
                <w:sz w:val="16"/>
              </w:rPr>
            </w:pPr>
            <w:r>
              <w:rPr>
                <w:sz w:val="16"/>
              </w:rPr>
              <w:t>WCH-50</w:t>
            </w:r>
          </w:p>
        </w:tc>
        <w:tc>
          <w:tcPr>
            <w:tcW w:w="900" w:type="dxa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170.92</w:t>
            </w:r>
          </w:p>
        </w:tc>
        <w:tc>
          <w:tcPr>
            <w:tcW w:w="900" w:type="dxa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566.61</w:t>
            </w:r>
          </w:p>
        </w:tc>
        <w:tc>
          <w:tcPr>
            <w:tcW w:w="900" w:type="dxa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2.23</w:t>
            </w:r>
          </w:p>
        </w:tc>
        <w:tc>
          <w:tcPr>
            <w:tcW w:w="900" w:type="dxa"/>
          </w:tcPr>
          <w:p>
            <w:pPr>
              <w:pStyle w:val="TableParagraph"/>
              <w:ind w:left="0" w:right="217"/>
              <w:jc w:val="right"/>
              <w:rPr>
                <w:sz w:val="16"/>
              </w:rPr>
            </w:pPr>
            <w:r>
              <w:rPr>
                <w:sz w:val="16"/>
              </w:rPr>
              <w:t>414.28</w:t>
            </w:r>
          </w:p>
        </w:tc>
        <w:tc>
          <w:tcPr>
            <w:tcW w:w="900" w:type="dxa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39.72</w:t>
            </w:r>
          </w:p>
        </w:tc>
        <w:tc>
          <w:tcPr>
            <w:tcW w:w="900" w:type="dxa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38.07</w:t>
            </w:r>
          </w:p>
        </w:tc>
        <w:tc>
          <w:tcPr>
            <w:tcW w:w="900" w:type="dxa"/>
          </w:tcPr>
          <w:p>
            <w:pPr>
              <w:pStyle w:val="TableParagraph"/>
              <w:ind w:left="264"/>
              <w:jc w:val="left"/>
              <w:rPr>
                <w:sz w:val="16"/>
              </w:rPr>
            </w:pPr>
            <w:r>
              <w:rPr>
                <w:sz w:val="16"/>
              </w:rPr>
              <w:t>64.89</w:t>
            </w:r>
          </w:p>
        </w:tc>
      </w:tr>
      <w:tr>
        <w:trPr>
          <w:trHeight w:val="196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spacing w:line="176" w:lineRule="exact"/>
              <w:ind w:left="0" w:right="123"/>
              <w:jc w:val="right"/>
              <w:rPr>
                <w:sz w:val="16"/>
              </w:rPr>
            </w:pPr>
            <w:r>
              <w:rPr>
                <w:sz w:val="16"/>
              </w:rPr>
              <w:t>WCH-51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172.00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98.09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4.61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left="0" w:right="257"/>
              <w:jc w:val="right"/>
              <w:rPr>
                <w:sz w:val="16"/>
              </w:rPr>
            </w:pPr>
            <w:r>
              <w:rPr>
                <w:sz w:val="16"/>
              </w:rPr>
              <w:t>60.68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101.56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7.02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left="223"/>
              <w:jc w:val="left"/>
              <w:rPr>
                <w:sz w:val="16"/>
              </w:rPr>
            </w:pPr>
            <w:r>
              <w:rPr>
                <w:sz w:val="16"/>
              </w:rPr>
              <w:t>123.94</w:t>
            </w: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6" w:lineRule="exact"/>
              <w:ind w:left="0" w:right="123"/>
              <w:jc w:val="right"/>
              <w:rPr>
                <w:sz w:val="16"/>
              </w:rPr>
            </w:pPr>
            <w:r>
              <w:rPr>
                <w:sz w:val="16"/>
              </w:rPr>
              <w:t>WCH-52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172.42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524.82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42.40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left="0" w:right="217"/>
              <w:jc w:val="right"/>
              <w:rPr>
                <w:sz w:val="16"/>
              </w:rPr>
            </w:pPr>
            <w:r>
              <w:rPr>
                <w:sz w:val="16"/>
              </w:rPr>
              <w:t>387.50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375.24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41.42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left="223"/>
              <w:jc w:val="left"/>
              <w:rPr>
                <w:sz w:val="16"/>
              </w:rPr>
            </w:pPr>
            <w:r>
              <w:rPr>
                <w:sz w:val="16"/>
              </w:rPr>
              <w:t>358.23</w:t>
            </w:r>
          </w:p>
        </w:tc>
      </w:tr>
    </w:tbl>
    <w:p>
      <w:pPr>
        <w:spacing w:after="0" w:line="176" w:lineRule="exact"/>
        <w:jc w:val="left"/>
        <w:rPr>
          <w:sz w:val="16"/>
        </w:rPr>
        <w:sectPr>
          <w:footerReference w:type="default" r:id="rId73"/>
          <w:pgSz w:w="12240" w:h="15840"/>
          <w:pgMar w:footer="1014" w:header="0" w:top="1440" w:bottom="1200" w:left="1320" w:right="820"/>
        </w:sectPr>
      </w:pPr>
    </w:p>
    <w:tbl>
      <w:tblPr>
        <w:tblW w:w="0" w:type="auto"/>
        <w:jc w:val="left"/>
        <w:tblInd w:w="1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6"/>
        <w:gridCol w:w="900"/>
        <w:gridCol w:w="900"/>
        <w:gridCol w:w="900"/>
        <w:gridCol w:w="900"/>
        <w:gridCol w:w="900"/>
        <w:gridCol w:w="900"/>
        <w:gridCol w:w="900"/>
      </w:tblGrid>
      <w:tr>
        <w:trPr>
          <w:trHeight w:val="196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spacing w:line="176" w:lineRule="exact"/>
              <w:ind w:left="109" w:right="103"/>
              <w:rPr>
                <w:sz w:val="16"/>
              </w:rPr>
            </w:pPr>
            <w:r>
              <w:rPr>
                <w:sz w:val="16"/>
              </w:rPr>
              <w:t>WCH-53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left="0" w:right="217"/>
              <w:jc w:val="right"/>
              <w:rPr>
                <w:sz w:val="16"/>
              </w:rPr>
            </w:pPr>
            <w:r>
              <w:rPr>
                <w:sz w:val="16"/>
              </w:rPr>
              <w:t>173.83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728.38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5.61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left="0" w:right="217"/>
              <w:jc w:val="right"/>
              <w:rPr>
                <w:sz w:val="16"/>
              </w:rPr>
            </w:pPr>
            <w:r>
              <w:rPr>
                <w:sz w:val="16"/>
              </w:rPr>
              <w:t>580.59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45.35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left="0" w:right="257"/>
              <w:jc w:val="right"/>
              <w:rPr>
                <w:sz w:val="16"/>
              </w:rPr>
            </w:pPr>
            <w:r>
              <w:rPr>
                <w:sz w:val="16"/>
              </w:rPr>
              <w:t>63.95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left="264"/>
              <w:jc w:val="left"/>
              <w:rPr>
                <w:sz w:val="16"/>
              </w:rPr>
            </w:pPr>
            <w:r>
              <w:rPr>
                <w:sz w:val="16"/>
              </w:rPr>
              <w:t>49.26</w:t>
            </w:r>
          </w:p>
        </w:tc>
      </w:tr>
      <w:tr>
        <w:trPr>
          <w:trHeight w:val="193" w:hRule="atLeast"/>
        </w:trPr>
        <w:tc>
          <w:tcPr>
            <w:tcW w:w="806" w:type="dxa"/>
          </w:tcPr>
          <w:p>
            <w:pPr>
              <w:pStyle w:val="TableParagraph"/>
              <w:ind w:left="109" w:right="103"/>
              <w:rPr>
                <w:sz w:val="16"/>
              </w:rPr>
            </w:pPr>
            <w:r>
              <w:rPr>
                <w:sz w:val="16"/>
              </w:rPr>
              <w:t>WCH-54</w:t>
            </w:r>
          </w:p>
        </w:tc>
        <w:tc>
          <w:tcPr>
            <w:tcW w:w="900" w:type="dxa"/>
          </w:tcPr>
          <w:p>
            <w:pPr>
              <w:pStyle w:val="TableParagraph"/>
              <w:ind w:left="0" w:right="217"/>
              <w:jc w:val="right"/>
              <w:rPr>
                <w:sz w:val="16"/>
              </w:rPr>
            </w:pPr>
            <w:r>
              <w:rPr>
                <w:sz w:val="16"/>
              </w:rPr>
              <w:t>174.42</w:t>
            </w:r>
          </w:p>
        </w:tc>
        <w:tc>
          <w:tcPr>
            <w:tcW w:w="900" w:type="dxa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313.11</w:t>
            </w:r>
          </w:p>
        </w:tc>
        <w:tc>
          <w:tcPr>
            <w:tcW w:w="900" w:type="dxa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26.78</w:t>
            </w:r>
          </w:p>
        </w:tc>
        <w:tc>
          <w:tcPr>
            <w:tcW w:w="900" w:type="dxa"/>
          </w:tcPr>
          <w:p>
            <w:pPr>
              <w:pStyle w:val="TableParagraph"/>
              <w:ind w:left="0" w:right="217"/>
              <w:jc w:val="right"/>
              <w:rPr>
                <w:sz w:val="16"/>
              </w:rPr>
            </w:pPr>
            <w:r>
              <w:rPr>
                <w:sz w:val="16"/>
              </w:rPr>
              <w:t>255.94</w:t>
            </w:r>
          </w:p>
        </w:tc>
        <w:tc>
          <w:tcPr>
            <w:tcW w:w="900" w:type="dxa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122.58</w:t>
            </w:r>
          </w:p>
        </w:tc>
        <w:tc>
          <w:tcPr>
            <w:tcW w:w="900" w:type="dxa"/>
          </w:tcPr>
          <w:p>
            <w:pPr>
              <w:pStyle w:val="TableParagraph"/>
              <w:ind w:left="0" w:right="257"/>
              <w:jc w:val="right"/>
              <w:rPr>
                <w:sz w:val="16"/>
              </w:rPr>
            </w:pPr>
            <w:r>
              <w:rPr>
                <w:sz w:val="16"/>
              </w:rPr>
              <w:t>14.52</w:t>
            </w:r>
          </w:p>
        </w:tc>
        <w:tc>
          <w:tcPr>
            <w:tcW w:w="900" w:type="dxa"/>
          </w:tcPr>
          <w:p>
            <w:pPr>
              <w:pStyle w:val="TableParagraph"/>
              <w:ind w:left="223"/>
              <w:jc w:val="left"/>
              <w:rPr>
                <w:sz w:val="16"/>
              </w:rPr>
            </w:pPr>
            <w:r>
              <w:rPr>
                <w:sz w:val="16"/>
              </w:rPr>
              <w:t>159.40</w:t>
            </w:r>
          </w:p>
        </w:tc>
      </w:tr>
      <w:tr>
        <w:trPr>
          <w:trHeight w:val="196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spacing w:line="176" w:lineRule="exact"/>
              <w:ind w:left="109" w:right="103"/>
              <w:rPr>
                <w:sz w:val="16"/>
              </w:rPr>
            </w:pPr>
            <w:r>
              <w:rPr>
                <w:sz w:val="16"/>
              </w:rPr>
              <w:t>WCH-32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left="0" w:right="217"/>
              <w:jc w:val="right"/>
              <w:rPr>
                <w:sz w:val="16"/>
              </w:rPr>
            </w:pPr>
            <w:r>
              <w:rPr>
                <w:sz w:val="16"/>
              </w:rPr>
              <w:t>181.92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543.96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203.53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left="0" w:right="217"/>
              <w:jc w:val="right"/>
              <w:rPr>
                <w:sz w:val="16"/>
              </w:rPr>
            </w:pPr>
            <w:r>
              <w:rPr>
                <w:sz w:val="16"/>
              </w:rPr>
              <w:t>440.93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626.03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left="0" w:right="257"/>
              <w:jc w:val="right"/>
              <w:rPr>
                <w:sz w:val="16"/>
              </w:rPr>
            </w:pPr>
            <w:r>
              <w:rPr>
                <w:sz w:val="16"/>
              </w:rPr>
              <w:t>42.04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left="223"/>
              <w:jc w:val="left"/>
              <w:rPr>
                <w:sz w:val="16"/>
              </w:rPr>
            </w:pPr>
            <w:r>
              <w:rPr>
                <w:sz w:val="16"/>
              </w:rPr>
              <w:t>338.94</w:t>
            </w:r>
          </w:p>
        </w:tc>
      </w:tr>
      <w:tr>
        <w:trPr>
          <w:trHeight w:val="194" w:hRule="atLeast"/>
        </w:trPr>
        <w:tc>
          <w:tcPr>
            <w:tcW w:w="806" w:type="dxa"/>
          </w:tcPr>
          <w:p>
            <w:pPr>
              <w:pStyle w:val="TableParagraph"/>
              <w:ind w:left="109" w:right="103"/>
              <w:rPr>
                <w:sz w:val="16"/>
              </w:rPr>
            </w:pPr>
            <w:r>
              <w:rPr>
                <w:sz w:val="16"/>
              </w:rPr>
              <w:t>WCH-33</w:t>
            </w:r>
          </w:p>
        </w:tc>
        <w:tc>
          <w:tcPr>
            <w:tcW w:w="900" w:type="dxa"/>
          </w:tcPr>
          <w:p>
            <w:pPr>
              <w:pStyle w:val="TableParagraph"/>
              <w:ind w:left="0" w:right="217"/>
              <w:jc w:val="right"/>
              <w:rPr>
                <w:sz w:val="16"/>
              </w:rPr>
            </w:pPr>
            <w:r>
              <w:rPr>
                <w:sz w:val="16"/>
              </w:rPr>
              <w:t>185.92</w:t>
            </w:r>
          </w:p>
        </w:tc>
        <w:tc>
          <w:tcPr>
            <w:tcW w:w="900" w:type="dxa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1031.48</w:t>
            </w:r>
          </w:p>
        </w:tc>
        <w:tc>
          <w:tcPr>
            <w:tcW w:w="900" w:type="dxa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444.12</w:t>
            </w:r>
          </w:p>
        </w:tc>
        <w:tc>
          <w:tcPr>
            <w:tcW w:w="900" w:type="dxa"/>
          </w:tcPr>
          <w:p>
            <w:pPr>
              <w:pStyle w:val="TableParagraph"/>
              <w:ind w:left="0" w:right="217"/>
              <w:jc w:val="right"/>
              <w:rPr>
                <w:sz w:val="16"/>
              </w:rPr>
            </w:pPr>
            <w:r>
              <w:rPr>
                <w:sz w:val="16"/>
              </w:rPr>
              <w:t>960.86</w:t>
            </w:r>
          </w:p>
        </w:tc>
        <w:tc>
          <w:tcPr>
            <w:tcW w:w="900" w:type="dxa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1217.38</w:t>
            </w:r>
          </w:p>
        </w:tc>
        <w:tc>
          <w:tcPr>
            <w:tcW w:w="900" w:type="dxa"/>
          </w:tcPr>
          <w:p>
            <w:pPr>
              <w:pStyle w:val="TableParagraph"/>
              <w:ind w:left="0" w:right="257"/>
              <w:jc w:val="right"/>
              <w:rPr>
                <w:sz w:val="16"/>
              </w:rPr>
            </w:pPr>
            <w:r>
              <w:rPr>
                <w:sz w:val="16"/>
              </w:rPr>
              <w:t>89.68</w:t>
            </w:r>
          </w:p>
        </w:tc>
        <w:tc>
          <w:tcPr>
            <w:tcW w:w="900" w:type="dxa"/>
          </w:tcPr>
          <w:p>
            <w:pPr>
              <w:pStyle w:val="TableParagraph"/>
              <w:ind w:left="223"/>
              <w:jc w:val="left"/>
              <w:rPr>
                <w:sz w:val="16"/>
              </w:rPr>
            </w:pPr>
            <w:r>
              <w:rPr>
                <w:sz w:val="16"/>
              </w:rPr>
              <w:t>521.91</w:t>
            </w:r>
          </w:p>
        </w:tc>
      </w:tr>
      <w:tr>
        <w:trPr>
          <w:trHeight w:val="196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spacing w:line="176" w:lineRule="exact"/>
              <w:ind w:left="109" w:right="103"/>
              <w:rPr>
                <w:sz w:val="16"/>
              </w:rPr>
            </w:pPr>
            <w:r>
              <w:rPr>
                <w:sz w:val="16"/>
              </w:rPr>
              <w:t>WCH-34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left="0" w:right="217"/>
              <w:jc w:val="right"/>
              <w:rPr>
                <w:sz w:val="16"/>
              </w:rPr>
            </w:pPr>
            <w:r>
              <w:rPr>
                <w:sz w:val="16"/>
              </w:rPr>
              <w:t>186.42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1717.07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729.74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left="0" w:right="175"/>
              <w:jc w:val="right"/>
              <w:rPr>
                <w:sz w:val="16"/>
              </w:rPr>
            </w:pPr>
            <w:r>
              <w:rPr>
                <w:sz w:val="16"/>
              </w:rPr>
              <w:t>1860.13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1947.93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left="0" w:right="217"/>
              <w:jc w:val="right"/>
              <w:rPr>
                <w:sz w:val="16"/>
              </w:rPr>
            </w:pPr>
            <w:r>
              <w:rPr>
                <w:sz w:val="16"/>
              </w:rPr>
              <w:t>191.31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left="223"/>
              <w:jc w:val="left"/>
              <w:rPr>
                <w:sz w:val="16"/>
              </w:rPr>
            </w:pPr>
            <w:r>
              <w:rPr>
                <w:sz w:val="16"/>
              </w:rPr>
              <w:t>937.08</w:t>
            </w:r>
          </w:p>
        </w:tc>
      </w:tr>
      <w:tr>
        <w:trPr>
          <w:trHeight w:val="194" w:hRule="atLeast"/>
        </w:trPr>
        <w:tc>
          <w:tcPr>
            <w:tcW w:w="806" w:type="dxa"/>
          </w:tcPr>
          <w:p>
            <w:pPr>
              <w:pStyle w:val="TableParagraph"/>
              <w:ind w:left="109" w:right="103"/>
              <w:rPr>
                <w:sz w:val="16"/>
              </w:rPr>
            </w:pPr>
            <w:r>
              <w:rPr>
                <w:sz w:val="16"/>
              </w:rPr>
              <w:t>WCH-35</w:t>
            </w:r>
          </w:p>
        </w:tc>
        <w:tc>
          <w:tcPr>
            <w:tcW w:w="900" w:type="dxa"/>
          </w:tcPr>
          <w:p>
            <w:pPr>
              <w:pStyle w:val="TableParagraph"/>
              <w:ind w:left="0" w:right="217"/>
              <w:jc w:val="right"/>
              <w:rPr>
                <w:sz w:val="16"/>
              </w:rPr>
            </w:pPr>
            <w:r>
              <w:rPr>
                <w:sz w:val="16"/>
              </w:rPr>
              <w:t>187.75</w:t>
            </w:r>
          </w:p>
        </w:tc>
        <w:tc>
          <w:tcPr>
            <w:tcW w:w="900" w:type="dxa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317.77</w:t>
            </w:r>
          </w:p>
        </w:tc>
        <w:tc>
          <w:tcPr>
            <w:tcW w:w="900" w:type="dxa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50.09</w:t>
            </w:r>
          </w:p>
        </w:tc>
        <w:tc>
          <w:tcPr>
            <w:tcW w:w="900" w:type="dxa"/>
          </w:tcPr>
          <w:p>
            <w:pPr>
              <w:pStyle w:val="TableParagraph"/>
              <w:ind w:left="0" w:right="217"/>
              <w:jc w:val="right"/>
              <w:rPr>
                <w:sz w:val="16"/>
              </w:rPr>
            </w:pPr>
            <w:r>
              <w:rPr>
                <w:sz w:val="16"/>
              </w:rPr>
              <w:t>323.25</w:t>
            </w:r>
          </w:p>
        </w:tc>
        <w:tc>
          <w:tcPr>
            <w:tcW w:w="900" w:type="dxa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180.89</w:t>
            </w:r>
          </w:p>
        </w:tc>
        <w:tc>
          <w:tcPr>
            <w:tcW w:w="900" w:type="dxa"/>
          </w:tcPr>
          <w:p>
            <w:pPr>
              <w:pStyle w:val="TableParagraph"/>
              <w:ind w:left="0" w:right="257"/>
              <w:jc w:val="right"/>
              <w:rPr>
                <w:sz w:val="16"/>
              </w:rPr>
            </w:pPr>
            <w:r>
              <w:rPr>
                <w:sz w:val="16"/>
              </w:rPr>
              <w:t>36.61</w:t>
            </w:r>
          </w:p>
        </w:tc>
        <w:tc>
          <w:tcPr>
            <w:tcW w:w="900" w:type="dxa"/>
          </w:tcPr>
          <w:p>
            <w:pPr>
              <w:pStyle w:val="TableParagraph"/>
              <w:ind w:left="223"/>
              <w:jc w:val="left"/>
              <w:rPr>
                <w:sz w:val="16"/>
              </w:rPr>
            </w:pPr>
            <w:r>
              <w:rPr>
                <w:sz w:val="16"/>
              </w:rPr>
              <w:t>102.05</w:t>
            </w:r>
          </w:p>
        </w:tc>
      </w:tr>
      <w:tr>
        <w:trPr>
          <w:trHeight w:val="196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spacing w:line="176" w:lineRule="exact"/>
              <w:ind w:left="109" w:right="103"/>
              <w:rPr>
                <w:sz w:val="16"/>
              </w:rPr>
            </w:pPr>
            <w:r>
              <w:rPr>
                <w:sz w:val="16"/>
              </w:rPr>
              <w:t>WCH-36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left="0" w:right="217"/>
              <w:jc w:val="right"/>
              <w:rPr>
                <w:sz w:val="16"/>
              </w:rPr>
            </w:pPr>
            <w:r>
              <w:rPr>
                <w:sz w:val="16"/>
              </w:rPr>
              <w:t>191.08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102.66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15.61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left="0" w:right="257"/>
              <w:jc w:val="right"/>
              <w:rPr>
                <w:sz w:val="16"/>
              </w:rPr>
            </w:pPr>
            <w:r>
              <w:rPr>
                <w:sz w:val="16"/>
              </w:rPr>
              <w:t>76.06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86.58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left="0" w:right="298"/>
              <w:jc w:val="right"/>
              <w:rPr>
                <w:sz w:val="16"/>
              </w:rPr>
            </w:pPr>
            <w:r>
              <w:rPr>
                <w:sz w:val="16"/>
              </w:rPr>
              <w:t>6.17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left="264"/>
              <w:jc w:val="left"/>
              <w:rPr>
                <w:sz w:val="16"/>
              </w:rPr>
            </w:pPr>
            <w:r>
              <w:rPr>
                <w:sz w:val="16"/>
              </w:rPr>
              <w:t>64.80</w:t>
            </w:r>
          </w:p>
        </w:tc>
      </w:tr>
      <w:tr>
        <w:trPr>
          <w:trHeight w:val="194" w:hRule="atLeast"/>
        </w:trPr>
        <w:tc>
          <w:tcPr>
            <w:tcW w:w="806" w:type="dxa"/>
          </w:tcPr>
          <w:p>
            <w:pPr>
              <w:pStyle w:val="TableParagraph"/>
              <w:ind w:left="109" w:right="103"/>
              <w:rPr>
                <w:sz w:val="16"/>
              </w:rPr>
            </w:pPr>
            <w:r>
              <w:rPr>
                <w:sz w:val="16"/>
              </w:rPr>
              <w:t>WCH-55</w:t>
            </w:r>
          </w:p>
        </w:tc>
        <w:tc>
          <w:tcPr>
            <w:tcW w:w="900" w:type="dxa"/>
          </w:tcPr>
          <w:p>
            <w:pPr>
              <w:pStyle w:val="TableParagraph"/>
              <w:ind w:left="0" w:right="217"/>
              <w:jc w:val="right"/>
              <w:rPr>
                <w:sz w:val="16"/>
              </w:rPr>
            </w:pPr>
            <w:r>
              <w:rPr>
                <w:sz w:val="16"/>
              </w:rPr>
              <w:t>191.33</w:t>
            </w:r>
          </w:p>
        </w:tc>
        <w:tc>
          <w:tcPr>
            <w:tcW w:w="900" w:type="dxa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362.56</w:t>
            </w:r>
          </w:p>
        </w:tc>
        <w:tc>
          <w:tcPr>
            <w:tcW w:w="900" w:type="dxa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80.24</w:t>
            </w:r>
          </w:p>
        </w:tc>
        <w:tc>
          <w:tcPr>
            <w:tcW w:w="900" w:type="dxa"/>
          </w:tcPr>
          <w:p>
            <w:pPr>
              <w:pStyle w:val="TableParagraph"/>
              <w:ind w:left="0" w:right="217"/>
              <w:jc w:val="right"/>
              <w:rPr>
                <w:sz w:val="16"/>
              </w:rPr>
            </w:pPr>
            <w:r>
              <w:rPr>
                <w:sz w:val="16"/>
              </w:rPr>
              <w:t>263.12</w:t>
            </w:r>
          </w:p>
        </w:tc>
        <w:tc>
          <w:tcPr>
            <w:tcW w:w="900" w:type="dxa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430.57</w:t>
            </w:r>
          </w:p>
        </w:tc>
        <w:tc>
          <w:tcPr>
            <w:tcW w:w="900" w:type="dxa"/>
          </w:tcPr>
          <w:p>
            <w:pPr>
              <w:pStyle w:val="TableParagraph"/>
              <w:ind w:left="0" w:right="257"/>
              <w:jc w:val="right"/>
              <w:rPr>
                <w:sz w:val="16"/>
              </w:rPr>
            </w:pPr>
            <w:r>
              <w:rPr>
                <w:sz w:val="16"/>
              </w:rPr>
              <w:t>19.64</w:t>
            </w:r>
          </w:p>
        </w:tc>
        <w:tc>
          <w:tcPr>
            <w:tcW w:w="900" w:type="dxa"/>
          </w:tcPr>
          <w:p>
            <w:pPr>
              <w:pStyle w:val="TableParagraph"/>
              <w:ind w:left="223"/>
              <w:jc w:val="left"/>
              <w:rPr>
                <w:sz w:val="16"/>
              </w:rPr>
            </w:pPr>
            <w:r>
              <w:rPr>
                <w:sz w:val="16"/>
              </w:rPr>
              <w:t>427.00</w:t>
            </w:r>
          </w:p>
        </w:tc>
      </w:tr>
      <w:tr>
        <w:trPr>
          <w:trHeight w:val="196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109" w:right="103"/>
              <w:rPr>
                <w:sz w:val="16"/>
              </w:rPr>
            </w:pPr>
            <w:r>
              <w:rPr>
                <w:sz w:val="16"/>
              </w:rPr>
              <w:t>WCH-37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0" w:right="217"/>
              <w:jc w:val="right"/>
              <w:rPr>
                <w:sz w:val="16"/>
              </w:rPr>
            </w:pPr>
            <w:r>
              <w:rPr>
                <w:sz w:val="16"/>
              </w:rPr>
              <w:t>192.75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right="84"/>
              <w:rPr>
                <w:sz w:val="16"/>
              </w:rPr>
            </w:pPr>
            <w:r>
              <w:rPr>
                <w:sz w:val="16"/>
              </w:rPr>
              <w:t>229.88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right="84"/>
              <w:rPr>
                <w:sz w:val="16"/>
              </w:rPr>
            </w:pPr>
            <w:r>
              <w:rPr>
                <w:sz w:val="16"/>
              </w:rPr>
              <w:t>4.18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0" w:right="217"/>
              <w:jc w:val="right"/>
              <w:rPr>
                <w:sz w:val="16"/>
              </w:rPr>
            </w:pPr>
            <w:r>
              <w:rPr>
                <w:sz w:val="16"/>
              </w:rPr>
              <w:t>159.08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right="84"/>
              <w:rPr>
                <w:sz w:val="16"/>
              </w:rPr>
            </w:pPr>
            <w:r>
              <w:rPr>
                <w:sz w:val="16"/>
              </w:rPr>
              <w:t>23.75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0" w:right="257"/>
              <w:jc w:val="right"/>
              <w:rPr>
                <w:sz w:val="16"/>
              </w:rPr>
            </w:pPr>
            <w:r>
              <w:rPr>
                <w:sz w:val="16"/>
              </w:rPr>
              <w:t>13.29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264"/>
              <w:jc w:val="left"/>
              <w:rPr>
                <w:sz w:val="16"/>
              </w:rPr>
            </w:pPr>
            <w:r>
              <w:rPr>
                <w:sz w:val="16"/>
              </w:rPr>
              <w:t>24.32</w:t>
            </w:r>
          </w:p>
        </w:tc>
      </w:tr>
      <w:tr>
        <w:trPr>
          <w:trHeight w:val="194" w:hRule="atLeast"/>
        </w:trPr>
        <w:tc>
          <w:tcPr>
            <w:tcW w:w="806" w:type="dxa"/>
          </w:tcPr>
          <w:p>
            <w:pPr>
              <w:pStyle w:val="TableParagraph"/>
              <w:ind w:left="109" w:right="103"/>
              <w:rPr>
                <w:sz w:val="16"/>
              </w:rPr>
            </w:pPr>
            <w:r>
              <w:rPr>
                <w:sz w:val="16"/>
              </w:rPr>
              <w:t>WCH-38</w:t>
            </w:r>
          </w:p>
        </w:tc>
        <w:tc>
          <w:tcPr>
            <w:tcW w:w="900" w:type="dxa"/>
          </w:tcPr>
          <w:p>
            <w:pPr>
              <w:pStyle w:val="TableParagraph"/>
              <w:ind w:left="0" w:right="217"/>
              <w:jc w:val="right"/>
              <w:rPr>
                <w:sz w:val="16"/>
              </w:rPr>
            </w:pPr>
            <w:r>
              <w:rPr>
                <w:sz w:val="16"/>
              </w:rPr>
              <w:t>193.75</w:t>
            </w:r>
          </w:p>
        </w:tc>
        <w:tc>
          <w:tcPr>
            <w:tcW w:w="900" w:type="dxa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165.57</w:t>
            </w:r>
          </w:p>
        </w:tc>
        <w:tc>
          <w:tcPr>
            <w:tcW w:w="900" w:type="dxa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16.53</w:t>
            </w:r>
          </w:p>
        </w:tc>
        <w:tc>
          <w:tcPr>
            <w:tcW w:w="900" w:type="dxa"/>
          </w:tcPr>
          <w:p>
            <w:pPr>
              <w:pStyle w:val="TableParagraph"/>
              <w:ind w:left="0" w:right="217"/>
              <w:jc w:val="right"/>
              <w:rPr>
                <w:sz w:val="16"/>
              </w:rPr>
            </w:pPr>
            <w:r>
              <w:rPr>
                <w:sz w:val="16"/>
              </w:rPr>
              <w:t>114.29</w:t>
            </w:r>
          </w:p>
        </w:tc>
        <w:tc>
          <w:tcPr>
            <w:tcW w:w="900" w:type="dxa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54.95</w:t>
            </w:r>
          </w:p>
        </w:tc>
        <w:tc>
          <w:tcPr>
            <w:tcW w:w="900" w:type="dxa"/>
          </w:tcPr>
          <w:p>
            <w:pPr>
              <w:pStyle w:val="TableParagraph"/>
              <w:ind w:left="0" w:right="298"/>
              <w:jc w:val="right"/>
              <w:rPr>
                <w:sz w:val="16"/>
              </w:rPr>
            </w:pPr>
            <w:r>
              <w:rPr>
                <w:sz w:val="16"/>
              </w:rPr>
              <w:t>9.02</w:t>
            </w:r>
          </w:p>
        </w:tc>
        <w:tc>
          <w:tcPr>
            <w:tcW w:w="900" w:type="dxa"/>
          </w:tcPr>
          <w:p>
            <w:pPr>
              <w:pStyle w:val="TableParagraph"/>
              <w:ind w:left="264"/>
              <w:jc w:val="left"/>
              <w:rPr>
                <w:sz w:val="16"/>
              </w:rPr>
            </w:pPr>
            <w:r>
              <w:rPr>
                <w:sz w:val="16"/>
              </w:rPr>
              <w:t>48.68</w:t>
            </w:r>
          </w:p>
        </w:tc>
      </w:tr>
      <w:tr>
        <w:trPr>
          <w:trHeight w:val="196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109" w:right="103"/>
              <w:rPr>
                <w:sz w:val="16"/>
              </w:rPr>
            </w:pPr>
            <w:r>
              <w:rPr>
                <w:sz w:val="16"/>
              </w:rPr>
              <w:t>WCH-39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0" w:right="217"/>
              <w:jc w:val="right"/>
              <w:rPr>
                <w:sz w:val="16"/>
              </w:rPr>
            </w:pPr>
            <w:r>
              <w:rPr>
                <w:sz w:val="16"/>
              </w:rPr>
              <w:t>195.42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right="84"/>
              <w:rPr>
                <w:sz w:val="16"/>
              </w:rPr>
            </w:pPr>
            <w:r>
              <w:rPr>
                <w:sz w:val="16"/>
              </w:rPr>
              <w:t>142.55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right="84"/>
              <w:rPr>
                <w:sz w:val="16"/>
              </w:rPr>
            </w:pPr>
            <w:r>
              <w:rPr>
                <w:sz w:val="16"/>
              </w:rPr>
              <w:t>13.96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0" w:right="257"/>
              <w:jc w:val="right"/>
              <w:rPr>
                <w:sz w:val="16"/>
              </w:rPr>
            </w:pPr>
            <w:r>
              <w:rPr>
                <w:sz w:val="16"/>
              </w:rPr>
              <w:t>96.56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right="84"/>
              <w:rPr>
                <w:sz w:val="16"/>
              </w:rPr>
            </w:pPr>
            <w:r>
              <w:rPr>
                <w:sz w:val="16"/>
              </w:rPr>
              <w:t>41.86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0" w:right="298"/>
              <w:jc w:val="right"/>
              <w:rPr>
                <w:sz w:val="16"/>
              </w:rPr>
            </w:pPr>
            <w:r>
              <w:rPr>
                <w:sz w:val="16"/>
              </w:rPr>
              <w:t>6.51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264"/>
              <w:jc w:val="left"/>
              <w:rPr>
                <w:sz w:val="16"/>
              </w:rPr>
            </w:pPr>
            <w:r>
              <w:rPr>
                <w:sz w:val="16"/>
              </w:rPr>
              <w:t>43.83</w:t>
            </w: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6" w:lineRule="exact"/>
              <w:ind w:left="109" w:right="103"/>
              <w:rPr>
                <w:sz w:val="16"/>
              </w:rPr>
            </w:pPr>
            <w:r>
              <w:rPr>
                <w:sz w:val="16"/>
              </w:rPr>
              <w:t>WCH-56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left="0" w:right="217"/>
              <w:jc w:val="right"/>
              <w:rPr>
                <w:sz w:val="16"/>
              </w:rPr>
            </w:pPr>
            <w:r>
              <w:rPr>
                <w:sz w:val="16"/>
              </w:rPr>
              <w:t>203.08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471.96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71.75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left="0" w:right="217"/>
              <w:jc w:val="right"/>
              <w:rPr>
                <w:sz w:val="16"/>
              </w:rPr>
            </w:pPr>
            <w:r>
              <w:rPr>
                <w:sz w:val="16"/>
              </w:rPr>
              <w:t>435.90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383.53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left="0" w:right="257"/>
              <w:jc w:val="right"/>
              <w:rPr>
                <w:sz w:val="16"/>
              </w:rPr>
            </w:pPr>
            <w:r>
              <w:rPr>
                <w:sz w:val="16"/>
              </w:rPr>
              <w:t>41.09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left="223"/>
              <w:jc w:val="left"/>
              <w:rPr>
                <w:sz w:val="16"/>
              </w:rPr>
            </w:pPr>
            <w:r>
              <w:rPr>
                <w:sz w:val="16"/>
              </w:rPr>
              <w:t>436.78</w:t>
            </w:r>
          </w:p>
        </w:tc>
      </w:tr>
      <w:tr>
        <w:trPr>
          <w:trHeight w:val="194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ind w:left="109" w:right="103"/>
              <w:rPr>
                <w:sz w:val="16"/>
              </w:rPr>
            </w:pPr>
            <w:r>
              <w:rPr>
                <w:sz w:val="16"/>
              </w:rPr>
              <w:t>WCH-57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left="0" w:right="217"/>
              <w:jc w:val="right"/>
              <w:rPr>
                <w:sz w:val="16"/>
              </w:rPr>
            </w:pPr>
            <w:r>
              <w:rPr>
                <w:sz w:val="16"/>
              </w:rPr>
              <w:t>207.00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451.38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5.33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left="0" w:right="217"/>
              <w:jc w:val="right"/>
              <w:rPr>
                <w:sz w:val="16"/>
              </w:rPr>
            </w:pPr>
            <w:r>
              <w:rPr>
                <w:sz w:val="16"/>
              </w:rPr>
              <w:t>325.93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27.96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left="0" w:right="257"/>
              <w:jc w:val="right"/>
              <w:rPr>
                <w:sz w:val="16"/>
              </w:rPr>
            </w:pPr>
            <w:r>
              <w:rPr>
                <w:sz w:val="16"/>
              </w:rPr>
              <w:t>31.74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left="264"/>
              <w:jc w:val="left"/>
              <w:rPr>
                <w:sz w:val="16"/>
              </w:rPr>
            </w:pPr>
            <w:r>
              <w:rPr>
                <w:sz w:val="16"/>
              </w:rPr>
              <w:t>24.20</w:t>
            </w: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6" w:lineRule="exact"/>
              <w:ind w:left="109" w:right="103"/>
              <w:rPr>
                <w:sz w:val="16"/>
              </w:rPr>
            </w:pPr>
            <w:r>
              <w:rPr>
                <w:sz w:val="16"/>
              </w:rPr>
              <w:t>WCH-58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left="0" w:right="217"/>
              <w:jc w:val="right"/>
              <w:rPr>
                <w:sz w:val="16"/>
              </w:rPr>
            </w:pPr>
            <w:r>
              <w:rPr>
                <w:sz w:val="16"/>
              </w:rPr>
              <w:t>209.92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289.14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9.06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left="0" w:right="217"/>
              <w:jc w:val="right"/>
              <w:rPr>
                <w:sz w:val="16"/>
              </w:rPr>
            </w:pPr>
            <w:r>
              <w:rPr>
                <w:sz w:val="16"/>
              </w:rPr>
              <w:t>234.39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31.25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left="0" w:right="257"/>
              <w:jc w:val="right"/>
              <w:rPr>
                <w:sz w:val="16"/>
              </w:rPr>
            </w:pPr>
            <w:r>
              <w:rPr>
                <w:sz w:val="16"/>
              </w:rPr>
              <w:t>12.01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left="264"/>
              <w:jc w:val="left"/>
              <w:rPr>
                <w:sz w:val="16"/>
              </w:rPr>
            </w:pPr>
            <w:r>
              <w:rPr>
                <w:sz w:val="16"/>
              </w:rPr>
              <w:t>55.62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9"/>
        </w:rPr>
      </w:pPr>
    </w:p>
    <w:p>
      <w:pPr>
        <w:spacing w:before="0"/>
        <w:ind w:left="120" w:right="0" w:firstLine="0"/>
        <w:jc w:val="left"/>
        <w:rPr>
          <w:sz w:val="22"/>
        </w:rPr>
      </w:pPr>
      <w:r>
        <w:rPr>
          <w:position w:val="2"/>
          <w:sz w:val="22"/>
        </w:rPr>
        <w:t>Table</w:t>
      </w:r>
      <w:r>
        <w:rPr>
          <w:spacing w:val="-1"/>
          <w:position w:val="2"/>
          <w:sz w:val="22"/>
        </w:rPr>
        <w:t> </w:t>
      </w:r>
      <w:r>
        <w:rPr>
          <w:position w:val="2"/>
          <w:sz w:val="22"/>
        </w:rPr>
        <w:t>5.</w:t>
      </w:r>
      <w:r>
        <w:rPr>
          <w:spacing w:val="-4"/>
          <w:position w:val="2"/>
          <w:sz w:val="22"/>
        </w:rPr>
        <w:t> </w:t>
      </w:r>
      <w:r>
        <w:rPr>
          <w:position w:val="2"/>
          <w:sz w:val="22"/>
        </w:rPr>
        <w:t>VO/Ni</w:t>
      </w:r>
      <w:r>
        <w:rPr>
          <w:spacing w:val="-1"/>
          <w:position w:val="2"/>
          <w:sz w:val="22"/>
        </w:rPr>
        <w:t> </w:t>
      </w:r>
      <w:r>
        <w:rPr>
          <w:position w:val="2"/>
          <w:sz w:val="22"/>
        </w:rPr>
        <w:t>porphyrin</w:t>
      </w:r>
      <w:r>
        <w:rPr>
          <w:spacing w:val="-2"/>
          <w:position w:val="2"/>
          <w:sz w:val="22"/>
        </w:rPr>
        <w:t> </w:t>
      </w:r>
      <w:r>
        <w:rPr>
          <w:position w:val="2"/>
          <w:sz w:val="22"/>
        </w:rPr>
        <w:t>ratio,</w:t>
      </w:r>
      <w:r>
        <w:rPr>
          <w:spacing w:val="-3"/>
          <w:position w:val="2"/>
          <w:sz w:val="22"/>
        </w:rPr>
        <w:t> </w:t>
      </w:r>
      <w:r>
        <w:rPr>
          <w:position w:val="2"/>
          <w:sz w:val="22"/>
        </w:rPr>
        <w:t>DPEP/ETIO</w:t>
      </w:r>
      <w:r>
        <w:rPr>
          <w:spacing w:val="-1"/>
          <w:position w:val="2"/>
          <w:sz w:val="22"/>
        </w:rPr>
        <w:t> </w:t>
      </w:r>
      <w:r>
        <w:rPr>
          <w:position w:val="2"/>
          <w:sz w:val="22"/>
        </w:rPr>
        <w:t>ratio,</w:t>
      </w:r>
      <w:r>
        <w:rPr>
          <w:spacing w:val="-4"/>
          <w:position w:val="2"/>
          <w:sz w:val="22"/>
        </w:rPr>
        <w:t> </w:t>
      </w:r>
      <w:r>
        <w:rPr>
          <w:position w:val="2"/>
          <w:sz w:val="22"/>
        </w:rPr>
        <w:t>and</w:t>
      </w:r>
      <w:r>
        <w:rPr>
          <w:spacing w:val="-4"/>
          <w:position w:val="2"/>
          <w:sz w:val="22"/>
        </w:rPr>
        <w:t> </w:t>
      </w:r>
      <w:r>
        <w:rPr>
          <w:position w:val="2"/>
          <w:sz w:val="22"/>
        </w:rPr>
        <w:t>T</w:t>
      </w:r>
      <w:r>
        <w:rPr>
          <w:sz w:val="14"/>
        </w:rPr>
        <w:t>max</w:t>
      </w:r>
      <w:r>
        <w:rPr>
          <w:position w:val="2"/>
          <w:sz w:val="22"/>
        </w:rPr>
        <w:t>.</w:t>
      </w:r>
      <w:r>
        <w:rPr>
          <w:spacing w:val="-1"/>
          <w:position w:val="2"/>
          <w:sz w:val="22"/>
        </w:rPr>
        <w:t> </w:t>
      </w:r>
      <w:r>
        <w:rPr>
          <w:position w:val="2"/>
          <w:sz w:val="22"/>
        </w:rPr>
        <w:t>T</w:t>
      </w:r>
      <w:r>
        <w:rPr>
          <w:sz w:val="14"/>
        </w:rPr>
        <w:t>max</w:t>
      </w:r>
      <w:r>
        <w:rPr>
          <w:spacing w:val="17"/>
          <w:sz w:val="14"/>
        </w:rPr>
        <w:t> </w:t>
      </w:r>
      <w:r>
        <w:rPr>
          <w:position w:val="2"/>
          <w:sz w:val="22"/>
        </w:rPr>
        <w:t>data taken from</w:t>
      </w:r>
      <w:r>
        <w:rPr>
          <w:spacing w:val="1"/>
          <w:position w:val="2"/>
          <w:sz w:val="22"/>
        </w:rPr>
        <w:t> </w:t>
      </w:r>
      <w:r>
        <w:rPr>
          <w:position w:val="2"/>
          <w:sz w:val="22"/>
        </w:rPr>
        <w:t>Connock</w:t>
      </w:r>
      <w:r>
        <w:rPr>
          <w:spacing w:val="-1"/>
          <w:position w:val="2"/>
          <w:sz w:val="22"/>
        </w:rPr>
        <w:t> </w:t>
      </w:r>
      <w:r>
        <w:rPr>
          <w:position w:val="2"/>
          <w:sz w:val="22"/>
        </w:rPr>
        <w:t>et</w:t>
      </w:r>
      <w:r>
        <w:rPr>
          <w:spacing w:val="-5"/>
          <w:position w:val="2"/>
          <w:sz w:val="22"/>
        </w:rPr>
        <w:t> </w:t>
      </w:r>
      <w:r>
        <w:rPr>
          <w:position w:val="2"/>
          <w:sz w:val="22"/>
        </w:rPr>
        <w:t>al. 2018</w:t>
      </w:r>
    </w:p>
    <w:p>
      <w:pPr>
        <w:pStyle w:val="BodyText"/>
        <w:spacing w:before="6"/>
        <w:rPr>
          <w:sz w:val="16"/>
        </w:rPr>
      </w:pPr>
    </w:p>
    <w:tbl>
      <w:tblPr>
        <w:tblW w:w="0" w:type="auto"/>
        <w:jc w:val="left"/>
        <w:tblInd w:w="24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6"/>
        <w:gridCol w:w="988"/>
        <w:gridCol w:w="1079"/>
        <w:gridCol w:w="1079"/>
        <w:gridCol w:w="719"/>
      </w:tblGrid>
      <w:tr>
        <w:trPr>
          <w:trHeight w:val="390" w:hRule="atLeast"/>
        </w:trPr>
        <w:tc>
          <w:tcPr>
            <w:tcW w:w="806" w:type="dxa"/>
            <w:shd w:val="clear" w:color="auto" w:fill="4472C3"/>
          </w:tcPr>
          <w:p>
            <w:pPr>
              <w:pStyle w:val="TableParagraph"/>
              <w:spacing w:line="240" w:lineRule="auto"/>
              <w:ind w:left="0"/>
              <w:jc w:val="left"/>
              <w:rPr>
                <w:sz w:val="16"/>
              </w:rPr>
            </w:pPr>
          </w:p>
          <w:p>
            <w:pPr>
              <w:pStyle w:val="TableParagraph"/>
              <w:spacing w:line="175" w:lineRule="exact"/>
              <w:ind w:left="111" w:right="103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sample</w:t>
            </w:r>
          </w:p>
        </w:tc>
        <w:tc>
          <w:tcPr>
            <w:tcW w:w="988" w:type="dxa"/>
            <w:shd w:val="clear" w:color="auto" w:fill="4472C3"/>
          </w:tcPr>
          <w:p>
            <w:pPr>
              <w:pStyle w:val="TableParagraph"/>
              <w:spacing w:line="240" w:lineRule="auto"/>
              <w:ind w:left="0"/>
              <w:jc w:val="left"/>
              <w:rPr>
                <w:sz w:val="16"/>
              </w:rPr>
            </w:pPr>
          </w:p>
          <w:p>
            <w:pPr>
              <w:pStyle w:val="TableParagraph"/>
              <w:spacing w:line="175" w:lineRule="exact"/>
              <w:ind w:left="153" w:right="149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depth</w:t>
            </w:r>
            <w:r>
              <w:rPr>
                <w:b/>
                <w:color w:val="FFFFFF"/>
                <w:spacing w:val="-1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(ft)</w:t>
            </w:r>
          </w:p>
        </w:tc>
        <w:tc>
          <w:tcPr>
            <w:tcW w:w="1079" w:type="dxa"/>
            <w:shd w:val="clear" w:color="auto" w:fill="4472C3"/>
          </w:tcPr>
          <w:p>
            <w:pPr>
              <w:pStyle w:val="TableParagraph"/>
              <w:spacing w:line="195" w:lineRule="exact" w:before="1"/>
              <w:ind w:left="156" w:right="143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VO/Ni</w:t>
            </w:r>
          </w:p>
          <w:p>
            <w:pPr>
              <w:pStyle w:val="TableParagraph"/>
              <w:spacing w:line="175" w:lineRule="exact"/>
              <w:ind w:left="156" w:right="145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Porphyrins</w:t>
            </w:r>
          </w:p>
        </w:tc>
        <w:tc>
          <w:tcPr>
            <w:tcW w:w="1079" w:type="dxa"/>
            <w:shd w:val="clear" w:color="auto" w:fill="4472C3"/>
          </w:tcPr>
          <w:p>
            <w:pPr>
              <w:pStyle w:val="TableParagraph"/>
              <w:spacing w:line="240" w:lineRule="auto"/>
              <w:ind w:left="0"/>
              <w:jc w:val="left"/>
              <w:rPr>
                <w:sz w:val="16"/>
              </w:rPr>
            </w:pPr>
          </w:p>
          <w:p>
            <w:pPr>
              <w:pStyle w:val="TableParagraph"/>
              <w:spacing w:line="175" w:lineRule="exact"/>
              <w:ind w:left="156" w:right="145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DPEP/ETIO</w:t>
            </w:r>
          </w:p>
        </w:tc>
        <w:tc>
          <w:tcPr>
            <w:tcW w:w="719" w:type="dxa"/>
            <w:shd w:val="clear" w:color="auto" w:fill="4472C3"/>
          </w:tcPr>
          <w:p>
            <w:pPr>
              <w:pStyle w:val="TableParagraph"/>
              <w:spacing w:line="240" w:lineRule="auto"/>
              <w:ind w:left="0"/>
              <w:jc w:val="left"/>
              <w:rPr>
                <w:sz w:val="16"/>
              </w:rPr>
            </w:pPr>
          </w:p>
          <w:p>
            <w:pPr>
              <w:pStyle w:val="TableParagraph"/>
              <w:spacing w:line="175" w:lineRule="exact"/>
              <w:ind w:left="162" w:right="145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Tmax</w:t>
            </w:r>
          </w:p>
        </w:tc>
      </w:tr>
      <w:tr>
        <w:trPr>
          <w:trHeight w:val="196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111" w:right="102"/>
              <w:rPr>
                <w:sz w:val="16"/>
              </w:rPr>
            </w:pPr>
            <w:r>
              <w:rPr>
                <w:sz w:val="16"/>
              </w:rPr>
              <w:t>WCH-1</w:t>
            </w:r>
          </w:p>
        </w:tc>
        <w:tc>
          <w:tcPr>
            <w:tcW w:w="988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153" w:right="146"/>
              <w:rPr>
                <w:sz w:val="16"/>
              </w:rPr>
            </w:pPr>
            <w:r>
              <w:rPr>
                <w:sz w:val="16"/>
              </w:rPr>
              <w:t>74.00</w:t>
            </w:r>
          </w:p>
        </w:tc>
        <w:tc>
          <w:tcPr>
            <w:tcW w:w="1079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399"/>
              <w:jc w:val="left"/>
              <w:rPr>
                <w:sz w:val="16"/>
              </w:rPr>
            </w:pPr>
            <w:r>
              <w:rPr>
                <w:sz w:val="16"/>
              </w:rPr>
              <w:t>0.04</w:t>
            </w:r>
          </w:p>
        </w:tc>
        <w:tc>
          <w:tcPr>
            <w:tcW w:w="1079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156" w:right="140"/>
              <w:rPr>
                <w:sz w:val="16"/>
              </w:rPr>
            </w:pPr>
            <w:r>
              <w:rPr>
                <w:sz w:val="16"/>
              </w:rPr>
              <w:t>0.88</w:t>
            </w:r>
          </w:p>
        </w:tc>
        <w:tc>
          <w:tcPr>
            <w:tcW w:w="719" w:type="dxa"/>
            <w:shd w:val="clear" w:color="auto" w:fill="D8E1F2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94" w:hRule="atLeast"/>
        </w:trPr>
        <w:tc>
          <w:tcPr>
            <w:tcW w:w="806" w:type="dxa"/>
          </w:tcPr>
          <w:p>
            <w:pPr>
              <w:pStyle w:val="TableParagraph"/>
              <w:ind w:left="111" w:right="102"/>
              <w:rPr>
                <w:sz w:val="16"/>
              </w:rPr>
            </w:pPr>
            <w:r>
              <w:rPr>
                <w:sz w:val="16"/>
              </w:rPr>
              <w:t>WCH-2</w:t>
            </w:r>
          </w:p>
        </w:tc>
        <w:tc>
          <w:tcPr>
            <w:tcW w:w="988" w:type="dxa"/>
          </w:tcPr>
          <w:p>
            <w:pPr>
              <w:pStyle w:val="TableParagraph"/>
              <w:ind w:left="153" w:right="146"/>
              <w:rPr>
                <w:sz w:val="16"/>
              </w:rPr>
            </w:pPr>
            <w:r>
              <w:rPr>
                <w:sz w:val="16"/>
              </w:rPr>
              <w:t>75.50</w:t>
            </w:r>
          </w:p>
        </w:tc>
        <w:tc>
          <w:tcPr>
            <w:tcW w:w="1079" w:type="dxa"/>
          </w:tcPr>
          <w:p>
            <w:pPr>
              <w:pStyle w:val="TableParagraph"/>
              <w:ind w:left="399"/>
              <w:jc w:val="left"/>
              <w:rPr>
                <w:sz w:val="16"/>
              </w:rPr>
            </w:pPr>
            <w:r>
              <w:rPr>
                <w:sz w:val="16"/>
              </w:rPr>
              <w:t>0.03</w:t>
            </w:r>
          </w:p>
        </w:tc>
        <w:tc>
          <w:tcPr>
            <w:tcW w:w="1079" w:type="dxa"/>
          </w:tcPr>
          <w:p>
            <w:pPr>
              <w:pStyle w:val="TableParagraph"/>
              <w:ind w:left="156" w:right="140"/>
              <w:rPr>
                <w:sz w:val="16"/>
              </w:rPr>
            </w:pPr>
            <w:r>
              <w:rPr>
                <w:sz w:val="16"/>
              </w:rPr>
              <w:t>1.01</w:t>
            </w:r>
          </w:p>
        </w:tc>
        <w:tc>
          <w:tcPr>
            <w:tcW w:w="719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96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111" w:right="102"/>
              <w:rPr>
                <w:sz w:val="16"/>
              </w:rPr>
            </w:pPr>
            <w:r>
              <w:rPr>
                <w:sz w:val="16"/>
              </w:rPr>
              <w:t>WCH-3</w:t>
            </w:r>
          </w:p>
        </w:tc>
        <w:tc>
          <w:tcPr>
            <w:tcW w:w="988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153" w:right="146"/>
              <w:rPr>
                <w:sz w:val="16"/>
              </w:rPr>
            </w:pPr>
            <w:r>
              <w:rPr>
                <w:sz w:val="16"/>
              </w:rPr>
              <w:t>77.08</w:t>
            </w:r>
          </w:p>
        </w:tc>
        <w:tc>
          <w:tcPr>
            <w:tcW w:w="1079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399"/>
              <w:jc w:val="left"/>
              <w:rPr>
                <w:sz w:val="16"/>
              </w:rPr>
            </w:pPr>
            <w:r>
              <w:rPr>
                <w:sz w:val="16"/>
              </w:rPr>
              <w:t>0.05</w:t>
            </w:r>
          </w:p>
        </w:tc>
        <w:tc>
          <w:tcPr>
            <w:tcW w:w="1079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156" w:right="140"/>
              <w:rPr>
                <w:sz w:val="16"/>
              </w:rPr>
            </w:pPr>
            <w:r>
              <w:rPr>
                <w:sz w:val="16"/>
              </w:rPr>
              <w:t>0.76</w:t>
            </w:r>
          </w:p>
        </w:tc>
        <w:tc>
          <w:tcPr>
            <w:tcW w:w="719" w:type="dxa"/>
            <w:shd w:val="clear" w:color="auto" w:fill="D8E1F2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6" w:lineRule="exact"/>
              <w:ind w:left="111" w:right="102"/>
              <w:rPr>
                <w:sz w:val="16"/>
              </w:rPr>
            </w:pPr>
            <w:r>
              <w:rPr>
                <w:sz w:val="16"/>
              </w:rPr>
              <w:t>WCH-4</w:t>
            </w:r>
          </w:p>
        </w:tc>
        <w:tc>
          <w:tcPr>
            <w:tcW w:w="988" w:type="dxa"/>
          </w:tcPr>
          <w:p>
            <w:pPr>
              <w:pStyle w:val="TableParagraph"/>
              <w:spacing w:line="176" w:lineRule="exact"/>
              <w:ind w:left="153" w:right="146"/>
              <w:rPr>
                <w:sz w:val="16"/>
              </w:rPr>
            </w:pPr>
            <w:r>
              <w:rPr>
                <w:sz w:val="16"/>
              </w:rPr>
              <w:t>78.00</w:t>
            </w:r>
          </w:p>
        </w:tc>
        <w:tc>
          <w:tcPr>
            <w:tcW w:w="1079" w:type="dxa"/>
          </w:tcPr>
          <w:p>
            <w:pPr>
              <w:pStyle w:val="TableParagraph"/>
              <w:spacing w:line="176" w:lineRule="exact"/>
              <w:ind w:left="399"/>
              <w:jc w:val="left"/>
              <w:rPr>
                <w:sz w:val="16"/>
              </w:rPr>
            </w:pPr>
            <w:r>
              <w:rPr>
                <w:sz w:val="16"/>
              </w:rPr>
              <w:t>0.03</w:t>
            </w:r>
          </w:p>
        </w:tc>
        <w:tc>
          <w:tcPr>
            <w:tcW w:w="1079" w:type="dxa"/>
          </w:tcPr>
          <w:p>
            <w:pPr>
              <w:pStyle w:val="TableParagraph"/>
              <w:spacing w:line="176" w:lineRule="exact"/>
              <w:ind w:left="156" w:right="140"/>
              <w:rPr>
                <w:sz w:val="16"/>
              </w:rPr>
            </w:pPr>
            <w:r>
              <w:rPr>
                <w:sz w:val="16"/>
              </w:rPr>
              <w:t>1.17</w:t>
            </w:r>
          </w:p>
        </w:tc>
        <w:tc>
          <w:tcPr>
            <w:tcW w:w="719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94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ind w:left="111" w:right="102"/>
              <w:rPr>
                <w:sz w:val="16"/>
              </w:rPr>
            </w:pPr>
            <w:r>
              <w:rPr>
                <w:sz w:val="16"/>
              </w:rPr>
              <w:t>WCH-5</w:t>
            </w:r>
          </w:p>
        </w:tc>
        <w:tc>
          <w:tcPr>
            <w:tcW w:w="988" w:type="dxa"/>
            <w:shd w:val="clear" w:color="auto" w:fill="D8E1F2"/>
          </w:tcPr>
          <w:p>
            <w:pPr>
              <w:pStyle w:val="TableParagraph"/>
              <w:ind w:left="153" w:right="146"/>
              <w:rPr>
                <w:sz w:val="16"/>
              </w:rPr>
            </w:pPr>
            <w:r>
              <w:rPr>
                <w:sz w:val="16"/>
              </w:rPr>
              <w:t>79.67</w:t>
            </w:r>
          </w:p>
        </w:tc>
        <w:tc>
          <w:tcPr>
            <w:tcW w:w="1079" w:type="dxa"/>
            <w:shd w:val="clear" w:color="auto" w:fill="D8E1F2"/>
          </w:tcPr>
          <w:p>
            <w:pPr>
              <w:pStyle w:val="TableParagraph"/>
              <w:ind w:left="399"/>
              <w:jc w:val="left"/>
              <w:rPr>
                <w:sz w:val="16"/>
              </w:rPr>
            </w:pPr>
            <w:r>
              <w:rPr>
                <w:sz w:val="16"/>
              </w:rPr>
              <w:t>0.11</w:t>
            </w:r>
          </w:p>
        </w:tc>
        <w:tc>
          <w:tcPr>
            <w:tcW w:w="1079" w:type="dxa"/>
            <w:shd w:val="clear" w:color="auto" w:fill="D8E1F2"/>
          </w:tcPr>
          <w:p>
            <w:pPr>
              <w:pStyle w:val="TableParagraph"/>
              <w:ind w:left="156" w:right="140"/>
              <w:rPr>
                <w:sz w:val="16"/>
              </w:rPr>
            </w:pPr>
            <w:r>
              <w:rPr>
                <w:sz w:val="16"/>
              </w:rPr>
              <w:t>1.04</w:t>
            </w:r>
          </w:p>
        </w:tc>
        <w:tc>
          <w:tcPr>
            <w:tcW w:w="719" w:type="dxa"/>
            <w:shd w:val="clear" w:color="auto" w:fill="D8E1F2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6" w:lineRule="exact"/>
              <w:ind w:left="111" w:right="102"/>
              <w:rPr>
                <w:sz w:val="16"/>
              </w:rPr>
            </w:pPr>
            <w:r>
              <w:rPr>
                <w:sz w:val="16"/>
              </w:rPr>
              <w:t>WCH-6</w:t>
            </w:r>
          </w:p>
        </w:tc>
        <w:tc>
          <w:tcPr>
            <w:tcW w:w="988" w:type="dxa"/>
          </w:tcPr>
          <w:p>
            <w:pPr>
              <w:pStyle w:val="TableParagraph"/>
              <w:spacing w:line="176" w:lineRule="exact"/>
              <w:ind w:left="153" w:right="146"/>
              <w:rPr>
                <w:sz w:val="16"/>
              </w:rPr>
            </w:pPr>
            <w:r>
              <w:rPr>
                <w:sz w:val="16"/>
              </w:rPr>
              <w:t>80.67</w:t>
            </w:r>
          </w:p>
        </w:tc>
        <w:tc>
          <w:tcPr>
            <w:tcW w:w="1079" w:type="dxa"/>
          </w:tcPr>
          <w:p>
            <w:pPr>
              <w:pStyle w:val="TableParagraph"/>
              <w:spacing w:line="176" w:lineRule="exact"/>
              <w:ind w:left="399"/>
              <w:jc w:val="left"/>
              <w:rPr>
                <w:sz w:val="16"/>
              </w:rPr>
            </w:pPr>
            <w:r>
              <w:rPr>
                <w:sz w:val="16"/>
              </w:rPr>
              <w:t>0.16</w:t>
            </w:r>
          </w:p>
        </w:tc>
        <w:tc>
          <w:tcPr>
            <w:tcW w:w="1079" w:type="dxa"/>
          </w:tcPr>
          <w:p>
            <w:pPr>
              <w:pStyle w:val="TableParagraph"/>
              <w:spacing w:line="176" w:lineRule="exact"/>
              <w:ind w:left="156" w:right="140"/>
              <w:rPr>
                <w:sz w:val="16"/>
              </w:rPr>
            </w:pPr>
            <w:r>
              <w:rPr>
                <w:sz w:val="16"/>
              </w:rPr>
              <w:t>0.88</w:t>
            </w:r>
          </w:p>
        </w:tc>
        <w:tc>
          <w:tcPr>
            <w:tcW w:w="719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94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ind w:left="111" w:right="102"/>
              <w:rPr>
                <w:sz w:val="16"/>
              </w:rPr>
            </w:pPr>
            <w:r>
              <w:rPr>
                <w:sz w:val="16"/>
              </w:rPr>
              <w:t>WCH-7</w:t>
            </w:r>
          </w:p>
        </w:tc>
        <w:tc>
          <w:tcPr>
            <w:tcW w:w="988" w:type="dxa"/>
            <w:shd w:val="clear" w:color="auto" w:fill="D8E1F2"/>
          </w:tcPr>
          <w:p>
            <w:pPr>
              <w:pStyle w:val="TableParagraph"/>
              <w:ind w:left="153" w:right="146"/>
              <w:rPr>
                <w:sz w:val="16"/>
              </w:rPr>
            </w:pPr>
            <w:r>
              <w:rPr>
                <w:sz w:val="16"/>
              </w:rPr>
              <w:t>81.00</w:t>
            </w:r>
          </w:p>
        </w:tc>
        <w:tc>
          <w:tcPr>
            <w:tcW w:w="1079" w:type="dxa"/>
            <w:shd w:val="clear" w:color="auto" w:fill="D8E1F2"/>
          </w:tcPr>
          <w:p>
            <w:pPr>
              <w:pStyle w:val="TableParagraph"/>
              <w:ind w:left="399"/>
              <w:jc w:val="left"/>
              <w:rPr>
                <w:sz w:val="16"/>
              </w:rPr>
            </w:pPr>
            <w:r>
              <w:rPr>
                <w:sz w:val="16"/>
              </w:rPr>
              <w:t>0.35</w:t>
            </w:r>
          </w:p>
        </w:tc>
        <w:tc>
          <w:tcPr>
            <w:tcW w:w="1079" w:type="dxa"/>
            <w:shd w:val="clear" w:color="auto" w:fill="D8E1F2"/>
          </w:tcPr>
          <w:p>
            <w:pPr>
              <w:pStyle w:val="TableParagraph"/>
              <w:ind w:left="156" w:right="140"/>
              <w:rPr>
                <w:sz w:val="16"/>
              </w:rPr>
            </w:pPr>
            <w:r>
              <w:rPr>
                <w:sz w:val="16"/>
              </w:rPr>
              <w:t>1.23</w:t>
            </w:r>
          </w:p>
        </w:tc>
        <w:tc>
          <w:tcPr>
            <w:tcW w:w="719" w:type="dxa"/>
            <w:shd w:val="clear" w:color="auto" w:fill="D8E1F2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6" w:lineRule="exact"/>
              <w:ind w:left="111" w:right="102"/>
              <w:rPr>
                <w:sz w:val="16"/>
              </w:rPr>
            </w:pPr>
            <w:r>
              <w:rPr>
                <w:sz w:val="16"/>
              </w:rPr>
              <w:t>WCH-8</w:t>
            </w:r>
          </w:p>
        </w:tc>
        <w:tc>
          <w:tcPr>
            <w:tcW w:w="988" w:type="dxa"/>
          </w:tcPr>
          <w:p>
            <w:pPr>
              <w:pStyle w:val="TableParagraph"/>
              <w:spacing w:line="176" w:lineRule="exact"/>
              <w:ind w:left="153" w:right="146"/>
              <w:rPr>
                <w:sz w:val="16"/>
              </w:rPr>
            </w:pPr>
            <w:r>
              <w:rPr>
                <w:sz w:val="16"/>
              </w:rPr>
              <w:t>84.50</w:t>
            </w:r>
          </w:p>
        </w:tc>
        <w:tc>
          <w:tcPr>
            <w:tcW w:w="1079" w:type="dxa"/>
          </w:tcPr>
          <w:p>
            <w:pPr>
              <w:pStyle w:val="TableParagraph"/>
              <w:spacing w:line="176" w:lineRule="exact"/>
              <w:ind w:left="399"/>
              <w:jc w:val="left"/>
              <w:rPr>
                <w:sz w:val="16"/>
              </w:rPr>
            </w:pPr>
            <w:r>
              <w:rPr>
                <w:sz w:val="16"/>
              </w:rPr>
              <w:t>0.16</w:t>
            </w:r>
          </w:p>
        </w:tc>
        <w:tc>
          <w:tcPr>
            <w:tcW w:w="1079" w:type="dxa"/>
          </w:tcPr>
          <w:p>
            <w:pPr>
              <w:pStyle w:val="TableParagraph"/>
              <w:spacing w:line="176" w:lineRule="exact"/>
              <w:ind w:left="156" w:right="140"/>
              <w:rPr>
                <w:sz w:val="16"/>
              </w:rPr>
            </w:pPr>
            <w:r>
              <w:rPr>
                <w:sz w:val="16"/>
              </w:rPr>
              <w:t>1.06</w:t>
            </w:r>
          </w:p>
        </w:tc>
        <w:tc>
          <w:tcPr>
            <w:tcW w:w="719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94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ind w:left="111" w:right="102"/>
              <w:rPr>
                <w:sz w:val="16"/>
              </w:rPr>
            </w:pPr>
            <w:r>
              <w:rPr>
                <w:sz w:val="16"/>
              </w:rPr>
              <w:t>WCH-9</w:t>
            </w:r>
          </w:p>
        </w:tc>
        <w:tc>
          <w:tcPr>
            <w:tcW w:w="988" w:type="dxa"/>
            <w:shd w:val="clear" w:color="auto" w:fill="D8E1F2"/>
          </w:tcPr>
          <w:p>
            <w:pPr>
              <w:pStyle w:val="TableParagraph"/>
              <w:ind w:left="153" w:right="146"/>
              <w:rPr>
                <w:sz w:val="16"/>
              </w:rPr>
            </w:pPr>
            <w:r>
              <w:rPr>
                <w:sz w:val="16"/>
              </w:rPr>
              <w:t>88.00</w:t>
            </w:r>
          </w:p>
        </w:tc>
        <w:tc>
          <w:tcPr>
            <w:tcW w:w="1079" w:type="dxa"/>
            <w:shd w:val="clear" w:color="auto" w:fill="D8E1F2"/>
          </w:tcPr>
          <w:p>
            <w:pPr>
              <w:pStyle w:val="TableParagraph"/>
              <w:ind w:left="399"/>
              <w:jc w:val="left"/>
              <w:rPr>
                <w:sz w:val="16"/>
              </w:rPr>
            </w:pPr>
            <w:r>
              <w:rPr>
                <w:sz w:val="16"/>
              </w:rPr>
              <w:t>0.08</w:t>
            </w:r>
          </w:p>
        </w:tc>
        <w:tc>
          <w:tcPr>
            <w:tcW w:w="1079" w:type="dxa"/>
            <w:shd w:val="clear" w:color="auto" w:fill="D8E1F2"/>
          </w:tcPr>
          <w:p>
            <w:pPr>
              <w:pStyle w:val="TableParagraph"/>
              <w:ind w:left="156" w:right="140"/>
              <w:rPr>
                <w:sz w:val="16"/>
              </w:rPr>
            </w:pPr>
            <w:r>
              <w:rPr>
                <w:sz w:val="16"/>
              </w:rPr>
              <w:t>1.04</w:t>
            </w:r>
          </w:p>
        </w:tc>
        <w:tc>
          <w:tcPr>
            <w:tcW w:w="719" w:type="dxa"/>
            <w:shd w:val="clear" w:color="auto" w:fill="D8E1F2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6" w:lineRule="exact"/>
              <w:ind w:left="109" w:right="103"/>
              <w:rPr>
                <w:sz w:val="16"/>
              </w:rPr>
            </w:pPr>
            <w:r>
              <w:rPr>
                <w:sz w:val="16"/>
              </w:rPr>
              <w:t>WCH-10</w:t>
            </w:r>
          </w:p>
        </w:tc>
        <w:tc>
          <w:tcPr>
            <w:tcW w:w="988" w:type="dxa"/>
          </w:tcPr>
          <w:p>
            <w:pPr>
              <w:pStyle w:val="TableParagraph"/>
              <w:spacing w:line="176" w:lineRule="exact"/>
              <w:ind w:left="153" w:right="146"/>
              <w:rPr>
                <w:sz w:val="16"/>
              </w:rPr>
            </w:pPr>
            <w:r>
              <w:rPr>
                <w:sz w:val="16"/>
              </w:rPr>
              <w:t>91.50</w:t>
            </w:r>
          </w:p>
        </w:tc>
        <w:tc>
          <w:tcPr>
            <w:tcW w:w="1079" w:type="dxa"/>
          </w:tcPr>
          <w:p>
            <w:pPr>
              <w:pStyle w:val="TableParagraph"/>
              <w:spacing w:line="176" w:lineRule="exact"/>
              <w:ind w:left="399"/>
              <w:jc w:val="left"/>
              <w:rPr>
                <w:sz w:val="16"/>
              </w:rPr>
            </w:pPr>
            <w:r>
              <w:rPr>
                <w:sz w:val="16"/>
              </w:rPr>
              <w:t>5.09</w:t>
            </w:r>
          </w:p>
        </w:tc>
        <w:tc>
          <w:tcPr>
            <w:tcW w:w="1079" w:type="dxa"/>
          </w:tcPr>
          <w:p>
            <w:pPr>
              <w:pStyle w:val="TableParagraph"/>
              <w:spacing w:line="176" w:lineRule="exact"/>
              <w:ind w:left="156" w:right="140"/>
              <w:rPr>
                <w:sz w:val="16"/>
              </w:rPr>
            </w:pPr>
            <w:r>
              <w:rPr>
                <w:sz w:val="16"/>
              </w:rPr>
              <w:t>2.65</w:t>
            </w:r>
          </w:p>
        </w:tc>
        <w:tc>
          <w:tcPr>
            <w:tcW w:w="719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93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ind w:left="111" w:right="102"/>
              <w:rPr>
                <w:sz w:val="16"/>
              </w:rPr>
            </w:pPr>
            <w:r>
              <w:rPr>
                <w:sz w:val="16"/>
              </w:rPr>
              <w:t>Wch-40</w:t>
            </w:r>
          </w:p>
        </w:tc>
        <w:tc>
          <w:tcPr>
            <w:tcW w:w="988" w:type="dxa"/>
            <w:shd w:val="clear" w:color="auto" w:fill="D8E1F2"/>
          </w:tcPr>
          <w:p>
            <w:pPr>
              <w:pStyle w:val="TableParagraph"/>
              <w:ind w:left="153" w:right="146"/>
              <w:rPr>
                <w:sz w:val="16"/>
              </w:rPr>
            </w:pPr>
            <w:r>
              <w:rPr>
                <w:sz w:val="16"/>
              </w:rPr>
              <w:t>93.83</w:t>
            </w:r>
          </w:p>
        </w:tc>
        <w:tc>
          <w:tcPr>
            <w:tcW w:w="1079" w:type="dxa"/>
            <w:shd w:val="clear" w:color="auto" w:fill="D8E1F2"/>
          </w:tcPr>
          <w:p>
            <w:pPr>
              <w:pStyle w:val="TableParagraph"/>
              <w:ind w:left="399"/>
              <w:jc w:val="left"/>
              <w:rPr>
                <w:sz w:val="16"/>
              </w:rPr>
            </w:pPr>
            <w:r>
              <w:rPr>
                <w:sz w:val="16"/>
              </w:rPr>
              <w:t>0.60</w:t>
            </w:r>
          </w:p>
        </w:tc>
        <w:tc>
          <w:tcPr>
            <w:tcW w:w="1079" w:type="dxa"/>
            <w:shd w:val="clear" w:color="auto" w:fill="D8E1F2"/>
          </w:tcPr>
          <w:p>
            <w:pPr>
              <w:pStyle w:val="TableParagraph"/>
              <w:ind w:left="156" w:right="140"/>
              <w:rPr>
                <w:sz w:val="16"/>
              </w:rPr>
            </w:pPr>
            <w:r>
              <w:rPr>
                <w:sz w:val="16"/>
              </w:rPr>
              <w:t>1.59</w:t>
            </w:r>
          </w:p>
        </w:tc>
        <w:tc>
          <w:tcPr>
            <w:tcW w:w="719" w:type="dxa"/>
            <w:shd w:val="clear" w:color="auto" w:fill="D8E1F2"/>
          </w:tcPr>
          <w:p>
            <w:pPr>
              <w:pStyle w:val="TableParagraph"/>
              <w:ind w:left="161" w:right="145"/>
              <w:rPr>
                <w:sz w:val="16"/>
              </w:rPr>
            </w:pPr>
            <w:r>
              <w:rPr>
                <w:sz w:val="16"/>
              </w:rPr>
              <w:t>428</w:t>
            </w: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5" w:lineRule="exact" w:before="1"/>
              <w:ind w:left="109" w:right="103"/>
              <w:rPr>
                <w:sz w:val="16"/>
              </w:rPr>
            </w:pPr>
            <w:r>
              <w:rPr>
                <w:sz w:val="16"/>
              </w:rPr>
              <w:t>WCH-11</w:t>
            </w:r>
          </w:p>
        </w:tc>
        <w:tc>
          <w:tcPr>
            <w:tcW w:w="988" w:type="dxa"/>
          </w:tcPr>
          <w:p>
            <w:pPr>
              <w:pStyle w:val="TableParagraph"/>
              <w:spacing w:line="175" w:lineRule="exact" w:before="1"/>
              <w:ind w:left="153" w:right="146"/>
              <w:rPr>
                <w:sz w:val="16"/>
              </w:rPr>
            </w:pPr>
            <w:r>
              <w:rPr>
                <w:sz w:val="16"/>
              </w:rPr>
              <w:t>94.33</w:t>
            </w:r>
          </w:p>
        </w:tc>
        <w:tc>
          <w:tcPr>
            <w:tcW w:w="1079" w:type="dxa"/>
          </w:tcPr>
          <w:p>
            <w:pPr>
              <w:pStyle w:val="TableParagraph"/>
              <w:spacing w:line="175" w:lineRule="exact" w:before="1"/>
              <w:ind w:left="399"/>
              <w:jc w:val="left"/>
              <w:rPr>
                <w:sz w:val="16"/>
              </w:rPr>
            </w:pPr>
            <w:r>
              <w:rPr>
                <w:sz w:val="16"/>
              </w:rPr>
              <w:t>1.73</w:t>
            </w:r>
          </w:p>
        </w:tc>
        <w:tc>
          <w:tcPr>
            <w:tcW w:w="1079" w:type="dxa"/>
          </w:tcPr>
          <w:p>
            <w:pPr>
              <w:pStyle w:val="TableParagraph"/>
              <w:spacing w:line="175" w:lineRule="exact" w:before="1"/>
              <w:ind w:left="156" w:right="140"/>
              <w:rPr>
                <w:sz w:val="16"/>
              </w:rPr>
            </w:pPr>
            <w:r>
              <w:rPr>
                <w:sz w:val="16"/>
              </w:rPr>
              <w:t>1.73</w:t>
            </w:r>
          </w:p>
        </w:tc>
        <w:tc>
          <w:tcPr>
            <w:tcW w:w="719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94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ind w:left="109" w:right="103"/>
              <w:rPr>
                <w:sz w:val="16"/>
              </w:rPr>
            </w:pPr>
            <w:r>
              <w:rPr>
                <w:sz w:val="16"/>
              </w:rPr>
              <w:t>WCH-12</w:t>
            </w:r>
          </w:p>
        </w:tc>
        <w:tc>
          <w:tcPr>
            <w:tcW w:w="988" w:type="dxa"/>
            <w:shd w:val="clear" w:color="auto" w:fill="D8E1F2"/>
          </w:tcPr>
          <w:p>
            <w:pPr>
              <w:pStyle w:val="TableParagraph"/>
              <w:ind w:left="153" w:right="146"/>
              <w:rPr>
                <w:sz w:val="16"/>
              </w:rPr>
            </w:pPr>
            <w:r>
              <w:rPr>
                <w:sz w:val="16"/>
              </w:rPr>
              <w:t>98.00</w:t>
            </w:r>
          </w:p>
        </w:tc>
        <w:tc>
          <w:tcPr>
            <w:tcW w:w="1079" w:type="dxa"/>
            <w:shd w:val="clear" w:color="auto" w:fill="D8E1F2"/>
          </w:tcPr>
          <w:p>
            <w:pPr>
              <w:pStyle w:val="TableParagraph"/>
              <w:ind w:left="399"/>
              <w:jc w:val="left"/>
              <w:rPr>
                <w:sz w:val="16"/>
              </w:rPr>
            </w:pPr>
            <w:r>
              <w:rPr>
                <w:sz w:val="16"/>
              </w:rPr>
              <w:t>0.29</w:t>
            </w:r>
          </w:p>
        </w:tc>
        <w:tc>
          <w:tcPr>
            <w:tcW w:w="1079" w:type="dxa"/>
            <w:shd w:val="clear" w:color="auto" w:fill="D8E1F2"/>
          </w:tcPr>
          <w:p>
            <w:pPr>
              <w:pStyle w:val="TableParagraph"/>
              <w:ind w:left="156" w:right="140"/>
              <w:rPr>
                <w:sz w:val="16"/>
              </w:rPr>
            </w:pPr>
            <w:r>
              <w:rPr>
                <w:sz w:val="16"/>
              </w:rPr>
              <w:t>0.77</w:t>
            </w:r>
          </w:p>
        </w:tc>
        <w:tc>
          <w:tcPr>
            <w:tcW w:w="719" w:type="dxa"/>
            <w:shd w:val="clear" w:color="auto" w:fill="D8E1F2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5" w:lineRule="exact" w:before="1"/>
              <w:ind w:left="109" w:right="103"/>
              <w:rPr>
                <w:sz w:val="16"/>
              </w:rPr>
            </w:pPr>
            <w:r>
              <w:rPr>
                <w:sz w:val="16"/>
              </w:rPr>
              <w:t>WCH-13</w:t>
            </w:r>
          </w:p>
        </w:tc>
        <w:tc>
          <w:tcPr>
            <w:tcW w:w="988" w:type="dxa"/>
          </w:tcPr>
          <w:p>
            <w:pPr>
              <w:pStyle w:val="TableParagraph"/>
              <w:spacing w:line="175" w:lineRule="exact" w:before="1"/>
              <w:ind w:left="153" w:right="146"/>
              <w:rPr>
                <w:sz w:val="16"/>
              </w:rPr>
            </w:pPr>
            <w:r>
              <w:rPr>
                <w:sz w:val="16"/>
              </w:rPr>
              <w:t>102.17</w:t>
            </w:r>
          </w:p>
        </w:tc>
        <w:tc>
          <w:tcPr>
            <w:tcW w:w="1079" w:type="dxa"/>
          </w:tcPr>
          <w:p>
            <w:pPr>
              <w:pStyle w:val="TableParagraph"/>
              <w:spacing w:line="175" w:lineRule="exact" w:before="1"/>
              <w:ind w:left="399"/>
              <w:jc w:val="left"/>
              <w:rPr>
                <w:sz w:val="16"/>
              </w:rPr>
            </w:pPr>
            <w:r>
              <w:rPr>
                <w:sz w:val="16"/>
              </w:rPr>
              <w:t>1.51</w:t>
            </w:r>
          </w:p>
        </w:tc>
        <w:tc>
          <w:tcPr>
            <w:tcW w:w="1079" w:type="dxa"/>
          </w:tcPr>
          <w:p>
            <w:pPr>
              <w:pStyle w:val="TableParagraph"/>
              <w:spacing w:line="175" w:lineRule="exact" w:before="1"/>
              <w:ind w:left="156" w:right="140"/>
              <w:rPr>
                <w:sz w:val="16"/>
              </w:rPr>
            </w:pPr>
            <w:r>
              <w:rPr>
                <w:sz w:val="16"/>
              </w:rPr>
              <w:t>1.73</w:t>
            </w:r>
          </w:p>
        </w:tc>
        <w:tc>
          <w:tcPr>
            <w:tcW w:w="719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96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spacing w:line="176" w:lineRule="exact"/>
              <w:ind w:left="109" w:right="103"/>
              <w:rPr>
                <w:sz w:val="16"/>
              </w:rPr>
            </w:pPr>
            <w:r>
              <w:rPr>
                <w:sz w:val="16"/>
              </w:rPr>
              <w:t>WCH-14</w:t>
            </w:r>
          </w:p>
        </w:tc>
        <w:tc>
          <w:tcPr>
            <w:tcW w:w="988" w:type="dxa"/>
            <w:shd w:val="clear" w:color="auto" w:fill="D8E1F2"/>
          </w:tcPr>
          <w:p>
            <w:pPr>
              <w:pStyle w:val="TableParagraph"/>
              <w:spacing w:line="176" w:lineRule="exact"/>
              <w:ind w:left="153" w:right="146"/>
              <w:rPr>
                <w:sz w:val="16"/>
              </w:rPr>
            </w:pPr>
            <w:r>
              <w:rPr>
                <w:sz w:val="16"/>
              </w:rPr>
              <w:t>105.50</w:t>
            </w:r>
          </w:p>
        </w:tc>
        <w:tc>
          <w:tcPr>
            <w:tcW w:w="1079" w:type="dxa"/>
            <w:shd w:val="clear" w:color="auto" w:fill="D8E1F2"/>
          </w:tcPr>
          <w:p>
            <w:pPr>
              <w:pStyle w:val="TableParagraph"/>
              <w:spacing w:line="176" w:lineRule="exact"/>
              <w:ind w:left="399"/>
              <w:jc w:val="left"/>
              <w:rPr>
                <w:sz w:val="16"/>
              </w:rPr>
            </w:pPr>
            <w:r>
              <w:rPr>
                <w:sz w:val="16"/>
              </w:rPr>
              <w:t>2.14</w:t>
            </w:r>
          </w:p>
        </w:tc>
        <w:tc>
          <w:tcPr>
            <w:tcW w:w="1079" w:type="dxa"/>
            <w:shd w:val="clear" w:color="auto" w:fill="D8E1F2"/>
          </w:tcPr>
          <w:p>
            <w:pPr>
              <w:pStyle w:val="TableParagraph"/>
              <w:spacing w:line="176" w:lineRule="exact"/>
              <w:ind w:left="156" w:right="140"/>
              <w:rPr>
                <w:sz w:val="16"/>
              </w:rPr>
            </w:pPr>
            <w:r>
              <w:rPr>
                <w:sz w:val="16"/>
              </w:rPr>
              <w:t>1.95</w:t>
            </w:r>
          </w:p>
        </w:tc>
        <w:tc>
          <w:tcPr>
            <w:tcW w:w="719" w:type="dxa"/>
            <w:shd w:val="clear" w:color="auto" w:fill="D8E1F2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94" w:hRule="atLeast"/>
        </w:trPr>
        <w:tc>
          <w:tcPr>
            <w:tcW w:w="806" w:type="dxa"/>
          </w:tcPr>
          <w:p>
            <w:pPr>
              <w:pStyle w:val="TableParagraph"/>
              <w:ind w:left="111" w:right="102"/>
              <w:rPr>
                <w:sz w:val="16"/>
              </w:rPr>
            </w:pPr>
            <w:r>
              <w:rPr>
                <w:sz w:val="16"/>
              </w:rPr>
              <w:t>Wch-41</w:t>
            </w:r>
          </w:p>
        </w:tc>
        <w:tc>
          <w:tcPr>
            <w:tcW w:w="988" w:type="dxa"/>
          </w:tcPr>
          <w:p>
            <w:pPr>
              <w:pStyle w:val="TableParagraph"/>
              <w:ind w:left="153" w:right="146"/>
              <w:rPr>
                <w:sz w:val="16"/>
              </w:rPr>
            </w:pPr>
            <w:r>
              <w:rPr>
                <w:sz w:val="16"/>
              </w:rPr>
              <w:t>109.17</w:t>
            </w:r>
          </w:p>
        </w:tc>
        <w:tc>
          <w:tcPr>
            <w:tcW w:w="1079" w:type="dxa"/>
          </w:tcPr>
          <w:p>
            <w:pPr>
              <w:pStyle w:val="TableParagraph"/>
              <w:ind w:left="399"/>
              <w:jc w:val="left"/>
              <w:rPr>
                <w:sz w:val="16"/>
              </w:rPr>
            </w:pPr>
            <w:r>
              <w:rPr>
                <w:sz w:val="16"/>
              </w:rPr>
              <w:t>2.17</w:t>
            </w:r>
          </w:p>
        </w:tc>
        <w:tc>
          <w:tcPr>
            <w:tcW w:w="1079" w:type="dxa"/>
          </w:tcPr>
          <w:p>
            <w:pPr>
              <w:pStyle w:val="TableParagraph"/>
              <w:ind w:left="156" w:right="140"/>
              <w:rPr>
                <w:sz w:val="16"/>
              </w:rPr>
            </w:pPr>
            <w:r>
              <w:rPr>
                <w:sz w:val="16"/>
              </w:rPr>
              <w:t>2.94</w:t>
            </w:r>
          </w:p>
        </w:tc>
        <w:tc>
          <w:tcPr>
            <w:tcW w:w="719" w:type="dxa"/>
          </w:tcPr>
          <w:p>
            <w:pPr>
              <w:pStyle w:val="TableParagraph"/>
              <w:ind w:left="161" w:right="145"/>
              <w:rPr>
                <w:sz w:val="16"/>
              </w:rPr>
            </w:pPr>
            <w:r>
              <w:rPr>
                <w:sz w:val="16"/>
              </w:rPr>
              <w:t>426</w:t>
            </w:r>
          </w:p>
        </w:tc>
      </w:tr>
      <w:tr>
        <w:trPr>
          <w:trHeight w:val="196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spacing w:line="176" w:lineRule="exact"/>
              <w:ind w:left="111" w:right="102"/>
              <w:rPr>
                <w:sz w:val="16"/>
              </w:rPr>
            </w:pPr>
            <w:r>
              <w:rPr>
                <w:sz w:val="16"/>
              </w:rPr>
              <w:t>Wch-42</w:t>
            </w:r>
          </w:p>
        </w:tc>
        <w:tc>
          <w:tcPr>
            <w:tcW w:w="988" w:type="dxa"/>
            <w:shd w:val="clear" w:color="auto" w:fill="D8E1F2"/>
          </w:tcPr>
          <w:p>
            <w:pPr>
              <w:pStyle w:val="TableParagraph"/>
              <w:spacing w:line="176" w:lineRule="exact"/>
              <w:ind w:left="153" w:right="146"/>
              <w:rPr>
                <w:sz w:val="16"/>
              </w:rPr>
            </w:pPr>
            <w:r>
              <w:rPr>
                <w:sz w:val="16"/>
              </w:rPr>
              <w:t>112.50</w:t>
            </w:r>
          </w:p>
        </w:tc>
        <w:tc>
          <w:tcPr>
            <w:tcW w:w="1079" w:type="dxa"/>
            <w:shd w:val="clear" w:color="auto" w:fill="D8E1F2"/>
          </w:tcPr>
          <w:p>
            <w:pPr>
              <w:pStyle w:val="TableParagraph"/>
              <w:spacing w:line="176" w:lineRule="exact"/>
              <w:ind w:left="399"/>
              <w:jc w:val="left"/>
              <w:rPr>
                <w:sz w:val="16"/>
              </w:rPr>
            </w:pPr>
            <w:r>
              <w:rPr>
                <w:sz w:val="16"/>
              </w:rPr>
              <w:t>2.59</w:t>
            </w:r>
          </w:p>
        </w:tc>
        <w:tc>
          <w:tcPr>
            <w:tcW w:w="1079" w:type="dxa"/>
            <w:shd w:val="clear" w:color="auto" w:fill="D8E1F2"/>
          </w:tcPr>
          <w:p>
            <w:pPr>
              <w:pStyle w:val="TableParagraph"/>
              <w:spacing w:line="176" w:lineRule="exact"/>
              <w:ind w:left="156" w:right="140"/>
              <w:rPr>
                <w:sz w:val="16"/>
              </w:rPr>
            </w:pPr>
            <w:r>
              <w:rPr>
                <w:sz w:val="16"/>
              </w:rPr>
              <w:t>3.22</w:t>
            </w:r>
          </w:p>
        </w:tc>
        <w:tc>
          <w:tcPr>
            <w:tcW w:w="719" w:type="dxa"/>
            <w:shd w:val="clear" w:color="auto" w:fill="D8E1F2"/>
          </w:tcPr>
          <w:p>
            <w:pPr>
              <w:pStyle w:val="TableParagraph"/>
              <w:spacing w:line="176" w:lineRule="exact"/>
              <w:ind w:left="161" w:right="145"/>
              <w:rPr>
                <w:sz w:val="16"/>
              </w:rPr>
            </w:pPr>
            <w:r>
              <w:rPr>
                <w:sz w:val="16"/>
              </w:rPr>
              <w:t>427</w:t>
            </w:r>
          </w:p>
        </w:tc>
      </w:tr>
      <w:tr>
        <w:trPr>
          <w:trHeight w:val="194" w:hRule="atLeast"/>
        </w:trPr>
        <w:tc>
          <w:tcPr>
            <w:tcW w:w="806" w:type="dxa"/>
          </w:tcPr>
          <w:p>
            <w:pPr>
              <w:pStyle w:val="TableParagraph"/>
              <w:ind w:left="109" w:right="103"/>
              <w:rPr>
                <w:sz w:val="16"/>
              </w:rPr>
            </w:pPr>
            <w:r>
              <w:rPr>
                <w:sz w:val="16"/>
              </w:rPr>
              <w:t>WCH-15</w:t>
            </w:r>
          </w:p>
        </w:tc>
        <w:tc>
          <w:tcPr>
            <w:tcW w:w="988" w:type="dxa"/>
          </w:tcPr>
          <w:p>
            <w:pPr>
              <w:pStyle w:val="TableParagraph"/>
              <w:ind w:left="153" w:right="146"/>
              <w:rPr>
                <w:sz w:val="16"/>
              </w:rPr>
            </w:pPr>
            <w:r>
              <w:rPr>
                <w:sz w:val="16"/>
              </w:rPr>
              <w:t>115.00</w:t>
            </w:r>
          </w:p>
        </w:tc>
        <w:tc>
          <w:tcPr>
            <w:tcW w:w="1079" w:type="dxa"/>
          </w:tcPr>
          <w:p>
            <w:pPr>
              <w:pStyle w:val="TableParagraph"/>
              <w:ind w:left="399"/>
              <w:jc w:val="left"/>
              <w:rPr>
                <w:sz w:val="16"/>
              </w:rPr>
            </w:pPr>
            <w:r>
              <w:rPr>
                <w:sz w:val="16"/>
              </w:rPr>
              <w:t>1.22</w:t>
            </w:r>
          </w:p>
        </w:tc>
        <w:tc>
          <w:tcPr>
            <w:tcW w:w="1079" w:type="dxa"/>
          </w:tcPr>
          <w:p>
            <w:pPr>
              <w:pStyle w:val="TableParagraph"/>
              <w:ind w:left="156" w:right="140"/>
              <w:rPr>
                <w:sz w:val="16"/>
              </w:rPr>
            </w:pPr>
            <w:r>
              <w:rPr>
                <w:sz w:val="16"/>
              </w:rPr>
              <w:t>1.59</w:t>
            </w:r>
          </w:p>
        </w:tc>
        <w:tc>
          <w:tcPr>
            <w:tcW w:w="719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96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spacing w:line="176" w:lineRule="exact"/>
              <w:ind w:left="109" w:right="103"/>
              <w:rPr>
                <w:sz w:val="16"/>
              </w:rPr>
            </w:pPr>
            <w:r>
              <w:rPr>
                <w:sz w:val="16"/>
              </w:rPr>
              <w:t>WCH-16</w:t>
            </w:r>
          </w:p>
        </w:tc>
        <w:tc>
          <w:tcPr>
            <w:tcW w:w="988" w:type="dxa"/>
            <w:shd w:val="clear" w:color="auto" w:fill="D8E1F2"/>
          </w:tcPr>
          <w:p>
            <w:pPr>
              <w:pStyle w:val="TableParagraph"/>
              <w:spacing w:line="176" w:lineRule="exact"/>
              <w:ind w:left="153" w:right="146"/>
              <w:rPr>
                <w:sz w:val="16"/>
              </w:rPr>
            </w:pPr>
            <w:r>
              <w:rPr>
                <w:sz w:val="16"/>
              </w:rPr>
              <w:t>118.00</w:t>
            </w:r>
          </w:p>
        </w:tc>
        <w:tc>
          <w:tcPr>
            <w:tcW w:w="1079" w:type="dxa"/>
            <w:shd w:val="clear" w:color="auto" w:fill="D8E1F2"/>
          </w:tcPr>
          <w:p>
            <w:pPr>
              <w:pStyle w:val="TableParagraph"/>
              <w:spacing w:line="176" w:lineRule="exact"/>
              <w:ind w:left="399"/>
              <w:jc w:val="left"/>
              <w:rPr>
                <w:sz w:val="16"/>
              </w:rPr>
            </w:pPr>
            <w:r>
              <w:rPr>
                <w:sz w:val="16"/>
              </w:rPr>
              <w:t>0.63</w:t>
            </w:r>
          </w:p>
        </w:tc>
        <w:tc>
          <w:tcPr>
            <w:tcW w:w="1079" w:type="dxa"/>
            <w:shd w:val="clear" w:color="auto" w:fill="D8E1F2"/>
          </w:tcPr>
          <w:p>
            <w:pPr>
              <w:pStyle w:val="TableParagraph"/>
              <w:spacing w:line="176" w:lineRule="exact"/>
              <w:ind w:left="156" w:right="140"/>
              <w:rPr>
                <w:sz w:val="16"/>
              </w:rPr>
            </w:pPr>
            <w:r>
              <w:rPr>
                <w:sz w:val="16"/>
              </w:rPr>
              <w:t>1.40</w:t>
            </w:r>
          </w:p>
        </w:tc>
        <w:tc>
          <w:tcPr>
            <w:tcW w:w="719" w:type="dxa"/>
            <w:shd w:val="clear" w:color="auto" w:fill="D8E1F2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94" w:hRule="atLeast"/>
        </w:trPr>
        <w:tc>
          <w:tcPr>
            <w:tcW w:w="806" w:type="dxa"/>
          </w:tcPr>
          <w:p>
            <w:pPr>
              <w:pStyle w:val="TableParagraph"/>
              <w:ind w:left="109" w:right="103"/>
              <w:rPr>
                <w:sz w:val="16"/>
              </w:rPr>
            </w:pPr>
            <w:r>
              <w:rPr>
                <w:sz w:val="16"/>
              </w:rPr>
              <w:t>WCH-17</w:t>
            </w:r>
          </w:p>
        </w:tc>
        <w:tc>
          <w:tcPr>
            <w:tcW w:w="988" w:type="dxa"/>
          </w:tcPr>
          <w:p>
            <w:pPr>
              <w:pStyle w:val="TableParagraph"/>
              <w:ind w:left="153" w:right="146"/>
              <w:rPr>
                <w:sz w:val="16"/>
              </w:rPr>
            </w:pPr>
            <w:r>
              <w:rPr>
                <w:sz w:val="16"/>
              </w:rPr>
              <w:t>121.00</w:t>
            </w:r>
          </w:p>
        </w:tc>
        <w:tc>
          <w:tcPr>
            <w:tcW w:w="1079" w:type="dxa"/>
          </w:tcPr>
          <w:p>
            <w:pPr>
              <w:pStyle w:val="TableParagraph"/>
              <w:ind w:left="399"/>
              <w:jc w:val="left"/>
              <w:rPr>
                <w:sz w:val="16"/>
              </w:rPr>
            </w:pPr>
            <w:r>
              <w:rPr>
                <w:sz w:val="16"/>
              </w:rPr>
              <w:t>1.87</w:t>
            </w:r>
          </w:p>
        </w:tc>
        <w:tc>
          <w:tcPr>
            <w:tcW w:w="1079" w:type="dxa"/>
          </w:tcPr>
          <w:p>
            <w:pPr>
              <w:pStyle w:val="TableParagraph"/>
              <w:ind w:left="156" w:right="140"/>
              <w:rPr>
                <w:sz w:val="16"/>
              </w:rPr>
            </w:pPr>
            <w:r>
              <w:rPr>
                <w:sz w:val="16"/>
              </w:rPr>
              <w:t>1.39</w:t>
            </w:r>
          </w:p>
        </w:tc>
        <w:tc>
          <w:tcPr>
            <w:tcW w:w="719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96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spacing w:line="176" w:lineRule="exact"/>
              <w:ind w:left="109" w:right="103"/>
              <w:rPr>
                <w:sz w:val="16"/>
              </w:rPr>
            </w:pPr>
            <w:r>
              <w:rPr>
                <w:sz w:val="16"/>
              </w:rPr>
              <w:t>WCH-18</w:t>
            </w:r>
          </w:p>
        </w:tc>
        <w:tc>
          <w:tcPr>
            <w:tcW w:w="988" w:type="dxa"/>
            <w:shd w:val="clear" w:color="auto" w:fill="D8E1F2"/>
          </w:tcPr>
          <w:p>
            <w:pPr>
              <w:pStyle w:val="TableParagraph"/>
              <w:spacing w:line="176" w:lineRule="exact"/>
              <w:ind w:left="153" w:right="146"/>
              <w:rPr>
                <w:sz w:val="16"/>
              </w:rPr>
            </w:pPr>
            <w:r>
              <w:rPr>
                <w:sz w:val="16"/>
              </w:rPr>
              <w:t>124.42</w:t>
            </w:r>
          </w:p>
        </w:tc>
        <w:tc>
          <w:tcPr>
            <w:tcW w:w="1079" w:type="dxa"/>
            <w:shd w:val="clear" w:color="auto" w:fill="D8E1F2"/>
          </w:tcPr>
          <w:p>
            <w:pPr>
              <w:pStyle w:val="TableParagraph"/>
              <w:spacing w:line="176" w:lineRule="exact"/>
              <w:ind w:left="399"/>
              <w:jc w:val="left"/>
              <w:rPr>
                <w:sz w:val="16"/>
              </w:rPr>
            </w:pPr>
            <w:r>
              <w:rPr>
                <w:sz w:val="16"/>
              </w:rPr>
              <w:t>5.08</w:t>
            </w:r>
          </w:p>
        </w:tc>
        <w:tc>
          <w:tcPr>
            <w:tcW w:w="1079" w:type="dxa"/>
            <w:shd w:val="clear" w:color="auto" w:fill="D8E1F2"/>
          </w:tcPr>
          <w:p>
            <w:pPr>
              <w:pStyle w:val="TableParagraph"/>
              <w:spacing w:line="176" w:lineRule="exact"/>
              <w:ind w:left="156" w:right="140"/>
              <w:rPr>
                <w:sz w:val="16"/>
              </w:rPr>
            </w:pPr>
            <w:r>
              <w:rPr>
                <w:sz w:val="16"/>
              </w:rPr>
              <w:t>3.39</w:t>
            </w:r>
          </w:p>
        </w:tc>
        <w:tc>
          <w:tcPr>
            <w:tcW w:w="719" w:type="dxa"/>
            <w:shd w:val="clear" w:color="auto" w:fill="D8E1F2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93" w:hRule="atLeast"/>
        </w:trPr>
        <w:tc>
          <w:tcPr>
            <w:tcW w:w="806" w:type="dxa"/>
          </w:tcPr>
          <w:p>
            <w:pPr>
              <w:pStyle w:val="TableParagraph"/>
              <w:ind w:left="111" w:right="102"/>
              <w:rPr>
                <w:sz w:val="16"/>
              </w:rPr>
            </w:pPr>
            <w:r>
              <w:rPr>
                <w:sz w:val="16"/>
              </w:rPr>
              <w:t>Wch-43</w:t>
            </w:r>
          </w:p>
        </w:tc>
        <w:tc>
          <w:tcPr>
            <w:tcW w:w="988" w:type="dxa"/>
          </w:tcPr>
          <w:p>
            <w:pPr>
              <w:pStyle w:val="TableParagraph"/>
              <w:ind w:left="153" w:right="146"/>
              <w:rPr>
                <w:sz w:val="16"/>
              </w:rPr>
            </w:pPr>
            <w:r>
              <w:rPr>
                <w:sz w:val="16"/>
              </w:rPr>
              <w:t>126.17</w:t>
            </w:r>
          </w:p>
        </w:tc>
        <w:tc>
          <w:tcPr>
            <w:tcW w:w="1079" w:type="dxa"/>
          </w:tcPr>
          <w:p>
            <w:pPr>
              <w:pStyle w:val="TableParagraph"/>
              <w:ind w:left="399"/>
              <w:jc w:val="left"/>
              <w:rPr>
                <w:sz w:val="16"/>
              </w:rPr>
            </w:pPr>
            <w:r>
              <w:rPr>
                <w:sz w:val="16"/>
              </w:rPr>
              <w:t>0.93</w:t>
            </w:r>
          </w:p>
        </w:tc>
        <w:tc>
          <w:tcPr>
            <w:tcW w:w="1079" w:type="dxa"/>
          </w:tcPr>
          <w:p>
            <w:pPr>
              <w:pStyle w:val="TableParagraph"/>
              <w:ind w:left="156" w:right="140"/>
              <w:rPr>
                <w:sz w:val="16"/>
              </w:rPr>
            </w:pPr>
            <w:r>
              <w:rPr>
                <w:sz w:val="16"/>
              </w:rPr>
              <w:t>1.42</w:t>
            </w:r>
          </w:p>
        </w:tc>
        <w:tc>
          <w:tcPr>
            <w:tcW w:w="719" w:type="dxa"/>
          </w:tcPr>
          <w:p>
            <w:pPr>
              <w:pStyle w:val="TableParagraph"/>
              <w:ind w:left="161" w:right="145"/>
              <w:rPr>
                <w:sz w:val="16"/>
              </w:rPr>
            </w:pPr>
            <w:r>
              <w:rPr>
                <w:sz w:val="16"/>
              </w:rPr>
              <w:t>424</w:t>
            </w:r>
          </w:p>
        </w:tc>
      </w:tr>
      <w:tr>
        <w:trPr>
          <w:trHeight w:val="196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109" w:right="103"/>
              <w:rPr>
                <w:sz w:val="16"/>
              </w:rPr>
            </w:pPr>
            <w:r>
              <w:rPr>
                <w:sz w:val="16"/>
              </w:rPr>
              <w:t>WCH-19</w:t>
            </w:r>
          </w:p>
        </w:tc>
        <w:tc>
          <w:tcPr>
            <w:tcW w:w="988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153" w:right="146"/>
              <w:rPr>
                <w:sz w:val="16"/>
              </w:rPr>
            </w:pPr>
            <w:r>
              <w:rPr>
                <w:sz w:val="16"/>
              </w:rPr>
              <w:t>129.00</w:t>
            </w:r>
          </w:p>
        </w:tc>
        <w:tc>
          <w:tcPr>
            <w:tcW w:w="1079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399"/>
              <w:jc w:val="left"/>
              <w:rPr>
                <w:sz w:val="16"/>
              </w:rPr>
            </w:pPr>
            <w:r>
              <w:rPr>
                <w:sz w:val="16"/>
              </w:rPr>
              <w:t>1.10</w:t>
            </w:r>
          </w:p>
        </w:tc>
        <w:tc>
          <w:tcPr>
            <w:tcW w:w="1079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156" w:right="140"/>
              <w:rPr>
                <w:sz w:val="16"/>
              </w:rPr>
            </w:pPr>
            <w:r>
              <w:rPr>
                <w:sz w:val="16"/>
              </w:rPr>
              <w:t>0.98</w:t>
            </w:r>
          </w:p>
        </w:tc>
        <w:tc>
          <w:tcPr>
            <w:tcW w:w="719" w:type="dxa"/>
            <w:shd w:val="clear" w:color="auto" w:fill="D8E1F2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6" w:lineRule="exact"/>
              <w:ind w:left="109" w:right="103"/>
              <w:rPr>
                <w:sz w:val="16"/>
              </w:rPr>
            </w:pPr>
            <w:r>
              <w:rPr>
                <w:sz w:val="16"/>
              </w:rPr>
              <w:t>WCH-20</w:t>
            </w:r>
          </w:p>
        </w:tc>
        <w:tc>
          <w:tcPr>
            <w:tcW w:w="988" w:type="dxa"/>
          </w:tcPr>
          <w:p>
            <w:pPr>
              <w:pStyle w:val="TableParagraph"/>
              <w:spacing w:line="176" w:lineRule="exact"/>
              <w:ind w:left="153" w:right="146"/>
              <w:rPr>
                <w:sz w:val="16"/>
              </w:rPr>
            </w:pPr>
            <w:r>
              <w:rPr>
                <w:sz w:val="16"/>
              </w:rPr>
              <w:t>130.00</w:t>
            </w:r>
          </w:p>
        </w:tc>
        <w:tc>
          <w:tcPr>
            <w:tcW w:w="1079" w:type="dxa"/>
          </w:tcPr>
          <w:p>
            <w:pPr>
              <w:pStyle w:val="TableParagraph"/>
              <w:spacing w:line="176" w:lineRule="exact"/>
              <w:ind w:left="399"/>
              <w:jc w:val="left"/>
              <w:rPr>
                <w:sz w:val="16"/>
              </w:rPr>
            </w:pPr>
            <w:r>
              <w:rPr>
                <w:sz w:val="16"/>
              </w:rPr>
              <w:t>5.04</w:t>
            </w:r>
          </w:p>
        </w:tc>
        <w:tc>
          <w:tcPr>
            <w:tcW w:w="1079" w:type="dxa"/>
          </w:tcPr>
          <w:p>
            <w:pPr>
              <w:pStyle w:val="TableParagraph"/>
              <w:spacing w:line="176" w:lineRule="exact"/>
              <w:ind w:left="156" w:right="140"/>
              <w:rPr>
                <w:sz w:val="16"/>
              </w:rPr>
            </w:pPr>
            <w:r>
              <w:rPr>
                <w:sz w:val="16"/>
              </w:rPr>
              <w:t>2.70</w:t>
            </w:r>
          </w:p>
        </w:tc>
        <w:tc>
          <w:tcPr>
            <w:tcW w:w="719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93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ind w:left="111" w:right="102"/>
              <w:rPr>
                <w:sz w:val="16"/>
              </w:rPr>
            </w:pPr>
            <w:r>
              <w:rPr>
                <w:sz w:val="16"/>
              </w:rPr>
              <w:t>Wch-60</w:t>
            </w:r>
          </w:p>
        </w:tc>
        <w:tc>
          <w:tcPr>
            <w:tcW w:w="988" w:type="dxa"/>
            <w:shd w:val="clear" w:color="auto" w:fill="D8E1F2"/>
          </w:tcPr>
          <w:p>
            <w:pPr>
              <w:pStyle w:val="TableParagraph"/>
              <w:ind w:left="153" w:right="146"/>
              <w:rPr>
                <w:sz w:val="16"/>
              </w:rPr>
            </w:pPr>
            <w:r>
              <w:rPr>
                <w:sz w:val="16"/>
              </w:rPr>
              <w:t>131.75</w:t>
            </w:r>
          </w:p>
        </w:tc>
        <w:tc>
          <w:tcPr>
            <w:tcW w:w="1079" w:type="dxa"/>
            <w:shd w:val="clear" w:color="auto" w:fill="D8E1F2"/>
          </w:tcPr>
          <w:p>
            <w:pPr>
              <w:pStyle w:val="TableParagraph"/>
              <w:ind w:left="358"/>
              <w:jc w:val="left"/>
              <w:rPr>
                <w:sz w:val="16"/>
              </w:rPr>
            </w:pPr>
            <w:r>
              <w:rPr>
                <w:sz w:val="16"/>
              </w:rPr>
              <w:t>13.69</w:t>
            </w:r>
          </w:p>
        </w:tc>
        <w:tc>
          <w:tcPr>
            <w:tcW w:w="1079" w:type="dxa"/>
            <w:shd w:val="clear" w:color="auto" w:fill="D8E1F2"/>
          </w:tcPr>
          <w:p>
            <w:pPr>
              <w:pStyle w:val="TableParagraph"/>
              <w:ind w:left="156" w:right="140"/>
              <w:rPr>
                <w:sz w:val="16"/>
              </w:rPr>
            </w:pPr>
            <w:r>
              <w:rPr>
                <w:sz w:val="16"/>
              </w:rPr>
              <w:t>5.01</w:t>
            </w:r>
          </w:p>
        </w:tc>
        <w:tc>
          <w:tcPr>
            <w:tcW w:w="719" w:type="dxa"/>
            <w:shd w:val="clear" w:color="auto" w:fill="D8E1F2"/>
          </w:tcPr>
          <w:p>
            <w:pPr>
              <w:pStyle w:val="TableParagraph"/>
              <w:ind w:left="161" w:right="145"/>
              <w:rPr>
                <w:sz w:val="16"/>
              </w:rPr>
            </w:pPr>
            <w:r>
              <w:rPr>
                <w:sz w:val="16"/>
              </w:rPr>
              <w:t>416</w:t>
            </w: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6" w:lineRule="exact"/>
              <w:ind w:left="111" w:right="102"/>
              <w:rPr>
                <w:sz w:val="16"/>
              </w:rPr>
            </w:pPr>
            <w:r>
              <w:rPr>
                <w:sz w:val="16"/>
              </w:rPr>
              <w:t>Wch-61</w:t>
            </w:r>
          </w:p>
        </w:tc>
        <w:tc>
          <w:tcPr>
            <w:tcW w:w="988" w:type="dxa"/>
          </w:tcPr>
          <w:p>
            <w:pPr>
              <w:pStyle w:val="TableParagraph"/>
              <w:spacing w:line="176" w:lineRule="exact"/>
              <w:ind w:left="153" w:right="146"/>
              <w:rPr>
                <w:sz w:val="16"/>
              </w:rPr>
            </w:pPr>
            <w:r>
              <w:rPr>
                <w:sz w:val="16"/>
              </w:rPr>
              <w:t>132.75</w:t>
            </w:r>
          </w:p>
        </w:tc>
        <w:tc>
          <w:tcPr>
            <w:tcW w:w="1079" w:type="dxa"/>
          </w:tcPr>
          <w:p>
            <w:pPr>
              <w:pStyle w:val="TableParagraph"/>
              <w:spacing w:line="176" w:lineRule="exact"/>
              <w:ind w:left="399"/>
              <w:jc w:val="left"/>
              <w:rPr>
                <w:sz w:val="16"/>
              </w:rPr>
            </w:pPr>
            <w:r>
              <w:rPr>
                <w:sz w:val="16"/>
              </w:rPr>
              <w:t>2.10</w:t>
            </w:r>
          </w:p>
        </w:tc>
        <w:tc>
          <w:tcPr>
            <w:tcW w:w="1079" w:type="dxa"/>
          </w:tcPr>
          <w:p>
            <w:pPr>
              <w:pStyle w:val="TableParagraph"/>
              <w:spacing w:line="176" w:lineRule="exact"/>
              <w:ind w:left="156" w:right="140"/>
              <w:rPr>
                <w:sz w:val="16"/>
              </w:rPr>
            </w:pPr>
            <w:r>
              <w:rPr>
                <w:sz w:val="16"/>
              </w:rPr>
              <w:t>1.88</w:t>
            </w:r>
          </w:p>
        </w:tc>
        <w:tc>
          <w:tcPr>
            <w:tcW w:w="719" w:type="dxa"/>
          </w:tcPr>
          <w:p>
            <w:pPr>
              <w:pStyle w:val="TableParagraph"/>
              <w:spacing w:line="176" w:lineRule="exact"/>
              <w:ind w:left="161" w:right="145"/>
              <w:rPr>
                <w:sz w:val="16"/>
              </w:rPr>
            </w:pPr>
            <w:r>
              <w:rPr>
                <w:sz w:val="16"/>
              </w:rPr>
              <w:t>420</w:t>
            </w:r>
          </w:p>
        </w:tc>
      </w:tr>
      <w:tr>
        <w:trPr>
          <w:trHeight w:val="194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ind w:left="109" w:right="103"/>
              <w:rPr>
                <w:sz w:val="16"/>
              </w:rPr>
            </w:pPr>
            <w:r>
              <w:rPr>
                <w:sz w:val="16"/>
              </w:rPr>
              <w:t>WCH-21</w:t>
            </w:r>
          </w:p>
        </w:tc>
        <w:tc>
          <w:tcPr>
            <w:tcW w:w="988" w:type="dxa"/>
            <w:shd w:val="clear" w:color="auto" w:fill="D8E1F2"/>
          </w:tcPr>
          <w:p>
            <w:pPr>
              <w:pStyle w:val="TableParagraph"/>
              <w:ind w:left="153" w:right="146"/>
              <w:rPr>
                <w:sz w:val="16"/>
              </w:rPr>
            </w:pPr>
            <w:r>
              <w:rPr>
                <w:sz w:val="16"/>
              </w:rPr>
              <w:t>133.50</w:t>
            </w:r>
          </w:p>
        </w:tc>
        <w:tc>
          <w:tcPr>
            <w:tcW w:w="1079" w:type="dxa"/>
            <w:shd w:val="clear" w:color="auto" w:fill="D8E1F2"/>
          </w:tcPr>
          <w:p>
            <w:pPr>
              <w:pStyle w:val="TableParagraph"/>
              <w:ind w:left="399"/>
              <w:jc w:val="left"/>
              <w:rPr>
                <w:sz w:val="16"/>
              </w:rPr>
            </w:pPr>
            <w:r>
              <w:rPr>
                <w:sz w:val="16"/>
              </w:rPr>
              <w:t>0.31</w:t>
            </w:r>
          </w:p>
        </w:tc>
        <w:tc>
          <w:tcPr>
            <w:tcW w:w="1079" w:type="dxa"/>
            <w:shd w:val="clear" w:color="auto" w:fill="D8E1F2"/>
          </w:tcPr>
          <w:p>
            <w:pPr>
              <w:pStyle w:val="TableParagraph"/>
              <w:ind w:left="156" w:right="140"/>
              <w:rPr>
                <w:sz w:val="16"/>
              </w:rPr>
            </w:pPr>
            <w:r>
              <w:rPr>
                <w:sz w:val="16"/>
              </w:rPr>
              <w:t>0.73</w:t>
            </w:r>
          </w:p>
        </w:tc>
        <w:tc>
          <w:tcPr>
            <w:tcW w:w="719" w:type="dxa"/>
            <w:shd w:val="clear" w:color="auto" w:fill="D8E1F2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6" w:lineRule="exact"/>
              <w:ind w:left="111" w:right="102"/>
              <w:rPr>
                <w:sz w:val="16"/>
              </w:rPr>
            </w:pPr>
            <w:r>
              <w:rPr>
                <w:sz w:val="16"/>
              </w:rPr>
              <w:t>Wch-44</w:t>
            </w:r>
          </w:p>
        </w:tc>
        <w:tc>
          <w:tcPr>
            <w:tcW w:w="988" w:type="dxa"/>
          </w:tcPr>
          <w:p>
            <w:pPr>
              <w:pStyle w:val="TableParagraph"/>
              <w:spacing w:line="176" w:lineRule="exact"/>
              <w:ind w:left="153" w:right="146"/>
              <w:rPr>
                <w:sz w:val="16"/>
              </w:rPr>
            </w:pPr>
            <w:r>
              <w:rPr>
                <w:sz w:val="16"/>
              </w:rPr>
              <w:t>134.00</w:t>
            </w:r>
          </w:p>
        </w:tc>
        <w:tc>
          <w:tcPr>
            <w:tcW w:w="1079" w:type="dxa"/>
          </w:tcPr>
          <w:p>
            <w:pPr>
              <w:pStyle w:val="TableParagraph"/>
              <w:spacing w:line="176" w:lineRule="exact"/>
              <w:ind w:left="399"/>
              <w:jc w:val="left"/>
              <w:rPr>
                <w:sz w:val="16"/>
              </w:rPr>
            </w:pPr>
            <w:r>
              <w:rPr>
                <w:sz w:val="16"/>
              </w:rPr>
              <w:t>1.21</w:t>
            </w:r>
          </w:p>
        </w:tc>
        <w:tc>
          <w:tcPr>
            <w:tcW w:w="1079" w:type="dxa"/>
          </w:tcPr>
          <w:p>
            <w:pPr>
              <w:pStyle w:val="TableParagraph"/>
              <w:spacing w:line="176" w:lineRule="exact"/>
              <w:ind w:left="156" w:right="140"/>
              <w:rPr>
                <w:sz w:val="16"/>
              </w:rPr>
            </w:pPr>
            <w:r>
              <w:rPr>
                <w:sz w:val="16"/>
              </w:rPr>
              <w:t>1.20</w:t>
            </w:r>
          </w:p>
        </w:tc>
        <w:tc>
          <w:tcPr>
            <w:tcW w:w="719" w:type="dxa"/>
          </w:tcPr>
          <w:p>
            <w:pPr>
              <w:pStyle w:val="TableParagraph"/>
              <w:spacing w:line="176" w:lineRule="exact"/>
              <w:ind w:left="161" w:right="145"/>
              <w:rPr>
                <w:sz w:val="16"/>
              </w:rPr>
            </w:pPr>
            <w:r>
              <w:rPr>
                <w:sz w:val="16"/>
              </w:rPr>
              <w:t>424</w:t>
            </w:r>
          </w:p>
        </w:tc>
      </w:tr>
      <w:tr>
        <w:trPr>
          <w:trHeight w:val="194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ind w:left="109" w:right="103"/>
              <w:rPr>
                <w:sz w:val="16"/>
              </w:rPr>
            </w:pPr>
            <w:r>
              <w:rPr>
                <w:sz w:val="16"/>
              </w:rPr>
              <w:t>WCH-22</w:t>
            </w:r>
          </w:p>
        </w:tc>
        <w:tc>
          <w:tcPr>
            <w:tcW w:w="988" w:type="dxa"/>
            <w:shd w:val="clear" w:color="auto" w:fill="D8E1F2"/>
          </w:tcPr>
          <w:p>
            <w:pPr>
              <w:pStyle w:val="TableParagraph"/>
              <w:ind w:left="153" w:right="146"/>
              <w:rPr>
                <w:sz w:val="16"/>
              </w:rPr>
            </w:pPr>
            <w:r>
              <w:rPr>
                <w:sz w:val="16"/>
              </w:rPr>
              <w:t>136.00</w:t>
            </w:r>
          </w:p>
        </w:tc>
        <w:tc>
          <w:tcPr>
            <w:tcW w:w="1079" w:type="dxa"/>
            <w:shd w:val="clear" w:color="auto" w:fill="D8E1F2"/>
          </w:tcPr>
          <w:p>
            <w:pPr>
              <w:pStyle w:val="TableParagraph"/>
              <w:ind w:left="399"/>
              <w:jc w:val="left"/>
              <w:rPr>
                <w:sz w:val="16"/>
              </w:rPr>
            </w:pPr>
            <w:r>
              <w:rPr>
                <w:sz w:val="16"/>
              </w:rPr>
              <w:t>0.18</w:t>
            </w:r>
          </w:p>
        </w:tc>
        <w:tc>
          <w:tcPr>
            <w:tcW w:w="1079" w:type="dxa"/>
            <w:shd w:val="clear" w:color="auto" w:fill="D8E1F2"/>
          </w:tcPr>
          <w:p>
            <w:pPr>
              <w:pStyle w:val="TableParagraph"/>
              <w:ind w:left="156" w:right="140"/>
              <w:rPr>
                <w:sz w:val="16"/>
              </w:rPr>
            </w:pPr>
            <w:r>
              <w:rPr>
                <w:sz w:val="16"/>
              </w:rPr>
              <w:t>0.59</w:t>
            </w:r>
          </w:p>
        </w:tc>
        <w:tc>
          <w:tcPr>
            <w:tcW w:w="719" w:type="dxa"/>
            <w:shd w:val="clear" w:color="auto" w:fill="D8E1F2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6" w:lineRule="exact"/>
              <w:ind w:left="109" w:right="103"/>
              <w:rPr>
                <w:sz w:val="16"/>
              </w:rPr>
            </w:pPr>
            <w:r>
              <w:rPr>
                <w:sz w:val="16"/>
              </w:rPr>
              <w:t>WCH-23</w:t>
            </w:r>
          </w:p>
        </w:tc>
        <w:tc>
          <w:tcPr>
            <w:tcW w:w="988" w:type="dxa"/>
          </w:tcPr>
          <w:p>
            <w:pPr>
              <w:pStyle w:val="TableParagraph"/>
              <w:spacing w:line="176" w:lineRule="exact"/>
              <w:ind w:left="153" w:right="146"/>
              <w:rPr>
                <w:sz w:val="16"/>
              </w:rPr>
            </w:pPr>
            <w:r>
              <w:rPr>
                <w:sz w:val="16"/>
              </w:rPr>
              <w:t>137.25</w:t>
            </w:r>
          </w:p>
        </w:tc>
        <w:tc>
          <w:tcPr>
            <w:tcW w:w="1079" w:type="dxa"/>
          </w:tcPr>
          <w:p>
            <w:pPr>
              <w:pStyle w:val="TableParagraph"/>
              <w:spacing w:line="176" w:lineRule="exact"/>
              <w:ind w:left="399"/>
              <w:jc w:val="left"/>
              <w:rPr>
                <w:sz w:val="16"/>
              </w:rPr>
            </w:pPr>
            <w:r>
              <w:rPr>
                <w:sz w:val="16"/>
              </w:rPr>
              <w:t>0.26</w:t>
            </w:r>
          </w:p>
        </w:tc>
        <w:tc>
          <w:tcPr>
            <w:tcW w:w="1079" w:type="dxa"/>
          </w:tcPr>
          <w:p>
            <w:pPr>
              <w:pStyle w:val="TableParagraph"/>
              <w:spacing w:line="176" w:lineRule="exact"/>
              <w:ind w:left="156" w:right="140"/>
              <w:rPr>
                <w:sz w:val="16"/>
              </w:rPr>
            </w:pPr>
            <w:r>
              <w:rPr>
                <w:sz w:val="16"/>
              </w:rPr>
              <w:t>0.70</w:t>
            </w:r>
          </w:p>
        </w:tc>
        <w:tc>
          <w:tcPr>
            <w:tcW w:w="719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93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ind w:left="109" w:right="103"/>
              <w:rPr>
                <w:sz w:val="16"/>
              </w:rPr>
            </w:pPr>
            <w:r>
              <w:rPr>
                <w:sz w:val="16"/>
              </w:rPr>
              <w:t>WCH-24</w:t>
            </w:r>
          </w:p>
        </w:tc>
        <w:tc>
          <w:tcPr>
            <w:tcW w:w="988" w:type="dxa"/>
            <w:shd w:val="clear" w:color="auto" w:fill="D8E1F2"/>
          </w:tcPr>
          <w:p>
            <w:pPr>
              <w:pStyle w:val="TableParagraph"/>
              <w:ind w:left="153" w:right="146"/>
              <w:rPr>
                <w:sz w:val="16"/>
              </w:rPr>
            </w:pPr>
            <w:r>
              <w:rPr>
                <w:sz w:val="16"/>
              </w:rPr>
              <w:t>138.50</w:t>
            </w:r>
          </w:p>
        </w:tc>
        <w:tc>
          <w:tcPr>
            <w:tcW w:w="1079" w:type="dxa"/>
            <w:shd w:val="clear" w:color="auto" w:fill="D8E1F2"/>
          </w:tcPr>
          <w:p>
            <w:pPr>
              <w:pStyle w:val="TableParagraph"/>
              <w:ind w:left="399"/>
              <w:jc w:val="left"/>
              <w:rPr>
                <w:sz w:val="16"/>
              </w:rPr>
            </w:pPr>
            <w:r>
              <w:rPr>
                <w:sz w:val="16"/>
              </w:rPr>
              <w:t>0.46</w:t>
            </w:r>
          </w:p>
        </w:tc>
        <w:tc>
          <w:tcPr>
            <w:tcW w:w="1079" w:type="dxa"/>
            <w:shd w:val="clear" w:color="auto" w:fill="D8E1F2"/>
          </w:tcPr>
          <w:p>
            <w:pPr>
              <w:pStyle w:val="TableParagraph"/>
              <w:ind w:left="156" w:right="140"/>
              <w:rPr>
                <w:sz w:val="16"/>
              </w:rPr>
            </w:pPr>
            <w:r>
              <w:rPr>
                <w:sz w:val="16"/>
              </w:rPr>
              <w:t>0.98</w:t>
            </w:r>
          </w:p>
        </w:tc>
        <w:tc>
          <w:tcPr>
            <w:tcW w:w="719" w:type="dxa"/>
            <w:shd w:val="clear" w:color="auto" w:fill="D8E1F2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5" w:lineRule="exact" w:before="1"/>
              <w:ind w:left="109" w:right="103"/>
              <w:rPr>
                <w:sz w:val="16"/>
              </w:rPr>
            </w:pPr>
            <w:r>
              <w:rPr>
                <w:sz w:val="16"/>
              </w:rPr>
              <w:t>WCH-25</w:t>
            </w:r>
          </w:p>
        </w:tc>
        <w:tc>
          <w:tcPr>
            <w:tcW w:w="988" w:type="dxa"/>
          </w:tcPr>
          <w:p>
            <w:pPr>
              <w:pStyle w:val="TableParagraph"/>
              <w:spacing w:line="175" w:lineRule="exact" w:before="1"/>
              <w:ind w:left="153" w:right="146"/>
              <w:rPr>
                <w:sz w:val="16"/>
              </w:rPr>
            </w:pPr>
            <w:r>
              <w:rPr>
                <w:sz w:val="16"/>
              </w:rPr>
              <w:t>139.67</w:t>
            </w:r>
          </w:p>
        </w:tc>
        <w:tc>
          <w:tcPr>
            <w:tcW w:w="1079" w:type="dxa"/>
          </w:tcPr>
          <w:p>
            <w:pPr>
              <w:pStyle w:val="TableParagraph"/>
              <w:spacing w:line="175" w:lineRule="exact" w:before="1"/>
              <w:ind w:left="399"/>
              <w:jc w:val="left"/>
              <w:rPr>
                <w:sz w:val="16"/>
              </w:rPr>
            </w:pPr>
            <w:r>
              <w:rPr>
                <w:sz w:val="16"/>
              </w:rPr>
              <w:t>0.59</w:t>
            </w:r>
          </w:p>
        </w:tc>
        <w:tc>
          <w:tcPr>
            <w:tcW w:w="1079" w:type="dxa"/>
          </w:tcPr>
          <w:p>
            <w:pPr>
              <w:pStyle w:val="TableParagraph"/>
              <w:spacing w:line="175" w:lineRule="exact" w:before="1"/>
              <w:ind w:left="156" w:right="140"/>
              <w:rPr>
                <w:sz w:val="16"/>
              </w:rPr>
            </w:pPr>
            <w:r>
              <w:rPr>
                <w:sz w:val="16"/>
              </w:rPr>
              <w:t>1.09</w:t>
            </w:r>
          </w:p>
        </w:tc>
        <w:tc>
          <w:tcPr>
            <w:tcW w:w="719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93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ind w:left="109" w:right="103"/>
              <w:rPr>
                <w:sz w:val="16"/>
              </w:rPr>
            </w:pPr>
            <w:r>
              <w:rPr>
                <w:sz w:val="16"/>
              </w:rPr>
              <w:t>WCH-26</w:t>
            </w:r>
          </w:p>
        </w:tc>
        <w:tc>
          <w:tcPr>
            <w:tcW w:w="988" w:type="dxa"/>
            <w:shd w:val="clear" w:color="auto" w:fill="D8E1F2"/>
          </w:tcPr>
          <w:p>
            <w:pPr>
              <w:pStyle w:val="TableParagraph"/>
              <w:ind w:left="153" w:right="146"/>
              <w:rPr>
                <w:sz w:val="16"/>
              </w:rPr>
            </w:pPr>
            <w:r>
              <w:rPr>
                <w:sz w:val="16"/>
              </w:rPr>
              <w:t>141.08</w:t>
            </w:r>
          </w:p>
        </w:tc>
        <w:tc>
          <w:tcPr>
            <w:tcW w:w="1079" w:type="dxa"/>
            <w:shd w:val="clear" w:color="auto" w:fill="D8E1F2"/>
          </w:tcPr>
          <w:p>
            <w:pPr>
              <w:pStyle w:val="TableParagraph"/>
              <w:ind w:left="399"/>
              <w:jc w:val="left"/>
              <w:rPr>
                <w:sz w:val="16"/>
              </w:rPr>
            </w:pPr>
            <w:r>
              <w:rPr>
                <w:sz w:val="16"/>
              </w:rPr>
              <w:t>0.70</w:t>
            </w:r>
          </w:p>
        </w:tc>
        <w:tc>
          <w:tcPr>
            <w:tcW w:w="1079" w:type="dxa"/>
            <w:shd w:val="clear" w:color="auto" w:fill="D8E1F2"/>
          </w:tcPr>
          <w:p>
            <w:pPr>
              <w:pStyle w:val="TableParagraph"/>
              <w:ind w:left="156" w:right="140"/>
              <w:rPr>
                <w:sz w:val="16"/>
              </w:rPr>
            </w:pPr>
            <w:r>
              <w:rPr>
                <w:sz w:val="16"/>
              </w:rPr>
              <w:t>1.24</w:t>
            </w:r>
          </w:p>
        </w:tc>
        <w:tc>
          <w:tcPr>
            <w:tcW w:w="719" w:type="dxa"/>
            <w:shd w:val="clear" w:color="auto" w:fill="D8E1F2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5" w:lineRule="exact" w:before="1"/>
              <w:ind w:left="109" w:right="103"/>
              <w:rPr>
                <w:sz w:val="16"/>
              </w:rPr>
            </w:pPr>
            <w:r>
              <w:rPr>
                <w:sz w:val="16"/>
              </w:rPr>
              <w:t>WCH-27</w:t>
            </w:r>
          </w:p>
        </w:tc>
        <w:tc>
          <w:tcPr>
            <w:tcW w:w="988" w:type="dxa"/>
          </w:tcPr>
          <w:p>
            <w:pPr>
              <w:pStyle w:val="TableParagraph"/>
              <w:spacing w:line="175" w:lineRule="exact" w:before="1"/>
              <w:ind w:left="153" w:right="146"/>
              <w:rPr>
                <w:sz w:val="16"/>
              </w:rPr>
            </w:pPr>
            <w:r>
              <w:rPr>
                <w:sz w:val="16"/>
              </w:rPr>
              <w:t>142.25</w:t>
            </w:r>
          </w:p>
        </w:tc>
        <w:tc>
          <w:tcPr>
            <w:tcW w:w="1079" w:type="dxa"/>
          </w:tcPr>
          <w:p>
            <w:pPr>
              <w:pStyle w:val="TableParagraph"/>
              <w:spacing w:line="175" w:lineRule="exact" w:before="1"/>
              <w:ind w:left="399"/>
              <w:jc w:val="left"/>
              <w:rPr>
                <w:sz w:val="16"/>
              </w:rPr>
            </w:pPr>
            <w:r>
              <w:rPr>
                <w:sz w:val="16"/>
              </w:rPr>
              <w:t>0.29</w:t>
            </w:r>
          </w:p>
        </w:tc>
        <w:tc>
          <w:tcPr>
            <w:tcW w:w="1079" w:type="dxa"/>
          </w:tcPr>
          <w:p>
            <w:pPr>
              <w:pStyle w:val="TableParagraph"/>
              <w:spacing w:line="175" w:lineRule="exact" w:before="1"/>
              <w:ind w:left="156" w:right="140"/>
              <w:rPr>
                <w:sz w:val="16"/>
              </w:rPr>
            </w:pPr>
            <w:r>
              <w:rPr>
                <w:sz w:val="16"/>
              </w:rPr>
              <w:t>0.97</w:t>
            </w:r>
          </w:p>
        </w:tc>
        <w:tc>
          <w:tcPr>
            <w:tcW w:w="719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96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spacing w:line="176" w:lineRule="exact"/>
              <w:ind w:left="109" w:right="103"/>
              <w:rPr>
                <w:sz w:val="16"/>
              </w:rPr>
            </w:pPr>
            <w:r>
              <w:rPr>
                <w:sz w:val="16"/>
              </w:rPr>
              <w:t>WCH-28</w:t>
            </w:r>
          </w:p>
        </w:tc>
        <w:tc>
          <w:tcPr>
            <w:tcW w:w="988" w:type="dxa"/>
            <w:shd w:val="clear" w:color="auto" w:fill="D8E1F2"/>
          </w:tcPr>
          <w:p>
            <w:pPr>
              <w:pStyle w:val="TableParagraph"/>
              <w:spacing w:line="176" w:lineRule="exact"/>
              <w:ind w:left="153" w:right="146"/>
              <w:rPr>
                <w:sz w:val="16"/>
              </w:rPr>
            </w:pPr>
            <w:r>
              <w:rPr>
                <w:sz w:val="16"/>
              </w:rPr>
              <w:t>143.50</w:t>
            </w:r>
          </w:p>
        </w:tc>
        <w:tc>
          <w:tcPr>
            <w:tcW w:w="1079" w:type="dxa"/>
            <w:shd w:val="clear" w:color="auto" w:fill="D8E1F2"/>
          </w:tcPr>
          <w:p>
            <w:pPr>
              <w:pStyle w:val="TableParagraph"/>
              <w:spacing w:line="176" w:lineRule="exact"/>
              <w:ind w:left="399"/>
              <w:jc w:val="left"/>
              <w:rPr>
                <w:sz w:val="16"/>
              </w:rPr>
            </w:pPr>
            <w:r>
              <w:rPr>
                <w:sz w:val="16"/>
              </w:rPr>
              <w:t>0.30</w:t>
            </w:r>
          </w:p>
        </w:tc>
        <w:tc>
          <w:tcPr>
            <w:tcW w:w="1079" w:type="dxa"/>
            <w:shd w:val="clear" w:color="auto" w:fill="D8E1F2"/>
          </w:tcPr>
          <w:p>
            <w:pPr>
              <w:pStyle w:val="TableParagraph"/>
              <w:spacing w:line="176" w:lineRule="exact"/>
              <w:ind w:left="156" w:right="140"/>
              <w:rPr>
                <w:sz w:val="16"/>
              </w:rPr>
            </w:pPr>
            <w:r>
              <w:rPr>
                <w:sz w:val="16"/>
              </w:rPr>
              <w:t>0.92</w:t>
            </w:r>
          </w:p>
        </w:tc>
        <w:tc>
          <w:tcPr>
            <w:tcW w:w="719" w:type="dxa"/>
            <w:shd w:val="clear" w:color="auto" w:fill="D8E1F2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93" w:hRule="atLeast"/>
        </w:trPr>
        <w:tc>
          <w:tcPr>
            <w:tcW w:w="806" w:type="dxa"/>
          </w:tcPr>
          <w:p>
            <w:pPr>
              <w:pStyle w:val="TableParagraph"/>
              <w:ind w:left="111" w:right="102"/>
              <w:rPr>
                <w:sz w:val="16"/>
              </w:rPr>
            </w:pPr>
            <w:r>
              <w:rPr>
                <w:sz w:val="16"/>
              </w:rPr>
              <w:t>Wch-45</w:t>
            </w:r>
          </w:p>
        </w:tc>
        <w:tc>
          <w:tcPr>
            <w:tcW w:w="988" w:type="dxa"/>
          </w:tcPr>
          <w:p>
            <w:pPr>
              <w:pStyle w:val="TableParagraph"/>
              <w:ind w:left="153" w:right="146"/>
              <w:rPr>
                <w:sz w:val="16"/>
              </w:rPr>
            </w:pPr>
            <w:r>
              <w:rPr>
                <w:sz w:val="16"/>
              </w:rPr>
              <w:t>145.17</w:t>
            </w:r>
          </w:p>
        </w:tc>
        <w:tc>
          <w:tcPr>
            <w:tcW w:w="1079" w:type="dxa"/>
          </w:tcPr>
          <w:p>
            <w:pPr>
              <w:pStyle w:val="TableParagraph"/>
              <w:ind w:left="399"/>
              <w:jc w:val="left"/>
              <w:rPr>
                <w:sz w:val="16"/>
              </w:rPr>
            </w:pPr>
            <w:r>
              <w:rPr>
                <w:sz w:val="16"/>
              </w:rPr>
              <w:t>1.54</w:t>
            </w:r>
          </w:p>
        </w:tc>
        <w:tc>
          <w:tcPr>
            <w:tcW w:w="1079" w:type="dxa"/>
          </w:tcPr>
          <w:p>
            <w:pPr>
              <w:pStyle w:val="TableParagraph"/>
              <w:ind w:left="156" w:right="140"/>
              <w:rPr>
                <w:sz w:val="16"/>
              </w:rPr>
            </w:pPr>
            <w:r>
              <w:rPr>
                <w:sz w:val="16"/>
              </w:rPr>
              <w:t>2.14</w:t>
            </w:r>
          </w:p>
        </w:tc>
        <w:tc>
          <w:tcPr>
            <w:tcW w:w="719" w:type="dxa"/>
          </w:tcPr>
          <w:p>
            <w:pPr>
              <w:pStyle w:val="TableParagraph"/>
              <w:ind w:left="161" w:right="145"/>
              <w:rPr>
                <w:sz w:val="16"/>
              </w:rPr>
            </w:pPr>
            <w:r>
              <w:rPr>
                <w:sz w:val="16"/>
              </w:rPr>
              <w:t>421</w:t>
            </w:r>
          </w:p>
        </w:tc>
      </w:tr>
      <w:tr>
        <w:trPr>
          <w:trHeight w:val="196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spacing w:line="176" w:lineRule="exact"/>
              <w:ind w:left="109" w:right="103"/>
              <w:rPr>
                <w:sz w:val="16"/>
              </w:rPr>
            </w:pPr>
            <w:r>
              <w:rPr>
                <w:sz w:val="16"/>
              </w:rPr>
              <w:t>WCH-29</w:t>
            </w:r>
          </w:p>
        </w:tc>
        <w:tc>
          <w:tcPr>
            <w:tcW w:w="988" w:type="dxa"/>
            <w:shd w:val="clear" w:color="auto" w:fill="D8E1F2"/>
          </w:tcPr>
          <w:p>
            <w:pPr>
              <w:pStyle w:val="TableParagraph"/>
              <w:spacing w:line="176" w:lineRule="exact"/>
              <w:ind w:left="153" w:right="146"/>
              <w:rPr>
                <w:sz w:val="16"/>
              </w:rPr>
            </w:pPr>
            <w:r>
              <w:rPr>
                <w:sz w:val="16"/>
              </w:rPr>
              <w:t>146.00</w:t>
            </w:r>
          </w:p>
        </w:tc>
        <w:tc>
          <w:tcPr>
            <w:tcW w:w="1079" w:type="dxa"/>
            <w:shd w:val="clear" w:color="auto" w:fill="D8E1F2"/>
          </w:tcPr>
          <w:p>
            <w:pPr>
              <w:pStyle w:val="TableParagraph"/>
              <w:spacing w:line="176" w:lineRule="exact"/>
              <w:ind w:left="399"/>
              <w:jc w:val="left"/>
              <w:rPr>
                <w:sz w:val="16"/>
              </w:rPr>
            </w:pPr>
            <w:r>
              <w:rPr>
                <w:sz w:val="16"/>
              </w:rPr>
              <w:t>0.35</w:t>
            </w:r>
          </w:p>
        </w:tc>
        <w:tc>
          <w:tcPr>
            <w:tcW w:w="1079" w:type="dxa"/>
            <w:shd w:val="clear" w:color="auto" w:fill="D8E1F2"/>
          </w:tcPr>
          <w:p>
            <w:pPr>
              <w:pStyle w:val="TableParagraph"/>
              <w:spacing w:line="176" w:lineRule="exact"/>
              <w:ind w:left="156" w:right="140"/>
              <w:rPr>
                <w:sz w:val="16"/>
              </w:rPr>
            </w:pPr>
            <w:r>
              <w:rPr>
                <w:sz w:val="16"/>
              </w:rPr>
              <w:t>1.03</w:t>
            </w:r>
          </w:p>
        </w:tc>
        <w:tc>
          <w:tcPr>
            <w:tcW w:w="719" w:type="dxa"/>
            <w:shd w:val="clear" w:color="auto" w:fill="D8E1F2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94" w:hRule="atLeast"/>
        </w:trPr>
        <w:tc>
          <w:tcPr>
            <w:tcW w:w="806" w:type="dxa"/>
          </w:tcPr>
          <w:p>
            <w:pPr>
              <w:pStyle w:val="TableParagraph"/>
              <w:ind w:left="109" w:right="103"/>
              <w:rPr>
                <w:sz w:val="16"/>
              </w:rPr>
            </w:pPr>
            <w:r>
              <w:rPr>
                <w:sz w:val="16"/>
              </w:rPr>
              <w:t>WCH-30</w:t>
            </w:r>
          </w:p>
        </w:tc>
        <w:tc>
          <w:tcPr>
            <w:tcW w:w="988" w:type="dxa"/>
          </w:tcPr>
          <w:p>
            <w:pPr>
              <w:pStyle w:val="TableParagraph"/>
              <w:ind w:left="153" w:right="146"/>
              <w:rPr>
                <w:sz w:val="16"/>
              </w:rPr>
            </w:pPr>
            <w:r>
              <w:rPr>
                <w:sz w:val="16"/>
              </w:rPr>
              <w:t>147.08</w:t>
            </w:r>
          </w:p>
        </w:tc>
        <w:tc>
          <w:tcPr>
            <w:tcW w:w="1079" w:type="dxa"/>
          </w:tcPr>
          <w:p>
            <w:pPr>
              <w:pStyle w:val="TableParagraph"/>
              <w:ind w:left="399"/>
              <w:jc w:val="left"/>
              <w:rPr>
                <w:sz w:val="16"/>
              </w:rPr>
            </w:pPr>
            <w:r>
              <w:rPr>
                <w:sz w:val="16"/>
              </w:rPr>
              <w:t>0.24</w:t>
            </w:r>
          </w:p>
        </w:tc>
        <w:tc>
          <w:tcPr>
            <w:tcW w:w="1079" w:type="dxa"/>
          </w:tcPr>
          <w:p>
            <w:pPr>
              <w:pStyle w:val="TableParagraph"/>
              <w:ind w:left="156" w:right="140"/>
              <w:rPr>
                <w:sz w:val="16"/>
              </w:rPr>
            </w:pPr>
            <w:r>
              <w:rPr>
                <w:sz w:val="16"/>
              </w:rPr>
              <w:t>1.10</w:t>
            </w:r>
          </w:p>
        </w:tc>
        <w:tc>
          <w:tcPr>
            <w:tcW w:w="719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96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spacing w:line="176" w:lineRule="exact"/>
              <w:ind w:left="109" w:right="103"/>
              <w:rPr>
                <w:sz w:val="16"/>
              </w:rPr>
            </w:pPr>
            <w:r>
              <w:rPr>
                <w:sz w:val="16"/>
              </w:rPr>
              <w:t>WCH-31</w:t>
            </w:r>
          </w:p>
        </w:tc>
        <w:tc>
          <w:tcPr>
            <w:tcW w:w="988" w:type="dxa"/>
            <w:shd w:val="clear" w:color="auto" w:fill="D8E1F2"/>
          </w:tcPr>
          <w:p>
            <w:pPr>
              <w:pStyle w:val="TableParagraph"/>
              <w:spacing w:line="176" w:lineRule="exact"/>
              <w:ind w:left="153" w:right="146"/>
              <w:rPr>
                <w:sz w:val="16"/>
              </w:rPr>
            </w:pPr>
            <w:r>
              <w:rPr>
                <w:sz w:val="16"/>
              </w:rPr>
              <w:t>149.25</w:t>
            </w:r>
          </w:p>
        </w:tc>
        <w:tc>
          <w:tcPr>
            <w:tcW w:w="1079" w:type="dxa"/>
            <w:shd w:val="clear" w:color="auto" w:fill="D8E1F2"/>
          </w:tcPr>
          <w:p>
            <w:pPr>
              <w:pStyle w:val="TableParagraph"/>
              <w:spacing w:line="176" w:lineRule="exact"/>
              <w:ind w:left="399"/>
              <w:jc w:val="left"/>
              <w:rPr>
                <w:sz w:val="16"/>
              </w:rPr>
            </w:pPr>
            <w:r>
              <w:rPr>
                <w:sz w:val="16"/>
              </w:rPr>
              <w:t>0.28</w:t>
            </w:r>
          </w:p>
        </w:tc>
        <w:tc>
          <w:tcPr>
            <w:tcW w:w="1079" w:type="dxa"/>
            <w:shd w:val="clear" w:color="auto" w:fill="D8E1F2"/>
          </w:tcPr>
          <w:p>
            <w:pPr>
              <w:pStyle w:val="TableParagraph"/>
              <w:spacing w:line="176" w:lineRule="exact"/>
              <w:ind w:left="156" w:right="140"/>
              <w:rPr>
                <w:sz w:val="16"/>
              </w:rPr>
            </w:pPr>
            <w:r>
              <w:rPr>
                <w:sz w:val="16"/>
              </w:rPr>
              <w:t>0.89</w:t>
            </w:r>
          </w:p>
        </w:tc>
        <w:tc>
          <w:tcPr>
            <w:tcW w:w="719" w:type="dxa"/>
            <w:shd w:val="clear" w:color="auto" w:fill="D8E1F2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94" w:hRule="atLeast"/>
        </w:trPr>
        <w:tc>
          <w:tcPr>
            <w:tcW w:w="806" w:type="dxa"/>
          </w:tcPr>
          <w:p>
            <w:pPr>
              <w:pStyle w:val="TableParagraph"/>
              <w:ind w:left="111" w:right="102"/>
              <w:rPr>
                <w:sz w:val="16"/>
              </w:rPr>
            </w:pPr>
            <w:r>
              <w:rPr>
                <w:sz w:val="16"/>
              </w:rPr>
              <w:t>Wch-46</w:t>
            </w:r>
          </w:p>
        </w:tc>
        <w:tc>
          <w:tcPr>
            <w:tcW w:w="988" w:type="dxa"/>
          </w:tcPr>
          <w:p>
            <w:pPr>
              <w:pStyle w:val="TableParagraph"/>
              <w:ind w:left="153" w:right="146"/>
              <w:rPr>
                <w:sz w:val="16"/>
              </w:rPr>
            </w:pPr>
            <w:r>
              <w:rPr>
                <w:sz w:val="16"/>
              </w:rPr>
              <w:t>153.58</w:t>
            </w:r>
          </w:p>
        </w:tc>
        <w:tc>
          <w:tcPr>
            <w:tcW w:w="1079" w:type="dxa"/>
          </w:tcPr>
          <w:p>
            <w:pPr>
              <w:pStyle w:val="TableParagraph"/>
              <w:ind w:left="399"/>
              <w:jc w:val="left"/>
              <w:rPr>
                <w:sz w:val="16"/>
              </w:rPr>
            </w:pPr>
            <w:r>
              <w:rPr>
                <w:sz w:val="16"/>
              </w:rPr>
              <w:t>9.58</w:t>
            </w:r>
          </w:p>
        </w:tc>
        <w:tc>
          <w:tcPr>
            <w:tcW w:w="1079" w:type="dxa"/>
          </w:tcPr>
          <w:p>
            <w:pPr>
              <w:pStyle w:val="TableParagraph"/>
              <w:ind w:left="156" w:right="140"/>
              <w:rPr>
                <w:sz w:val="16"/>
              </w:rPr>
            </w:pPr>
            <w:r>
              <w:rPr>
                <w:sz w:val="16"/>
              </w:rPr>
              <w:t>4.39</w:t>
            </w:r>
          </w:p>
        </w:tc>
        <w:tc>
          <w:tcPr>
            <w:tcW w:w="719" w:type="dxa"/>
          </w:tcPr>
          <w:p>
            <w:pPr>
              <w:pStyle w:val="TableParagraph"/>
              <w:ind w:left="161" w:right="145"/>
              <w:rPr>
                <w:sz w:val="16"/>
              </w:rPr>
            </w:pPr>
            <w:r>
              <w:rPr>
                <w:sz w:val="16"/>
              </w:rPr>
              <w:t>416</w:t>
            </w:r>
          </w:p>
        </w:tc>
      </w:tr>
      <w:tr>
        <w:trPr>
          <w:trHeight w:val="196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spacing w:line="176" w:lineRule="exact"/>
              <w:ind w:left="111" w:right="102"/>
              <w:rPr>
                <w:sz w:val="16"/>
              </w:rPr>
            </w:pPr>
            <w:r>
              <w:rPr>
                <w:sz w:val="16"/>
              </w:rPr>
              <w:t>Wch-47</w:t>
            </w:r>
          </w:p>
        </w:tc>
        <w:tc>
          <w:tcPr>
            <w:tcW w:w="988" w:type="dxa"/>
            <w:shd w:val="clear" w:color="auto" w:fill="D8E1F2"/>
          </w:tcPr>
          <w:p>
            <w:pPr>
              <w:pStyle w:val="TableParagraph"/>
              <w:spacing w:line="176" w:lineRule="exact"/>
              <w:ind w:left="153" w:right="146"/>
              <w:rPr>
                <w:sz w:val="16"/>
              </w:rPr>
            </w:pPr>
            <w:r>
              <w:rPr>
                <w:sz w:val="16"/>
              </w:rPr>
              <w:t>160.17</w:t>
            </w:r>
          </w:p>
        </w:tc>
        <w:tc>
          <w:tcPr>
            <w:tcW w:w="1079" w:type="dxa"/>
            <w:shd w:val="clear" w:color="auto" w:fill="D8E1F2"/>
          </w:tcPr>
          <w:p>
            <w:pPr>
              <w:pStyle w:val="TableParagraph"/>
              <w:spacing w:line="176" w:lineRule="exact"/>
              <w:ind w:left="399"/>
              <w:jc w:val="left"/>
              <w:rPr>
                <w:sz w:val="16"/>
              </w:rPr>
            </w:pPr>
            <w:r>
              <w:rPr>
                <w:sz w:val="16"/>
              </w:rPr>
              <w:t>2.22</w:t>
            </w:r>
          </w:p>
        </w:tc>
        <w:tc>
          <w:tcPr>
            <w:tcW w:w="1079" w:type="dxa"/>
            <w:shd w:val="clear" w:color="auto" w:fill="D8E1F2"/>
          </w:tcPr>
          <w:p>
            <w:pPr>
              <w:pStyle w:val="TableParagraph"/>
              <w:spacing w:line="176" w:lineRule="exact"/>
              <w:ind w:left="156" w:right="140"/>
              <w:rPr>
                <w:sz w:val="16"/>
              </w:rPr>
            </w:pPr>
            <w:r>
              <w:rPr>
                <w:sz w:val="16"/>
              </w:rPr>
              <w:t>1.72</w:t>
            </w:r>
          </w:p>
        </w:tc>
        <w:tc>
          <w:tcPr>
            <w:tcW w:w="719" w:type="dxa"/>
            <w:shd w:val="clear" w:color="auto" w:fill="D8E1F2"/>
          </w:tcPr>
          <w:p>
            <w:pPr>
              <w:pStyle w:val="TableParagraph"/>
              <w:spacing w:line="176" w:lineRule="exact"/>
              <w:ind w:left="161" w:right="145"/>
              <w:rPr>
                <w:sz w:val="16"/>
              </w:rPr>
            </w:pPr>
            <w:r>
              <w:rPr>
                <w:sz w:val="16"/>
              </w:rPr>
              <w:t>419</w:t>
            </w: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6" w:lineRule="exact"/>
              <w:ind w:left="111" w:right="102"/>
              <w:rPr>
                <w:sz w:val="16"/>
              </w:rPr>
            </w:pPr>
            <w:r>
              <w:rPr>
                <w:sz w:val="16"/>
              </w:rPr>
              <w:t>Wch-48</w:t>
            </w:r>
          </w:p>
        </w:tc>
        <w:tc>
          <w:tcPr>
            <w:tcW w:w="988" w:type="dxa"/>
          </w:tcPr>
          <w:p>
            <w:pPr>
              <w:pStyle w:val="TableParagraph"/>
              <w:spacing w:line="176" w:lineRule="exact"/>
              <w:ind w:left="153" w:right="146"/>
              <w:rPr>
                <w:sz w:val="16"/>
              </w:rPr>
            </w:pPr>
            <w:r>
              <w:rPr>
                <w:sz w:val="16"/>
              </w:rPr>
              <w:t>160.83</w:t>
            </w:r>
          </w:p>
        </w:tc>
        <w:tc>
          <w:tcPr>
            <w:tcW w:w="1079" w:type="dxa"/>
          </w:tcPr>
          <w:p>
            <w:pPr>
              <w:pStyle w:val="TableParagraph"/>
              <w:spacing w:line="176" w:lineRule="exact"/>
              <w:ind w:left="399"/>
              <w:jc w:val="left"/>
              <w:rPr>
                <w:sz w:val="16"/>
              </w:rPr>
            </w:pPr>
            <w:r>
              <w:rPr>
                <w:sz w:val="16"/>
              </w:rPr>
              <w:t>2.62</w:t>
            </w:r>
          </w:p>
        </w:tc>
        <w:tc>
          <w:tcPr>
            <w:tcW w:w="1079" w:type="dxa"/>
          </w:tcPr>
          <w:p>
            <w:pPr>
              <w:pStyle w:val="TableParagraph"/>
              <w:spacing w:line="176" w:lineRule="exact"/>
              <w:ind w:left="156" w:right="140"/>
              <w:rPr>
                <w:sz w:val="16"/>
              </w:rPr>
            </w:pPr>
            <w:r>
              <w:rPr>
                <w:sz w:val="16"/>
              </w:rPr>
              <w:t>1.83</w:t>
            </w:r>
          </w:p>
        </w:tc>
        <w:tc>
          <w:tcPr>
            <w:tcW w:w="719" w:type="dxa"/>
          </w:tcPr>
          <w:p>
            <w:pPr>
              <w:pStyle w:val="TableParagraph"/>
              <w:spacing w:line="176" w:lineRule="exact"/>
              <w:ind w:left="161" w:right="145"/>
              <w:rPr>
                <w:sz w:val="16"/>
              </w:rPr>
            </w:pPr>
            <w:r>
              <w:rPr>
                <w:sz w:val="16"/>
              </w:rPr>
              <w:t>418</w:t>
            </w:r>
          </w:p>
        </w:tc>
      </w:tr>
    </w:tbl>
    <w:p>
      <w:pPr>
        <w:spacing w:after="0" w:line="176" w:lineRule="exact"/>
        <w:rPr>
          <w:sz w:val="16"/>
        </w:rPr>
        <w:sectPr>
          <w:footerReference w:type="default" r:id="rId74"/>
          <w:pgSz w:w="12240" w:h="15840"/>
          <w:pgMar w:footer="1014" w:header="0" w:top="1440" w:bottom="1200" w:left="1320" w:right="820"/>
        </w:sectPr>
      </w:pPr>
    </w:p>
    <w:tbl>
      <w:tblPr>
        <w:tblW w:w="0" w:type="auto"/>
        <w:jc w:val="left"/>
        <w:tblInd w:w="24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6"/>
        <w:gridCol w:w="988"/>
        <w:gridCol w:w="1079"/>
        <w:gridCol w:w="1079"/>
        <w:gridCol w:w="719"/>
      </w:tblGrid>
      <w:tr>
        <w:trPr>
          <w:trHeight w:val="196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spacing w:line="176" w:lineRule="exact"/>
              <w:ind w:left="111" w:right="102"/>
              <w:rPr>
                <w:sz w:val="16"/>
              </w:rPr>
            </w:pPr>
            <w:r>
              <w:rPr>
                <w:sz w:val="16"/>
              </w:rPr>
              <w:t>Wch-49</w:t>
            </w:r>
          </w:p>
        </w:tc>
        <w:tc>
          <w:tcPr>
            <w:tcW w:w="988" w:type="dxa"/>
            <w:shd w:val="clear" w:color="auto" w:fill="D8E1F2"/>
          </w:tcPr>
          <w:p>
            <w:pPr>
              <w:pStyle w:val="TableParagraph"/>
              <w:spacing w:line="176" w:lineRule="exact"/>
              <w:ind w:left="153" w:right="146"/>
              <w:rPr>
                <w:sz w:val="16"/>
              </w:rPr>
            </w:pPr>
            <w:r>
              <w:rPr>
                <w:sz w:val="16"/>
              </w:rPr>
              <w:t>169.33</w:t>
            </w:r>
          </w:p>
        </w:tc>
        <w:tc>
          <w:tcPr>
            <w:tcW w:w="1079" w:type="dxa"/>
            <w:shd w:val="clear" w:color="auto" w:fill="D8E1F2"/>
          </w:tcPr>
          <w:p>
            <w:pPr>
              <w:pStyle w:val="TableParagraph"/>
              <w:spacing w:line="176" w:lineRule="exact"/>
              <w:ind w:left="399"/>
              <w:jc w:val="left"/>
              <w:rPr>
                <w:sz w:val="16"/>
              </w:rPr>
            </w:pPr>
            <w:r>
              <w:rPr>
                <w:sz w:val="16"/>
              </w:rPr>
              <w:t>2.71</w:t>
            </w:r>
          </w:p>
        </w:tc>
        <w:tc>
          <w:tcPr>
            <w:tcW w:w="1079" w:type="dxa"/>
            <w:shd w:val="clear" w:color="auto" w:fill="D8E1F2"/>
          </w:tcPr>
          <w:p>
            <w:pPr>
              <w:pStyle w:val="TableParagraph"/>
              <w:spacing w:line="176" w:lineRule="exact"/>
              <w:ind w:left="156" w:right="140"/>
              <w:rPr>
                <w:sz w:val="16"/>
              </w:rPr>
            </w:pPr>
            <w:r>
              <w:rPr>
                <w:sz w:val="16"/>
              </w:rPr>
              <w:t>2.04</w:t>
            </w:r>
          </w:p>
        </w:tc>
        <w:tc>
          <w:tcPr>
            <w:tcW w:w="719" w:type="dxa"/>
            <w:shd w:val="clear" w:color="auto" w:fill="D8E1F2"/>
          </w:tcPr>
          <w:p>
            <w:pPr>
              <w:pStyle w:val="TableParagraph"/>
              <w:spacing w:line="176" w:lineRule="exact"/>
              <w:ind w:left="161" w:right="145"/>
              <w:rPr>
                <w:sz w:val="16"/>
              </w:rPr>
            </w:pPr>
            <w:r>
              <w:rPr>
                <w:sz w:val="16"/>
              </w:rPr>
              <w:t>419</w:t>
            </w:r>
          </w:p>
        </w:tc>
      </w:tr>
      <w:tr>
        <w:trPr>
          <w:trHeight w:val="193" w:hRule="atLeast"/>
        </w:trPr>
        <w:tc>
          <w:tcPr>
            <w:tcW w:w="806" w:type="dxa"/>
          </w:tcPr>
          <w:p>
            <w:pPr>
              <w:pStyle w:val="TableParagraph"/>
              <w:ind w:left="111" w:right="102"/>
              <w:rPr>
                <w:sz w:val="16"/>
              </w:rPr>
            </w:pPr>
            <w:r>
              <w:rPr>
                <w:sz w:val="16"/>
              </w:rPr>
              <w:t>Wch-50</w:t>
            </w:r>
          </w:p>
        </w:tc>
        <w:tc>
          <w:tcPr>
            <w:tcW w:w="988" w:type="dxa"/>
          </w:tcPr>
          <w:p>
            <w:pPr>
              <w:pStyle w:val="TableParagraph"/>
              <w:ind w:left="153" w:right="146"/>
              <w:rPr>
                <w:sz w:val="16"/>
              </w:rPr>
            </w:pPr>
            <w:r>
              <w:rPr>
                <w:sz w:val="16"/>
              </w:rPr>
              <w:t>170.92</w:t>
            </w:r>
          </w:p>
        </w:tc>
        <w:tc>
          <w:tcPr>
            <w:tcW w:w="1079" w:type="dxa"/>
          </w:tcPr>
          <w:p>
            <w:pPr>
              <w:pStyle w:val="TableParagraph"/>
              <w:ind w:left="399"/>
              <w:jc w:val="left"/>
              <w:rPr>
                <w:sz w:val="16"/>
              </w:rPr>
            </w:pPr>
            <w:r>
              <w:rPr>
                <w:sz w:val="16"/>
              </w:rPr>
              <w:t>9.54</w:t>
            </w:r>
          </w:p>
        </w:tc>
        <w:tc>
          <w:tcPr>
            <w:tcW w:w="1079" w:type="dxa"/>
          </w:tcPr>
          <w:p>
            <w:pPr>
              <w:pStyle w:val="TableParagraph"/>
              <w:ind w:left="156" w:right="140"/>
              <w:rPr>
                <w:sz w:val="16"/>
              </w:rPr>
            </w:pPr>
            <w:r>
              <w:rPr>
                <w:sz w:val="16"/>
              </w:rPr>
              <w:t>4.41</w:t>
            </w:r>
          </w:p>
        </w:tc>
        <w:tc>
          <w:tcPr>
            <w:tcW w:w="719" w:type="dxa"/>
          </w:tcPr>
          <w:p>
            <w:pPr>
              <w:pStyle w:val="TableParagraph"/>
              <w:ind w:left="161" w:right="145"/>
              <w:rPr>
                <w:sz w:val="16"/>
              </w:rPr>
            </w:pPr>
            <w:r>
              <w:rPr>
                <w:sz w:val="16"/>
              </w:rPr>
              <w:t>410</w:t>
            </w:r>
          </w:p>
        </w:tc>
      </w:tr>
      <w:tr>
        <w:trPr>
          <w:trHeight w:val="196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spacing w:line="176" w:lineRule="exact"/>
              <w:ind w:left="111" w:right="102"/>
              <w:rPr>
                <w:sz w:val="16"/>
              </w:rPr>
            </w:pPr>
            <w:r>
              <w:rPr>
                <w:sz w:val="16"/>
              </w:rPr>
              <w:t>Wch-51</w:t>
            </w:r>
          </w:p>
        </w:tc>
        <w:tc>
          <w:tcPr>
            <w:tcW w:w="988" w:type="dxa"/>
            <w:shd w:val="clear" w:color="auto" w:fill="D8E1F2"/>
          </w:tcPr>
          <w:p>
            <w:pPr>
              <w:pStyle w:val="TableParagraph"/>
              <w:spacing w:line="176" w:lineRule="exact"/>
              <w:ind w:left="153" w:right="146"/>
              <w:rPr>
                <w:sz w:val="16"/>
              </w:rPr>
            </w:pPr>
            <w:r>
              <w:rPr>
                <w:sz w:val="16"/>
              </w:rPr>
              <w:t>172.00</w:t>
            </w:r>
          </w:p>
        </w:tc>
        <w:tc>
          <w:tcPr>
            <w:tcW w:w="1079" w:type="dxa"/>
            <w:shd w:val="clear" w:color="auto" w:fill="D8E1F2"/>
          </w:tcPr>
          <w:p>
            <w:pPr>
              <w:pStyle w:val="TableParagraph"/>
              <w:spacing w:line="176" w:lineRule="exact"/>
              <w:ind w:left="399"/>
              <w:jc w:val="left"/>
              <w:rPr>
                <w:sz w:val="16"/>
              </w:rPr>
            </w:pPr>
            <w:r>
              <w:rPr>
                <w:sz w:val="16"/>
              </w:rPr>
              <w:t>0.72</w:t>
            </w:r>
          </w:p>
        </w:tc>
        <w:tc>
          <w:tcPr>
            <w:tcW w:w="1079" w:type="dxa"/>
            <w:shd w:val="clear" w:color="auto" w:fill="D8E1F2"/>
          </w:tcPr>
          <w:p>
            <w:pPr>
              <w:pStyle w:val="TableParagraph"/>
              <w:spacing w:line="176" w:lineRule="exact"/>
              <w:ind w:left="156" w:right="140"/>
              <w:rPr>
                <w:sz w:val="16"/>
              </w:rPr>
            </w:pPr>
            <w:r>
              <w:rPr>
                <w:sz w:val="16"/>
              </w:rPr>
              <w:t>1.24</w:t>
            </w:r>
          </w:p>
        </w:tc>
        <w:tc>
          <w:tcPr>
            <w:tcW w:w="719" w:type="dxa"/>
            <w:shd w:val="clear" w:color="auto" w:fill="D8E1F2"/>
          </w:tcPr>
          <w:p>
            <w:pPr>
              <w:pStyle w:val="TableParagraph"/>
              <w:spacing w:line="176" w:lineRule="exact"/>
              <w:ind w:left="161" w:right="145"/>
              <w:rPr>
                <w:sz w:val="16"/>
              </w:rPr>
            </w:pPr>
            <w:r>
              <w:rPr>
                <w:sz w:val="16"/>
              </w:rPr>
              <w:t>421</w:t>
            </w:r>
          </w:p>
        </w:tc>
      </w:tr>
      <w:tr>
        <w:trPr>
          <w:trHeight w:val="194" w:hRule="atLeast"/>
        </w:trPr>
        <w:tc>
          <w:tcPr>
            <w:tcW w:w="806" w:type="dxa"/>
          </w:tcPr>
          <w:p>
            <w:pPr>
              <w:pStyle w:val="TableParagraph"/>
              <w:ind w:left="111" w:right="102"/>
              <w:rPr>
                <w:sz w:val="16"/>
              </w:rPr>
            </w:pPr>
            <w:r>
              <w:rPr>
                <w:sz w:val="16"/>
              </w:rPr>
              <w:t>Wch-52</w:t>
            </w:r>
          </w:p>
        </w:tc>
        <w:tc>
          <w:tcPr>
            <w:tcW w:w="988" w:type="dxa"/>
          </w:tcPr>
          <w:p>
            <w:pPr>
              <w:pStyle w:val="TableParagraph"/>
              <w:ind w:left="153" w:right="146"/>
              <w:rPr>
                <w:sz w:val="16"/>
              </w:rPr>
            </w:pPr>
            <w:r>
              <w:rPr>
                <w:sz w:val="16"/>
              </w:rPr>
              <w:t>172.42</w:t>
            </w:r>
          </w:p>
        </w:tc>
        <w:tc>
          <w:tcPr>
            <w:tcW w:w="1079" w:type="dxa"/>
          </w:tcPr>
          <w:p>
            <w:pPr>
              <w:pStyle w:val="TableParagraph"/>
              <w:ind w:left="399"/>
              <w:jc w:val="left"/>
              <w:rPr>
                <w:sz w:val="16"/>
              </w:rPr>
            </w:pPr>
            <w:r>
              <w:rPr>
                <w:sz w:val="16"/>
              </w:rPr>
              <w:t>1.23</w:t>
            </w:r>
          </w:p>
        </w:tc>
        <w:tc>
          <w:tcPr>
            <w:tcW w:w="1079" w:type="dxa"/>
          </w:tcPr>
          <w:p>
            <w:pPr>
              <w:pStyle w:val="TableParagraph"/>
              <w:ind w:left="156" w:right="140"/>
              <w:rPr>
                <w:sz w:val="16"/>
              </w:rPr>
            </w:pPr>
            <w:r>
              <w:rPr>
                <w:sz w:val="16"/>
              </w:rPr>
              <w:t>1.91</w:t>
            </w:r>
          </w:p>
        </w:tc>
        <w:tc>
          <w:tcPr>
            <w:tcW w:w="719" w:type="dxa"/>
          </w:tcPr>
          <w:p>
            <w:pPr>
              <w:pStyle w:val="TableParagraph"/>
              <w:ind w:left="161" w:right="145"/>
              <w:rPr>
                <w:sz w:val="16"/>
              </w:rPr>
            </w:pPr>
            <w:r>
              <w:rPr>
                <w:sz w:val="16"/>
              </w:rPr>
              <w:t>422</w:t>
            </w:r>
          </w:p>
        </w:tc>
      </w:tr>
      <w:tr>
        <w:trPr>
          <w:trHeight w:val="196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spacing w:line="176" w:lineRule="exact"/>
              <w:ind w:left="111" w:right="102"/>
              <w:rPr>
                <w:sz w:val="16"/>
              </w:rPr>
            </w:pPr>
            <w:r>
              <w:rPr>
                <w:sz w:val="16"/>
              </w:rPr>
              <w:t>Wch-53</w:t>
            </w:r>
          </w:p>
        </w:tc>
        <w:tc>
          <w:tcPr>
            <w:tcW w:w="988" w:type="dxa"/>
            <w:shd w:val="clear" w:color="auto" w:fill="D8E1F2"/>
          </w:tcPr>
          <w:p>
            <w:pPr>
              <w:pStyle w:val="TableParagraph"/>
              <w:spacing w:line="176" w:lineRule="exact"/>
              <w:ind w:left="153" w:right="146"/>
              <w:rPr>
                <w:sz w:val="16"/>
              </w:rPr>
            </w:pPr>
            <w:r>
              <w:rPr>
                <w:sz w:val="16"/>
              </w:rPr>
              <w:t>173.83</w:t>
            </w:r>
          </w:p>
        </w:tc>
        <w:tc>
          <w:tcPr>
            <w:tcW w:w="1079" w:type="dxa"/>
            <w:shd w:val="clear" w:color="auto" w:fill="D8E1F2"/>
          </w:tcPr>
          <w:p>
            <w:pPr>
              <w:pStyle w:val="TableParagraph"/>
              <w:spacing w:line="176" w:lineRule="exact"/>
              <w:ind w:left="358"/>
              <w:jc w:val="left"/>
              <w:rPr>
                <w:sz w:val="16"/>
              </w:rPr>
            </w:pPr>
            <w:r>
              <w:rPr>
                <w:sz w:val="16"/>
              </w:rPr>
              <w:t>13.70</w:t>
            </w:r>
          </w:p>
        </w:tc>
        <w:tc>
          <w:tcPr>
            <w:tcW w:w="1079" w:type="dxa"/>
            <w:shd w:val="clear" w:color="auto" w:fill="D8E1F2"/>
          </w:tcPr>
          <w:p>
            <w:pPr>
              <w:pStyle w:val="TableParagraph"/>
              <w:spacing w:line="176" w:lineRule="exact"/>
              <w:ind w:left="156" w:right="140"/>
              <w:rPr>
                <w:sz w:val="16"/>
              </w:rPr>
            </w:pPr>
            <w:r>
              <w:rPr>
                <w:sz w:val="16"/>
              </w:rPr>
              <w:t>5.53</w:t>
            </w:r>
          </w:p>
        </w:tc>
        <w:tc>
          <w:tcPr>
            <w:tcW w:w="719" w:type="dxa"/>
            <w:shd w:val="clear" w:color="auto" w:fill="D8E1F2"/>
          </w:tcPr>
          <w:p>
            <w:pPr>
              <w:pStyle w:val="TableParagraph"/>
              <w:spacing w:line="176" w:lineRule="exact"/>
              <w:ind w:left="161" w:right="145"/>
              <w:rPr>
                <w:sz w:val="16"/>
              </w:rPr>
            </w:pPr>
            <w:r>
              <w:rPr>
                <w:sz w:val="16"/>
              </w:rPr>
              <w:t>418</w:t>
            </w:r>
          </w:p>
        </w:tc>
      </w:tr>
      <w:tr>
        <w:trPr>
          <w:trHeight w:val="194" w:hRule="atLeast"/>
        </w:trPr>
        <w:tc>
          <w:tcPr>
            <w:tcW w:w="806" w:type="dxa"/>
          </w:tcPr>
          <w:p>
            <w:pPr>
              <w:pStyle w:val="TableParagraph"/>
              <w:ind w:left="111" w:right="102"/>
              <w:rPr>
                <w:sz w:val="16"/>
              </w:rPr>
            </w:pPr>
            <w:r>
              <w:rPr>
                <w:sz w:val="16"/>
              </w:rPr>
              <w:t>Wch-54</w:t>
            </w:r>
          </w:p>
        </w:tc>
        <w:tc>
          <w:tcPr>
            <w:tcW w:w="988" w:type="dxa"/>
          </w:tcPr>
          <w:p>
            <w:pPr>
              <w:pStyle w:val="TableParagraph"/>
              <w:ind w:left="153" w:right="146"/>
              <w:rPr>
                <w:sz w:val="16"/>
              </w:rPr>
            </w:pPr>
            <w:r>
              <w:rPr>
                <w:sz w:val="16"/>
              </w:rPr>
              <w:t>174.42</w:t>
            </w:r>
          </w:p>
        </w:tc>
        <w:tc>
          <w:tcPr>
            <w:tcW w:w="1079" w:type="dxa"/>
          </w:tcPr>
          <w:p>
            <w:pPr>
              <w:pStyle w:val="TableParagraph"/>
              <w:ind w:left="399"/>
              <w:jc w:val="left"/>
              <w:rPr>
                <w:sz w:val="16"/>
              </w:rPr>
            </w:pPr>
            <w:r>
              <w:rPr>
                <w:sz w:val="16"/>
              </w:rPr>
              <w:t>1.89</w:t>
            </w:r>
          </w:p>
        </w:tc>
        <w:tc>
          <w:tcPr>
            <w:tcW w:w="1079" w:type="dxa"/>
          </w:tcPr>
          <w:p>
            <w:pPr>
              <w:pStyle w:val="TableParagraph"/>
              <w:ind w:left="156" w:right="140"/>
              <w:rPr>
                <w:sz w:val="16"/>
              </w:rPr>
            </w:pPr>
            <w:r>
              <w:rPr>
                <w:sz w:val="16"/>
              </w:rPr>
              <w:t>2.18</w:t>
            </w:r>
          </w:p>
        </w:tc>
        <w:tc>
          <w:tcPr>
            <w:tcW w:w="719" w:type="dxa"/>
          </w:tcPr>
          <w:p>
            <w:pPr>
              <w:pStyle w:val="TableParagraph"/>
              <w:ind w:left="161" w:right="145"/>
              <w:rPr>
                <w:sz w:val="16"/>
              </w:rPr>
            </w:pPr>
            <w:r>
              <w:rPr>
                <w:sz w:val="16"/>
              </w:rPr>
              <w:t>426</w:t>
            </w:r>
          </w:p>
        </w:tc>
      </w:tr>
      <w:tr>
        <w:trPr>
          <w:trHeight w:val="196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spacing w:line="176" w:lineRule="exact"/>
              <w:ind w:left="111" w:right="102"/>
              <w:rPr>
                <w:sz w:val="16"/>
              </w:rPr>
            </w:pPr>
            <w:r>
              <w:rPr>
                <w:sz w:val="16"/>
              </w:rPr>
              <w:t>Wch-32</w:t>
            </w:r>
          </w:p>
        </w:tc>
        <w:tc>
          <w:tcPr>
            <w:tcW w:w="988" w:type="dxa"/>
            <w:shd w:val="clear" w:color="auto" w:fill="D8E1F2"/>
          </w:tcPr>
          <w:p>
            <w:pPr>
              <w:pStyle w:val="TableParagraph"/>
              <w:spacing w:line="176" w:lineRule="exact"/>
              <w:ind w:left="153" w:right="146"/>
              <w:rPr>
                <w:sz w:val="16"/>
              </w:rPr>
            </w:pPr>
            <w:r>
              <w:rPr>
                <w:sz w:val="16"/>
              </w:rPr>
              <w:t>181.92</w:t>
            </w:r>
          </w:p>
        </w:tc>
        <w:tc>
          <w:tcPr>
            <w:tcW w:w="1079" w:type="dxa"/>
            <w:shd w:val="clear" w:color="auto" w:fill="D8E1F2"/>
          </w:tcPr>
          <w:p>
            <w:pPr>
              <w:pStyle w:val="TableParagraph"/>
              <w:spacing w:line="176" w:lineRule="exact"/>
              <w:ind w:left="399"/>
              <w:jc w:val="left"/>
              <w:rPr>
                <w:sz w:val="16"/>
              </w:rPr>
            </w:pPr>
            <w:r>
              <w:rPr>
                <w:sz w:val="16"/>
              </w:rPr>
              <w:t>0.88</w:t>
            </w:r>
          </w:p>
        </w:tc>
        <w:tc>
          <w:tcPr>
            <w:tcW w:w="1079" w:type="dxa"/>
            <w:shd w:val="clear" w:color="auto" w:fill="D8E1F2"/>
          </w:tcPr>
          <w:p>
            <w:pPr>
              <w:pStyle w:val="TableParagraph"/>
              <w:spacing w:line="176" w:lineRule="exact"/>
              <w:ind w:left="156" w:right="140"/>
              <w:rPr>
                <w:sz w:val="16"/>
              </w:rPr>
            </w:pPr>
            <w:r>
              <w:rPr>
                <w:sz w:val="16"/>
              </w:rPr>
              <w:t>2.80</w:t>
            </w:r>
          </w:p>
        </w:tc>
        <w:tc>
          <w:tcPr>
            <w:tcW w:w="719" w:type="dxa"/>
            <w:shd w:val="clear" w:color="auto" w:fill="D8E1F2"/>
          </w:tcPr>
          <w:p>
            <w:pPr>
              <w:pStyle w:val="TableParagraph"/>
              <w:spacing w:line="176" w:lineRule="exact"/>
              <w:ind w:left="161" w:right="145"/>
              <w:rPr>
                <w:sz w:val="16"/>
              </w:rPr>
            </w:pPr>
            <w:r>
              <w:rPr>
                <w:sz w:val="16"/>
              </w:rPr>
              <w:t>427</w:t>
            </w:r>
          </w:p>
        </w:tc>
      </w:tr>
      <w:tr>
        <w:trPr>
          <w:trHeight w:val="194" w:hRule="atLeast"/>
        </w:trPr>
        <w:tc>
          <w:tcPr>
            <w:tcW w:w="806" w:type="dxa"/>
          </w:tcPr>
          <w:p>
            <w:pPr>
              <w:pStyle w:val="TableParagraph"/>
              <w:ind w:left="111" w:right="102"/>
              <w:rPr>
                <w:sz w:val="16"/>
              </w:rPr>
            </w:pPr>
            <w:r>
              <w:rPr>
                <w:sz w:val="16"/>
              </w:rPr>
              <w:t>Wch-33</w:t>
            </w:r>
          </w:p>
        </w:tc>
        <w:tc>
          <w:tcPr>
            <w:tcW w:w="988" w:type="dxa"/>
          </w:tcPr>
          <w:p>
            <w:pPr>
              <w:pStyle w:val="TableParagraph"/>
              <w:ind w:left="153" w:right="146"/>
              <w:rPr>
                <w:sz w:val="16"/>
              </w:rPr>
            </w:pPr>
            <w:r>
              <w:rPr>
                <w:sz w:val="16"/>
              </w:rPr>
              <w:t>185.92</w:t>
            </w:r>
          </w:p>
        </w:tc>
        <w:tc>
          <w:tcPr>
            <w:tcW w:w="1079" w:type="dxa"/>
          </w:tcPr>
          <w:p>
            <w:pPr>
              <w:pStyle w:val="TableParagraph"/>
              <w:ind w:left="399"/>
              <w:jc w:val="left"/>
              <w:rPr>
                <w:sz w:val="16"/>
              </w:rPr>
            </w:pPr>
            <w:r>
              <w:rPr>
                <w:sz w:val="16"/>
              </w:rPr>
              <w:t>1.12</w:t>
            </w:r>
          </w:p>
        </w:tc>
        <w:tc>
          <w:tcPr>
            <w:tcW w:w="1079" w:type="dxa"/>
          </w:tcPr>
          <w:p>
            <w:pPr>
              <w:pStyle w:val="TableParagraph"/>
              <w:ind w:left="156" w:right="140"/>
              <w:rPr>
                <w:sz w:val="16"/>
              </w:rPr>
            </w:pPr>
            <w:r>
              <w:rPr>
                <w:sz w:val="16"/>
              </w:rPr>
              <w:t>3.74</w:t>
            </w:r>
          </w:p>
        </w:tc>
        <w:tc>
          <w:tcPr>
            <w:tcW w:w="719" w:type="dxa"/>
          </w:tcPr>
          <w:p>
            <w:pPr>
              <w:pStyle w:val="TableParagraph"/>
              <w:ind w:left="161" w:right="145"/>
              <w:rPr>
                <w:sz w:val="16"/>
              </w:rPr>
            </w:pPr>
            <w:r>
              <w:rPr>
                <w:sz w:val="16"/>
              </w:rPr>
              <w:t>423</w:t>
            </w:r>
          </w:p>
        </w:tc>
      </w:tr>
      <w:tr>
        <w:trPr>
          <w:trHeight w:val="196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111" w:right="102"/>
              <w:rPr>
                <w:sz w:val="16"/>
              </w:rPr>
            </w:pPr>
            <w:r>
              <w:rPr>
                <w:sz w:val="16"/>
              </w:rPr>
              <w:t>Wch-34</w:t>
            </w:r>
          </w:p>
        </w:tc>
        <w:tc>
          <w:tcPr>
            <w:tcW w:w="988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153" w:right="146"/>
              <w:rPr>
                <w:sz w:val="16"/>
              </w:rPr>
            </w:pPr>
            <w:r>
              <w:rPr>
                <w:sz w:val="16"/>
              </w:rPr>
              <w:t>186.42</w:t>
            </w:r>
          </w:p>
        </w:tc>
        <w:tc>
          <w:tcPr>
            <w:tcW w:w="1079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399"/>
              <w:jc w:val="left"/>
              <w:rPr>
                <w:sz w:val="16"/>
              </w:rPr>
            </w:pPr>
            <w:r>
              <w:rPr>
                <w:sz w:val="16"/>
              </w:rPr>
              <w:t>1.04</w:t>
            </w:r>
          </w:p>
        </w:tc>
        <w:tc>
          <w:tcPr>
            <w:tcW w:w="1079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156" w:right="140"/>
              <w:rPr>
                <w:sz w:val="16"/>
              </w:rPr>
            </w:pPr>
            <w:r>
              <w:rPr>
                <w:sz w:val="16"/>
              </w:rPr>
              <w:t>3.37</w:t>
            </w:r>
          </w:p>
        </w:tc>
        <w:tc>
          <w:tcPr>
            <w:tcW w:w="719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161" w:right="145"/>
              <w:rPr>
                <w:sz w:val="16"/>
              </w:rPr>
            </w:pPr>
            <w:r>
              <w:rPr>
                <w:sz w:val="16"/>
              </w:rPr>
              <w:t>424</w:t>
            </w:r>
          </w:p>
        </w:tc>
      </w:tr>
      <w:tr>
        <w:trPr>
          <w:trHeight w:val="194" w:hRule="atLeast"/>
        </w:trPr>
        <w:tc>
          <w:tcPr>
            <w:tcW w:w="806" w:type="dxa"/>
          </w:tcPr>
          <w:p>
            <w:pPr>
              <w:pStyle w:val="TableParagraph"/>
              <w:ind w:left="111" w:right="102"/>
              <w:rPr>
                <w:sz w:val="16"/>
              </w:rPr>
            </w:pPr>
            <w:r>
              <w:rPr>
                <w:sz w:val="16"/>
              </w:rPr>
              <w:t>Wch-35</w:t>
            </w:r>
          </w:p>
        </w:tc>
        <w:tc>
          <w:tcPr>
            <w:tcW w:w="988" w:type="dxa"/>
          </w:tcPr>
          <w:p>
            <w:pPr>
              <w:pStyle w:val="TableParagraph"/>
              <w:ind w:left="153" w:right="146"/>
              <w:rPr>
                <w:sz w:val="16"/>
              </w:rPr>
            </w:pPr>
            <w:r>
              <w:rPr>
                <w:sz w:val="16"/>
              </w:rPr>
              <w:t>187.75</w:t>
            </w:r>
          </w:p>
        </w:tc>
        <w:tc>
          <w:tcPr>
            <w:tcW w:w="1079" w:type="dxa"/>
          </w:tcPr>
          <w:p>
            <w:pPr>
              <w:pStyle w:val="TableParagraph"/>
              <w:ind w:left="399"/>
              <w:jc w:val="left"/>
              <w:rPr>
                <w:sz w:val="16"/>
              </w:rPr>
            </w:pPr>
            <w:r>
              <w:rPr>
                <w:sz w:val="16"/>
              </w:rPr>
              <w:t>2.03</w:t>
            </w:r>
          </w:p>
        </w:tc>
        <w:tc>
          <w:tcPr>
            <w:tcW w:w="1079" w:type="dxa"/>
          </w:tcPr>
          <w:p>
            <w:pPr>
              <w:pStyle w:val="TableParagraph"/>
              <w:ind w:left="156" w:right="140"/>
              <w:rPr>
                <w:sz w:val="16"/>
              </w:rPr>
            </w:pPr>
            <w:r>
              <w:rPr>
                <w:sz w:val="16"/>
              </w:rPr>
              <w:t>3.64</w:t>
            </w:r>
          </w:p>
        </w:tc>
        <w:tc>
          <w:tcPr>
            <w:tcW w:w="719" w:type="dxa"/>
          </w:tcPr>
          <w:p>
            <w:pPr>
              <w:pStyle w:val="TableParagraph"/>
              <w:ind w:left="161" w:right="145"/>
              <w:rPr>
                <w:sz w:val="16"/>
              </w:rPr>
            </w:pPr>
            <w:r>
              <w:rPr>
                <w:sz w:val="16"/>
              </w:rPr>
              <w:t>420</w:t>
            </w:r>
          </w:p>
        </w:tc>
      </w:tr>
      <w:tr>
        <w:trPr>
          <w:trHeight w:val="196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111" w:right="102"/>
              <w:rPr>
                <w:sz w:val="16"/>
              </w:rPr>
            </w:pPr>
            <w:r>
              <w:rPr>
                <w:sz w:val="16"/>
              </w:rPr>
              <w:t>Wch-36</w:t>
            </w:r>
          </w:p>
        </w:tc>
        <w:tc>
          <w:tcPr>
            <w:tcW w:w="988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153" w:right="146"/>
              <w:rPr>
                <w:sz w:val="16"/>
              </w:rPr>
            </w:pPr>
            <w:r>
              <w:rPr>
                <w:sz w:val="16"/>
              </w:rPr>
              <w:t>191.08</w:t>
            </w:r>
          </w:p>
        </w:tc>
        <w:tc>
          <w:tcPr>
            <w:tcW w:w="1079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399"/>
              <w:jc w:val="left"/>
              <w:rPr>
                <w:sz w:val="16"/>
              </w:rPr>
            </w:pPr>
            <w:r>
              <w:rPr>
                <w:sz w:val="16"/>
              </w:rPr>
              <w:t>1.11</w:t>
            </w:r>
          </w:p>
        </w:tc>
        <w:tc>
          <w:tcPr>
            <w:tcW w:w="1079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156" w:right="140"/>
              <w:rPr>
                <w:sz w:val="16"/>
              </w:rPr>
            </w:pPr>
            <w:r>
              <w:rPr>
                <w:sz w:val="16"/>
              </w:rPr>
              <w:t>2.29</w:t>
            </w:r>
          </w:p>
        </w:tc>
        <w:tc>
          <w:tcPr>
            <w:tcW w:w="719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161" w:right="145"/>
              <w:rPr>
                <w:sz w:val="16"/>
              </w:rPr>
            </w:pPr>
            <w:r>
              <w:rPr>
                <w:sz w:val="16"/>
              </w:rPr>
              <w:t>421</w:t>
            </w: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6" w:lineRule="exact"/>
              <w:ind w:left="111" w:right="102"/>
              <w:rPr>
                <w:sz w:val="16"/>
              </w:rPr>
            </w:pPr>
            <w:r>
              <w:rPr>
                <w:sz w:val="16"/>
              </w:rPr>
              <w:t>Wch-55</w:t>
            </w:r>
          </w:p>
        </w:tc>
        <w:tc>
          <w:tcPr>
            <w:tcW w:w="988" w:type="dxa"/>
          </w:tcPr>
          <w:p>
            <w:pPr>
              <w:pStyle w:val="TableParagraph"/>
              <w:spacing w:line="176" w:lineRule="exact"/>
              <w:ind w:left="153" w:right="146"/>
              <w:rPr>
                <w:sz w:val="16"/>
              </w:rPr>
            </w:pPr>
            <w:r>
              <w:rPr>
                <w:sz w:val="16"/>
              </w:rPr>
              <w:t>191.33</w:t>
            </w:r>
          </w:p>
        </w:tc>
        <w:tc>
          <w:tcPr>
            <w:tcW w:w="1079" w:type="dxa"/>
          </w:tcPr>
          <w:p>
            <w:pPr>
              <w:pStyle w:val="TableParagraph"/>
              <w:spacing w:line="176" w:lineRule="exact"/>
              <w:ind w:left="399"/>
              <w:jc w:val="left"/>
              <w:rPr>
                <w:sz w:val="16"/>
              </w:rPr>
            </w:pPr>
            <w:r>
              <w:rPr>
                <w:sz w:val="16"/>
              </w:rPr>
              <w:t>0.69</w:t>
            </w:r>
          </w:p>
        </w:tc>
        <w:tc>
          <w:tcPr>
            <w:tcW w:w="1079" w:type="dxa"/>
          </w:tcPr>
          <w:p>
            <w:pPr>
              <w:pStyle w:val="TableParagraph"/>
              <w:spacing w:line="176" w:lineRule="exact"/>
              <w:ind w:left="156" w:right="140"/>
              <w:rPr>
                <w:sz w:val="16"/>
              </w:rPr>
            </w:pPr>
            <w:r>
              <w:rPr>
                <w:sz w:val="16"/>
              </w:rPr>
              <w:t>1.55</w:t>
            </w:r>
          </w:p>
        </w:tc>
        <w:tc>
          <w:tcPr>
            <w:tcW w:w="719" w:type="dxa"/>
          </w:tcPr>
          <w:p>
            <w:pPr>
              <w:pStyle w:val="TableParagraph"/>
              <w:spacing w:line="176" w:lineRule="exact"/>
              <w:ind w:left="161" w:right="145"/>
              <w:rPr>
                <w:sz w:val="16"/>
              </w:rPr>
            </w:pPr>
            <w:r>
              <w:rPr>
                <w:sz w:val="16"/>
              </w:rPr>
              <w:t>424</w:t>
            </w:r>
          </w:p>
        </w:tc>
      </w:tr>
      <w:tr>
        <w:trPr>
          <w:trHeight w:val="194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ind w:left="111" w:right="102"/>
              <w:rPr>
                <w:sz w:val="16"/>
              </w:rPr>
            </w:pPr>
            <w:r>
              <w:rPr>
                <w:sz w:val="16"/>
              </w:rPr>
              <w:t>Wch-37</w:t>
            </w:r>
          </w:p>
        </w:tc>
        <w:tc>
          <w:tcPr>
            <w:tcW w:w="988" w:type="dxa"/>
            <w:shd w:val="clear" w:color="auto" w:fill="D8E1F2"/>
          </w:tcPr>
          <w:p>
            <w:pPr>
              <w:pStyle w:val="TableParagraph"/>
              <w:ind w:left="153" w:right="146"/>
              <w:rPr>
                <w:sz w:val="16"/>
              </w:rPr>
            </w:pPr>
            <w:r>
              <w:rPr>
                <w:sz w:val="16"/>
              </w:rPr>
              <w:t>192.75</w:t>
            </w:r>
          </w:p>
        </w:tc>
        <w:tc>
          <w:tcPr>
            <w:tcW w:w="1079" w:type="dxa"/>
            <w:shd w:val="clear" w:color="auto" w:fill="D8E1F2"/>
          </w:tcPr>
          <w:p>
            <w:pPr>
              <w:pStyle w:val="TableParagraph"/>
              <w:ind w:left="399"/>
              <w:jc w:val="left"/>
              <w:rPr>
                <w:sz w:val="16"/>
              </w:rPr>
            </w:pPr>
            <w:r>
              <w:rPr>
                <w:sz w:val="16"/>
              </w:rPr>
              <w:t>7.70</w:t>
            </w:r>
          </w:p>
        </w:tc>
        <w:tc>
          <w:tcPr>
            <w:tcW w:w="1079" w:type="dxa"/>
            <w:shd w:val="clear" w:color="auto" w:fill="D8E1F2"/>
          </w:tcPr>
          <w:p>
            <w:pPr>
              <w:pStyle w:val="TableParagraph"/>
              <w:ind w:left="156" w:right="140"/>
              <w:rPr>
                <w:sz w:val="16"/>
              </w:rPr>
            </w:pPr>
            <w:r>
              <w:rPr>
                <w:sz w:val="16"/>
              </w:rPr>
              <w:t>4.86</w:t>
            </w:r>
          </w:p>
        </w:tc>
        <w:tc>
          <w:tcPr>
            <w:tcW w:w="719" w:type="dxa"/>
            <w:shd w:val="clear" w:color="auto" w:fill="D8E1F2"/>
          </w:tcPr>
          <w:p>
            <w:pPr>
              <w:pStyle w:val="TableParagraph"/>
              <w:ind w:left="161" w:right="145"/>
              <w:rPr>
                <w:sz w:val="16"/>
              </w:rPr>
            </w:pPr>
            <w:r>
              <w:rPr>
                <w:sz w:val="16"/>
              </w:rPr>
              <w:t>421</w:t>
            </w: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6" w:lineRule="exact"/>
              <w:ind w:left="111" w:right="102"/>
              <w:rPr>
                <w:sz w:val="16"/>
              </w:rPr>
            </w:pPr>
            <w:r>
              <w:rPr>
                <w:sz w:val="16"/>
              </w:rPr>
              <w:t>Wch-38</w:t>
            </w:r>
          </w:p>
        </w:tc>
        <w:tc>
          <w:tcPr>
            <w:tcW w:w="988" w:type="dxa"/>
          </w:tcPr>
          <w:p>
            <w:pPr>
              <w:pStyle w:val="TableParagraph"/>
              <w:spacing w:line="176" w:lineRule="exact"/>
              <w:ind w:left="153" w:right="146"/>
              <w:rPr>
                <w:sz w:val="16"/>
              </w:rPr>
            </w:pPr>
            <w:r>
              <w:rPr>
                <w:sz w:val="16"/>
              </w:rPr>
              <w:t>193.75</w:t>
            </w:r>
          </w:p>
        </w:tc>
        <w:tc>
          <w:tcPr>
            <w:tcW w:w="1079" w:type="dxa"/>
          </w:tcPr>
          <w:p>
            <w:pPr>
              <w:pStyle w:val="TableParagraph"/>
              <w:spacing w:line="176" w:lineRule="exact"/>
              <w:ind w:left="399"/>
              <w:jc w:val="left"/>
              <w:rPr>
                <w:sz w:val="16"/>
              </w:rPr>
            </w:pPr>
            <w:r>
              <w:rPr>
                <w:sz w:val="16"/>
              </w:rPr>
              <w:t>2.40</w:t>
            </w:r>
          </w:p>
        </w:tc>
        <w:tc>
          <w:tcPr>
            <w:tcW w:w="1079" w:type="dxa"/>
          </w:tcPr>
          <w:p>
            <w:pPr>
              <w:pStyle w:val="TableParagraph"/>
              <w:spacing w:line="176" w:lineRule="exact"/>
              <w:ind w:left="156" w:right="140"/>
              <w:rPr>
                <w:sz w:val="16"/>
              </w:rPr>
            </w:pPr>
            <w:r>
              <w:rPr>
                <w:sz w:val="16"/>
              </w:rPr>
              <w:t>2.93</w:t>
            </w:r>
          </w:p>
        </w:tc>
        <w:tc>
          <w:tcPr>
            <w:tcW w:w="719" w:type="dxa"/>
          </w:tcPr>
          <w:p>
            <w:pPr>
              <w:pStyle w:val="TableParagraph"/>
              <w:spacing w:line="176" w:lineRule="exact"/>
              <w:ind w:left="161" w:right="145"/>
              <w:rPr>
                <w:sz w:val="16"/>
              </w:rPr>
            </w:pPr>
            <w:r>
              <w:rPr>
                <w:sz w:val="16"/>
              </w:rPr>
              <w:t>423</w:t>
            </w:r>
          </w:p>
        </w:tc>
      </w:tr>
      <w:tr>
        <w:trPr>
          <w:trHeight w:val="194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ind w:left="111" w:right="102"/>
              <w:rPr>
                <w:sz w:val="16"/>
              </w:rPr>
            </w:pPr>
            <w:r>
              <w:rPr>
                <w:sz w:val="16"/>
              </w:rPr>
              <w:t>Wch-39</w:t>
            </w:r>
          </w:p>
        </w:tc>
        <w:tc>
          <w:tcPr>
            <w:tcW w:w="988" w:type="dxa"/>
            <w:shd w:val="clear" w:color="auto" w:fill="D8E1F2"/>
          </w:tcPr>
          <w:p>
            <w:pPr>
              <w:pStyle w:val="TableParagraph"/>
              <w:ind w:left="153" w:right="146"/>
              <w:rPr>
                <w:sz w:val="16"/>
              </w:rPr>
            </w:pPr>
            <w:r>
              <w:rPr>
                <w:sz w:val="16"/>
              </w:rPr>
              <w:t>195.42</w:t>
            </w:r>
          </w:p>
        </w:tc>
        <w:tc>
          <w:tcPr>
            <w:tcW w:w="1079" w:type="dxa"/>
            <w:shd w:val="clear" w:color="auto" w:fill="D8E1F2"/>
          </w:tcPr>
          <w:p>
            <w:pPr>
              <w:pStyle w:val="TableParagraph"/>
              <w:ind w:left="399"/>
              <w:jc w:val="left"/>
              <w:rPr>
                <w:sz w:val="16"/>
              </w:rPr>
            </w:pPr>
            <w:r>
              <w:rPr>
                <w:sz w:val="16"/>
              </w:rPr>
              <w:t>2.46</w:t>
            </w:r>
          </w:p>
        </w:tc>
        <w:tc>
          <w:tcPr>
            <w:tcW w:w="1079" w:type="dxa"/>
            <w:shd w:val="clear" w:color="auto" w:fill="D8E1F2"/>
          </w:tcPr>
          <w:p>
            <w:pPr>
              <w:pStyle w:val="TableParagraph"/>
              <w:ind w:left="156" w:right="140"/>
              <w:rPr>
                <w:sz w:val="16"/>
              </w:rPr>
            </w:pPr>
            <w:r>
              <w:rPr>
                <w:sz w:val="16"/>
              </w:rPr>
              <w:t>2.75</w:t>
            </w:r>
          </w:p>
        </w:tc>
        <w:tc>
          <w:tcPr>
            <w:tcW w:w="719" w:type="dxa"/>
            <w:shd w:val="clear" w:color="auto" w:fill="D8E1F2"/>
          </w:tcPr>
          <w:p>
            <w:pPr>
              <w:pStyle w:val="TableParagraph"/>
              <w:ind w:left="161" w:right="145"/>
              <w:rPr>
                <w:sz w:val="16"/>
              </w:rPr>
            </w:pPr>
            <w:r>
              <w:rPr>
                <w:sz w:val="16"/>
              </w:rPr>
              <w:t>420</w:t>
            </w: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6" w:lineRule="exact"/>
              <w:ind w:left="111" w:right="102"/>
              <w:rPr>
                <w:sz w:val="16"/>
              </w:rPr>
            </w:pPr>
            <w:r>
              <w:rPr>
                <w:sz w:val="16"/>
              </w:rPr>
              <w:t>Wch-56</w:t>
            </w:r>
          </w:p>
        </w:tc>
        <w:tc>
          <w:tcPr>
            <w:tcW w:w="988" w:type="dxa"/>
          </w:tcPr>
          <w:p>
            <w:pPr>
              <w:pStyle w:val="TableParagraph"/>
              <w:spacing w:line="176" w:lineRule="exact"/>
              <w:ind w:left="153" w:right="146"/>
              <w:rPr>
                <w:sz w:val="16"/>
              </w:rPr>
            </w:pPr>
            <w:r>
              <w:rPr>
                <w:sz w:val="16"/>
              </w:rPr>
              <w:t>203.08</w:t>
            </w:r>
          </w:p>
        </w:tc>
        <w:tc>
          <w:tcPr>
            <w:tcW w:w="1079" w:type="dxa"/>
          </w:tcPr>
          <w:p>
            <w:pPr>
              <w:pStyle w:val="TableParagraph"/>
              <w:spacing w:line="176" w:lineRule="exact"/>
              <w:ind w:left="399"/>
              <w:jc w:val="left"/>
              <w:rPr>
                <w:sz w:val="16"/>
              </w:rPr>
            </w:pPr>
            <w:r>
              <w:rPr>
                <w:sz w:val="16"/>
              </w:rPr>
              <w:t>1.06</w:t>
            </w:r>
          </w:p>
        </w:tc>
        <w:tc>
          <w:tcPr>
            <w:tcW w:w="1079" w:type="dxa"/>
          </w:tcPr>
          <w:p>
            <w:pPr>
              <w:pStyle w:val="TableParagraph"/>
              <w:spacing w:line="176" w:lineRule="exact"/>
              <w:ind w:left="156" w:right="140"/>
              <w:rPr>
                <w:sz w:val="16"/>
              </w:rPr>
            </w:pPr>
            <w:r>
              <w:rPr>
                <w:sz w:val="16"/>
              </w:rPr>
              <w:t>1.71</w:t>
            </w:r>
          </w:p>
        </w:tc>
        <w:tc>
          <w:tcPr>
            <w:tcW w:w="719" w:type="dxa"/>
          </w:tcPr>
          <w:p>
            <w:pPr>
              <w:pStyle w:val="TableParagraph"/>
              <w:spacing w:line="176" w:lineRule="exact"/>
              <w:ind w:left="161" w:right="145"/>
              <w:rPr>
                <w:sz w:val="16"/>
              </w:rPr>
            </w:pPr>
            <w:r>
              <w:rPr>
                <w:sz w:val="16"/>
              </w:rPr>
              <w:t>424</w:t>
            </w:r>
          </w:p>
        </w:tc>
      </w:tr>
      <w:tr>
        <w:trPr>
          <w:trHeight w:val="194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ind w:left="111" w:right="102"/>
              <w:rPr>
                <w:sz w:val="16"/>
              </w:rPr>
            </w:pPr>
            <w:r>
              <w:rPr>
                <w:sz w:val="16"/>
              </w:rPr>
              <w:t>Wch-57</w:t>
            </w:r>
          </w:p>
        </w:tc>
        <w:tc>
          <w:tcPr>
            <w:tcW w:w="988" w:type="dxa"/>
            <w:shd w:val="clear" w:color="auto" w:fill="D8E1F2"/>
          </w:tcPr>
          <w:p>
            <w:pPr>
              <w:pStyle w:val="TableParagraph"/>
              <w:ind w:left="153" w:right="146"/>
              <w:rPr>
                <w:sz w:val="16"/>
              </w:rPr>
            </w:pPr>
            <w:r>
              <w:rPr>
                <w:sz w:val="16"/>
              </w:rPr>
              <w:t>207.00</w:t>
            </w:r>
          </w:p>
        </w:tc>
        <w:tc>
          <w:tcPr>
            <w:tcW w:w="1079" w:type="dxa"/>
            <w:shd w:val="clear" w:color="auto" w:fill="D8E1F2"/>
          </w:tcPr>
          <w:p>
            <w:pPr>
              <w:pStyle w:val="TableParagraph"/>
              <w:ind w:left="358"/>
              <w:jc w:val="left"/>
              <w:rPr>
                <w:sz w:val="16"/>
              </w:rPr>
            </w:pPr>
            <w:r>
              <w:rPr>
                <w:sz w:val="16"/>
              </w:rPr>
              <w:t>14.07</w:t>
            </w:r>
          </w:p>
        </w:tc>
        <w:tc>
          <w:tcPr>
            <w:tcW w:w="1079" w:type="dxa"/>
            <w:shd w:val="clear" w:color="auto" w:fill="D8E1F2"/>
          </w:tcPr>
          <w:p>
            <w:pPr>
              <w:pStyle w:val="TableParagraph"/>
              <w:ind w:left="156" w:right="140"/>
              <w:rPr>
                <w:sz w:val="16"/>
              </w:rPr>
            </w:pPr>
            <w:r>
              <w:rPr>
                <w:sz w:val="16"/>
              </w:rPr>
              <w:t>6.33</w:t>
            </w:r>
          </w:p>
        </w:tc>
        <w:tc>
          <w:tcPr>
            <w:tcW w:w="719" w:type="dxa"/>
            <w:shd w:val="clear" w:color="auto" w:fill="D8E1F2"/>
          </w:tcPr>
          <w:p>
            <w:pPr>
              <w:pStyle w:val="TableParagraph"/>
              <w:ind w:left="161" w:right="145"/>
              <w:rPr>
                <w:sz w:val="16"/>
              </w:rPr>
            </w:pPr>
            <w:r>
              <w:rPr>
                <w:sz w:val="16"/>
              </w:rPr>
              <w:t>419</w:t>
            </w: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6" w:lineRule="exact"/>
              <w:ind w:left="111" w:right="102"/>
              <w:rPr>
                <w:sz w:val="16"/>
              </w:rPr>
            </w:pPr>
            <w:r>
              <w:rPr>
                <w:sz w:val="16"/>
              </w:rPr>
              <w:t>Wch-58</w:t>
            </w:r>
          </w:p>
        </w:tc>
        <w:tc>
          <w:tcPr>
            <w:tcW w:w="988" w:type="dxa"/>
          </w:tcPr>
          <w:p>
            <w:pPr>
              <w:pStyle w:val="TableParagraph"/>
              <w:spacing w:line="176" w:lineRule="exact"/>
              <w:ind w:left="153" w:right="146"/>
              <w:rPr>
                <w:sz w:val="16"/>
              </w:rPr>
            </w:pPr>
            <w:r>
              <w:rPr>
                <w:sz w:val="16"/>
              </w:rPr>
              <w:t>209.92</w:t>
            </w:r>
          </w:p>
        </w:tc>
        <w:tc>
          <w:tcPr>
            <w:tcW w:w="1079" w:type="dxa"/>
          </w:tcPr>
          <w:p>
            <w:pPr>
              <w:pStyle w:val="TableParagraph"/>
              <w:spacing w:line="176" w:lineRule="exact"/>
              <w:ind w:left="399"/>
              <w:jc w:val="left"/>
              <w:rPr>
                <w:sz w:val="16"/>
              </w:rPr>
            </w:pPr>
            <w:r>
              <w:rPr>
                <w:sz w:val="16"/>
              </w:rPr>
              <w:t>5.58</w:t>
            </w:r>
          </w:p>
        </w:tc>
        <w:tc>
          <w:tcPr>
            <w:tcW w:w="1079" w:type="dxa"/>
          </w:tcPr>
          <w:p>
            <w:pPr>
              <w:pStyle w:val="TableParagraph"/>
              <w:spacing w:line="176" w:lineRule="exact"/>
              <w:ind w:left="156" w:right="140"/>
              <w:rPr>
                <w:sz w:val="16"/>
              </w:rPr>
            </w:pPr>
            <w:r>
              <w:rPr>
                <w:sz w:val="16"/>
              </w:rPr>
              <w:t>3.93</w:t>
            </w:r>
          </w:p>
        </w:tc>
        <w:tc>
          <w:tcPr>
            <w:tcW w:w="719" w:type="dxa"/>
          </w:tcPr>
          <w:p>
            <w:pPr>
              <w:pStyle w:val="TableParagraph"/>
              <w:spacing w:line="176" w:lineRule="exact"/>
              <w:ind w:left="161" w:right="145"/>
              <w:rPr>
                <w:sz w:val="16"/>
              </w:rPr>
            </w:pPr>
            <w:r>
              <w:rPr>
                <w:sz w:val="16"/>
              </w:rPr>
              <w:t>419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9"/>
        </w:rPr>
      </w:pPr>
    </w:p>
    <w:p>
      <w:pPr>
        <w:spacing w:before="0"/>
        <w:ind w:left="120" w:right="0" w:firstLine="0"/>
        <w:jc w:val="left"/>
        <w:rPr>
          <w:sz w:val="22"/>
        </w:rPr>
      </w:pPr>
      <w:r>
        <w:rPr>
          <w:sz w:val="22"/>
        </w:rPr>
        <w:t>Table</w:t>
      </w:r>
      <w:r>
        <w:rPr>
          <w:spacing w:val="-1"/>
          <w:sz w:val="22"/>
        </w:rPr>
        <w:t> </w:t>
      </w:r>
      <w:r>
        <w:rPr>
          <w:sz w:val="22"/>
        </w:rPr>
        <w:t>6.</w:t>
      </w:r>
      <w:r>
        <w:rPr>
          <w:spacing w:val="-4"/>
          <w:sz w:val="22"/>
        </w:rPr>
        <w:t> </w:t>
      </w:r>
      <w:r>
        <w:rPr>
          <w:sz w:val="22"/>
        </w:rPr>
        <w:t>MTTC</w:t>
      </w:r>
      <w:r>
        <w:rPr>
          <w:spacing w:val="1"/>
          <w:sz w:val="22"/>
        </w:rPr>
        <w:t> </w:t>
      </w:r>
      <w:r>
        <w:rPr>
          <w:sz w:val="22"/>
        </w:rPr>
        <w:t>concentrations</w:t>
      </w:r>
      <w:r>
        <w:rPr>
          <w:spacing w:val="-1"/>
          <w:sz w:val="22"/>
        </w:rPr>
        <w:t> </w:t>
      </w:r>
      <w:r>
        <w:rPr>
          <w:sz w:val="22"/>
        </w:rPr>
        <w:t>in</w:t>
      </w:r>
      <w:r>
        <w:rPr>
          <w:spacing w:val="-2"/>
          <w:sz w:val="22"/>
        </w:rPr>
        <w:t> </w:t>
      </w:r>
      <w:r>
        <w:rPr>
          <w:sz w:val="22"/>
        </w:rPr>
        <w:t>ng/g</w:t>
      </w:r>
      <w:r>
        <w:rPr>
          <w:spacing w:val="-3"/>
          <w:sz w:val="22"/>
        </w:rPr>
        <w:t> </w:t>
      </w:r>
      <w:r>
        <w:rPr>
          <w:sz w:val="22"/>
        </w:rPr>
        <w:t>OC.</w:t>
      </w:r>
    </w:p>
    <w:p>
      <w:pPr>
        <w:pStyle w:val="BodyText"/>
        <w:spacing w:before="7"/>
        <w:rPr>
          <w:sz w:val="16"/>
        </w:rPr>
      </w:pPr>
    </w:p>
    <w:tbl>
      <w:tblPr>
        <w:tblW w:w="0" w:type="auto"/>
        <w:jc w:val="left"/>
        <w:tblInd w:w="1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6"/>
        <w:gridCol w:w="900"/>
        <w:gridCol w:w="900"/>
        <w:gridCol w:w="900"/>
        <w:gridCol w:w="900"/>
        <w:gridCol w:w="900"/>
        <w:gridCol w:w="1709"/>
      </w:tblGrid>
      <w:tr>
        <w:trPr>
          <w:trHeight w:val="390" w:hRule="atLeast"/>
        </w:trPr>
        <w:tc>
          <w:tcPr>
            <w:tcW w:w="806" w:type="dxa"/>
            <w:shd w:val="clear" w:color="auto" w:fill="4472C3"/>
          </w:tcPr>
          <w:p>
            <w:pPr>
              <w:pStyle w:val="TableParagraph"/>
              <w:spacing w:line="240" w:lineRule="auto" w:before="9"/>
              <w:ind w:left="0"/>
              <w:jc w:val="left"/>
              <w:rPr>
                <w:sz w:val="15"/>
              </w:rPr>
            </w:pPr>
          </w:p>
          <w:p>
            <w:pPr>
              <w:pStyle w:val="TableParagraph"/>
              <w:spacing w:line="178" w:lineRule="exact" w:before="1"/>
              <w:ind w:left="158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Sample</w:t>
            </w:r>
          </w:p>
        </w:tc>
        <w:tc>
          <w:tcPr>
            <w:tcW w:w="900" w:type="dxa"/>
            <w:shd w:val="clear" w:color="auto" w:fill="4472C3"/>
          </w:tcPr>
          <w:p>
            <w:pPr>
              <w:pStyle w:val="TableParagraph"/>
              <w:spacing w:line="240" w:lineRule="auto" w:before="9"/>
              <w:ind w:left="0"/>
              <w:jc w:val="left"/>
              <w:rPr>
                <w:sz w:val="15"/>
              </w:rPr>
            </w:pPr>
          </w:p>
          <w:p>
            <w:pPr>
              <w:pStyle w:val="TableParagraph"/>
              <w:spacing w:line="178" w:lineRule="exact" w:before="1"/>
              <w:ind w:right="78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Depth</w:t>
            </w:r>
            <w:r>
              <w:rPr>
                <w:b/>
                <w:color w:val="FFFFFF"/>
                <w:spacing w:val="-2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(ft)</w:t>
            </w:r>
          </w:p>
        </w:tc>
        <w:tc>
          <w:tcPr>
            <w:tcW w:w="900" w:type="dxa"/>
            <w:shd w:val="clear" w:color="auto" w:fill="4472C3"/>
          </w:tcPr>
          <w:p>
            <w:pPr>
              <w:pStyle w:val="TableParagraph"/>
              <w:spacing w:line="194" w:lineRule="exact"/>
              <w:ind w:left="189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β-MTTC</w:t>
            </w:r>
          </w:p>
          <w:p>
            <w:pPr>
              <w:pStyle w:val="TableParagraph"/>
              <w:spacing w:line="177" w:lineRule="exact"/>
              <w:ind w:left="132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(ng/g OC)</w:t>
            </w:r>
          </w:p>
        </w:tc>
        <w:tc>
          <w:tcPr>
            <w:tcW w:w="900" w:type="dxa"/>
            <w:shd w:val="clear" w:color="auto" w:fill="4472C3"/>
          </w:tcPr>
          <w:p>
            <w:pPr>
              <w:pStyle w:val="TableParagraph"/>
              <w:spacing w:line="194" w:lineRule="exact"/>
              <w:ind w:left="194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γ-MTTC</w:t>
            </w:r>
          </w:p>
          <w:p>
            <w:pPr>
              <w:pStyle w:val="TableParagraph"/>
              <w:spacing w:line="177" w:lineRule="exact"/>
              <w:ind w:left="132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(ng/g OC)</w:t>
            </w:r>
          </w:p>
        </w:tc>
        <w:tc>
          <w:tcPr>
            <w:tcW w:w="900" w:type="dxa"/>
            <w:shd w:val="clear" w:color="auto" w:fill="4472C3"/>
          </w:tcPr>
          <w:p>
            <w:pPr>
              <w:pStyle w:val="TableParagraph"/>
              <w:spacing w:line="194" w:lineRule="exact"/>
              <w:ind w:left="204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ζ-MTTC</w:t>
            </w:r>
          </w:p>
          <w:p>
            <w:pPr>
              <w:pStyle w:val="TableParagraph"/>
              <w:spacing w:line="177" w:lineRule="exact"/>
              <w:ind w:left="132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(ng/g OC)</w:t>
            </w:r>
          </w:p>
        </w:tc>
        <w:tc>
          <w:tcPr>
            <w:tcW w:w="900" w:type="dxa"/>
            <w:shd w:val="clear" w:color="auto" w:fill="4472C3"/>
          </w:tcPr>
          <w:p>
            <w:pPr>
              <w:pStyle w:val="TableParagraph"/>
              <w:spacing w:line="194" w:lineRule="exact"/>
              <w:ind w:left="185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α-MTTC</w:t>
            </w:r>
          </w:p>
          <w:p>
            <w:pPr>
              <w:pStyle w:val="TableParagraph"/>
              <w:spacing w:line="177" w:lineRule="exact"/>
              <w:ind w:left="132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(ng/g OC)</w:t>
            </w:r>
          </w:p>
        </w:tc>
        <w:tc>
          <w:tcPr>
            <w:tcW w:w="1709" w:type="dxa"/>
            <w:shd w:val="clear" w:color="auto" w:fill="4472C3"/>
          </w:tcPr>
          <w:p>
            <w:pPr>
              <w:pStyle w:val="TableParagraph"/>
              <w:spacing w:line="194" w:lineRule="exact"/>
              <w:ind w:left="119" w:right="111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MTTCI</w:t>
            </w:r>
          </w:p>
          <w:p>
            <w:pPr>
              <w:pStyle w:val="TableParagraph"/>
              <w:spacing w:line="177" w:lineRule="exact"/>
              <w:ind w:left="121" w:right="111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(α-MTTC/total</w:t>
            </w:r>
            <w:r>
              <w:rPr>
                <w:b/>
                <w:color w:val="FFFFFF"/>
                <w:spacing w:val="-3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MTTC)</w:t>
            </w:r>
          </w:p>
        </w:tc>
      </w:tr>
      <w:tr>
        <w:trPr>
          <w:trHeight w:val="194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ind w:left="174"/>
              <w:jc w:val="left"/>
              <w:rPr>
                <w:sz w:val="16"/>
              </w:rPr>
            </w:pPr>
            <w:r>
              <w:rPr>
                <w:sz w:val="16"/>
              </w:rPr>
              <w:t>WCH-1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79"/>
              <w:rPr>
                <w:sz w:val="16"/>
              </w:rPr>
            </w:pPr>
            <w:r>
              <w:rPr>
                <w:sz w:val="16"/>
              </w:rPr>
              <w:t>74.00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79"/>
              <w:rPr>
                <w:sz w:val="16"/>
              </w:rPr>
            </w:pPr>
            <w:r>
              <w:rPr>
                <w:sz w:val="16"/>
              </w:rPr>
              <w:t>1.85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left="0" w:right="296"/>
              <w:jc w:val="right"/>
              <w:rPr>
                <w:sz w:val="16"/>
              </w:rPr>
            </w:pPr>
            <w:r>
              <w:rPr>
                <w:sz w:val="16"/>
              </w:rPr>
              <w:t>1.10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79"/>
              <w:rPr>
                <w:sz w:val="16"/>
              </w:rPr>
            </w:pPr>
            <w:r>
              <w:rPr>
                <w:sz w:val="16"/>
              </w:rPr>
              <w:t>6.10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79"/>
              <w:rPr>
                <w:sz w:val="16"/>
              </w:rPr>
            </w:pPr>
            <w:r>
              <w:rPr>
                <w:sz w:val="16"/>
              </w:rPr>
              <w:t>48.60</w:t>
            </w:r>
          </w:p>
        </w:tc>
        <w:tc>
          <w:tcPr>
            <w:tcW w:w="1709" w:type="dxa"/>
            <w:shd w:val="clear" w:color="auto" w:fill="D8E1F2"/>
          </w:tcPr>
          <w:p>
            <w:pPr>
              <w:pStyle w:val="TableParagraph"/>
              <w:ind w:left="121" w:right="110"/>
              <w:rPr>
                <w:sz w:val="16"/>
              </w:rPr>
            </w:pPr>
            <w:r>
              <w:rPr>
                <w:sz w:val="16"/>
              </w:rPr>
              <w:t>0.84</w:t>
            </w: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6" w:lineRule="exact"/>
              <w:ind w:left="174"/>
              <w:jc w:val="left"/>
              <w:rPr>
                <w:sz w:val="16"/>
              </w:rPr>
            </w:pPr>
            <w:r>
              <w:rPr>
                <w:sz w:val="16"/>
              </w:rPr>
              <w:t>WCH-2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79"/>
              <w:rPr>
                <w:sz w:val="16"/>
              </w:rPr>
            </w:pPr>
            <w:r>
              <w:rPr>
                <w:sz w:val="16"/>
              </w:rPr>
              <w:t>75.50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79"/>
              <w:rPr>
                <w:sz w:val="16"/>
              </w:rPr>
            </w:pPr>
            <w:r>
              <w:rPr>
                <w:sz w:val="16"/>
              </w:rPr>
              <w:t>2.09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left="0" w:right="296"/>
              <w:jc w:val="right"/>
              <w:rPr>
                <w:sz w:val="16"/>
              </w:rPr>
            </w:pPr>
            <w:r>
              <w:rPr>
                <w:sz w:val="16"/>
              </w:rPr>
              <w:t>2.23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79"/>
              <w:rPr>
                <w:sz w:val="16"/>
              </w:rPr>
            </w:pPr>
            <w:r>
              <w:rPr>
                <w:sz w:val="16"/>
              </w:rPr>
              <w:t>1.64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79"/>
              <w:rPr>
                <w:sz w:val="16"/>
              </w:rPr>
            </w:pPr>
            <w:r>
              <w:rPr>
                <w:sz w:val="16"/>
              </w:rPr>
              <w:t>86.73</w:t>
            </w:r>
          </w:p>
        </w:tc>
        <w:tc>
          <w:tcPr>
            <w:tcW w:w="1709" w:type="dxa"/>
          </w:tcPr>
          <w:p>
            <w:pPr>
              <w:pStyle w:val="TableParagraph"/>
              <w:spacing w:line="176" w:lineRule="exact"/>
              <w:ind w:left="121" w:right="110"/>
              <w:rPr>
                <w:sz w:val="16"/>
              </w:rPr>
            </w:pPr>
            <w:r>
              <w:rPr>
                <w:sz w:val="16"/>
              </w:rPr>
              <w:t>0.94</w:t>
            </w:r>
          </w:p>
        </w:tc>
      </w:tr>
      <w:tr>
        <w:trPr>
          <w:trHeight w:val="194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ind w:left="174"/>
              <w:jc w:val="left"/>
              <w:rPr>
                <w:sz w:val="16"/>
              </w:rPr>
            </w:pPr>
            <w:r>
              <w:rPr>
                <w:sz w:val="16"/>
              </w:rPr>
              <w:t>WCH-3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79"/>
              <w:rPr>
                <w:sz w:val="16"/>
              </w:rPr>
            </w:pPr>
            <w:r>
              <w:rPr>
                <w:sz w:val="16"/>
              </w:rPr>
              <w:t>77.08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79"/>
              <w:rPr>
                <w:sz w:val="16"/>
              </w:rPr>
            </w:pPr>
            <w:r>
              <w:rPr>
                <w:sz w:val="16"/>
              </w:rPr>
              <w:t>1.92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left="0" w:right="296"/>
              <w:jc w:val="right"/>
              <w:rPr>
                <w:sz w:val="16"/>
              </w:rPr>
            </w:pPr>
            <w:r>
              <w:rPr>
                <w:sz w:val="16"/>
              </w:rPr>
              <w:t>6.08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79"/>
              <w:rPr>
                <w:sz w:val="16"/>
              </w:rPr>
            </w:pPr>
            <w:r>
              <w:rPr>
                <w:sz w:val="16"/>
              </w:rPr>
              <w:t>1.94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79"/>
              <w:rPr>
                <w:sz w:val="16"/>
              </w:rPr>
            </w:pPr>
            <w:r>
              <w:rPr>
                <w:sz w:val="16"/>
              </w:rPr>
              <w:t>76.83</w:t>
            </w:r>
          </w:p>
        </w:tc>
        <w:tc>
          <w:tcPr>
            <w:tcW w:w="1709" w:type="dxa"/>
            <w:shd w:val="clear" w:color="auto" w:fill="D8E1F2"/>
          </w:tcPr>
          <w:p>
            <w:pPr>
              <w:pStyle w:val="TableParagraph"/>
              <w:ind w:left="121" w:right="110"/>
              <w:rPr>
                <w:sz w:val="16"/>
              </w:rPr>
            </w:pPr>
            <w:r>
              <w:rPr>
                <w:sz w:val="16"/>
              </w:rPr>
              <w:t>0.89</w:t>
            </w: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6" w:lineRule="exact"/>
              <w:ind w:left="174"/>
              <w:jc w:val="left"/>
              <w:rPr>
                <w:sz w:val="16"/>
              </w:rPr>
            </w:pPr>
            <w:r>
              <w:rPr>
                <w:sz w:val="16"/>
              </w:rPr>
              <w:t>WCH-4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79"/>
              <w:rPr>
                <w:sz w:val="16"/>
              </w:rPr>
            </w:pPr>
            <w:r>
              <w:rPr>
                <w:sz w:val="16"/>
              </w:rPr>
              <w:t>78.00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79"/>
              <w:rPr>
                <w:sz w:val="16"/>
              </w:rPr>
            </w:pPr>
            <w:r>
              <w:rPr>
                <w:sz w:val="16"/>
              </w:rPr>
              <w:t>2.29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left="0" w:right="296"/>
              <w:jc w:val="right"/>
              <w:rPr>
                <w:sz w:val="16"/>
              </w:rPr>
            </w:pPr>
            <w:r>
              <w:rPr>
                <w:sz w:val="16"/>
              </w:rPr>
              <w:t>7.28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79"/>
              <w:rPr>
                <w:sz w:val="16"/>
              </w:rPr>
            </w:pPr>
            <w:r>
              <w:rPr>
                <w:sz w:val="16"/>
              </w:rPr>
              <w:t>1.15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79"/>
              <w:rPr>
                <w:sz w:val="16"/>
              </w:rPr>
            </w:pPr>
            <w:r>
              <w:rPr>
                <w:sz w:val="16"/>
              </w:rPr>
              <w:t>57.61</w:t>
            </w:r>
          </w:p>
        </w:tc>
        <w:tc>
          <w:tcPr>
            <w:tcW w:w="1709" w:type="dxa"/>
          </w:tcPr>
          <w:p>
            <w:pPr>
              <w:pStyle w:val="TableParagraph"/>
              <w:spacing w:line="176" w:lineRule="exact"/>
              <w:ind w:left="121" w:right="110"/>
              <w:rPr>
                <w:sz w:val="16"/>
              </w:rPr>
            </w:pPr>
            <w:r>
              <w:rPr>
                <w:sz w:val="16"/>
              </w:rPr>
              <w:t>0.84</w:t>
            </w:r>
          </w:p>
        </w:tc>
      </w:tr>
      <w:tr>
        <w:trPr>
          <w:trHeight w:val="194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ind w:left="174"/>
              <w:jc w:val="left"/>
              <w:rPr>
                <w:sz w:val="16"/>
              </w:rPr>
            </w:pPr>
            <w:r>
              <w:rPr>
                <w:sz w:val="16"/>
              </w:rPr>
              <w:t>WCH-5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79"/>
              <w:rPr>
                <w:sz w:val="16"/>
              </w:rPr>
            </w:pPr>
            <w:r>
              <w:rPr>
                <w:sz w:val="16"/>
              </w:rPr>
              <w:t>79.67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79"/>
              <w:rPr>
                <w:sz w:val="16"/>
              </w:rPr>
            </w:pPr>
            <w:r>
              <w:rPr>
                <w:sz w:val="16"/>
              </w:rPr>
              <w:t>2.60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left="0" w:right="296"/>
              <w:jc w:val="right"/>
              <w:rPr>
                <w:sz w:val="16"/>
              </w:rPr>
            </w:pPr>
            <w:r>
              <w:rPr>
                <w:sz w:val="16"/>
              </w:rPr>
              <w:t>6.81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79"/>
              <w:rPr>
                <w:sz w:val="16"/>
              </w:rPr>
            </w:pPr>
            <w:r>
              <w:rPr>
                <w:sz w:val="16"/>
              </w:rPr>
              <w:t>1.98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80"/>
              <w:rPr>
                <w:sz w:val="16"/>
              </w:rPr>
            </w:pPr>
            <w:r>
              <w:rPr>
                <w:sz w:val="16"/>
              </w:rPr>
              <w:t>104.57</w:t>
            </w:r>
          </w:p>
        </w:tc>
        <w:tc>
          <w:tcPr>
            <w:tcW w:w="1709" w:type="dxa"/>
            <w:shd w:val="clear" w:color="auto" w:fill="D8E1F2"/>
          </w:tcPr>
          <w:p>
            <w:pPr>
              <w:pStyle w:val="TableParagraph"/>
              <w:ind w:left="121" w:right="110"/>
              <w:rPr>
                <w:sz w:val="16"/>
              </w:rPr>
            </w:pPr>
            <w:r>
              <w:rPr>
                <w:sz w:val="16"/>
              </w:rPr>
              <w:t>0.90</w:t>
            </w: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6" w:lineRule="exact"/>
              <w:ind w:left="174"/>
              <w:jc w:val="left"/>
              <w:rPr>
                <w:sz w:val="16"/>
              </w:rPr>
            </w:pPr>
            <w:r>
              <w:rPr>
                <w:sz w:val="16"/>
              </w:rPr>
              <w:t>WCH-6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79"/>
              <w:rPr>
                <w:sz w:val="16"/>
              </w:rPr>
            </w:pPr>
            <w:r>
              <w:rPr>
                <w:sz w:val="16"/>
              </w:rPr>
              <w:t>80.67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79"/>
              <w:rPr>
                <w:sz w:val="16"/>
              </w:rPr>
            </w:pPr>
            <w:r>
              <w:rPr>
                <w:sz w:val="16"/>
              </w:rPr>
              <w:t>1.63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left="0" w:right="296"/>
              <w:jc w:val="right"/>
              <w:rPr>
                <w:sz w:val="16"/>
              </w:rPr>
            </w:pPr>
            <w:r>
              <w:rPr>
                <w:sz w:val="16"/>
              </w:rPr>
              <w:t>6.25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79"/>
              <w:rPr>
                <w:sz w:val="16"/>
              </w:rPr>
            </w:pPr>
            <w:r>
              <w:rPr>
                <w:sz w:val="16"/>
              </w:rPr>
              <w:t>1.73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79"/>
              <w:rPr>
                <w:sz w:val="16"/>
              </w:rPr>
            </w:pPr>
            <w:r>
              <w:rPr>
                <w:sz w:val="16"/>
              </w:rPr>
              <w:t>42.98</w:t>
            </w:r>
          </w:p>
        </w:tc>
        <w:tc>
          <w:tcPr>
            <w:tcW w:w="1709" w:type="dxa"/>
          </w:tcPr>
          <w:p>
            <w:pPr>
              <w:pStyle w:val="TableParagraph"/>
              <w:spacing w:line="176" w:lineRule="exact"/>
              <w:ind w:left="121" w:right="110"/>
              <w:rPr>
                <w:sz w:val="16"/>
              </w:rPr>
            </w:pPr>
            <w:r>
              <w:rPr>
                <w:sz w:val="16"/>
              </w:rPr>
              <w:t>0.82</w:t>
            </w:r>
          </w:p>
        </w:tc>
      </w:tr>
      <w:tr>
        <w:trPr>
          <w:trHeight w:val="193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ind w:left="174"/>
              <w:jc w:val="left"/>
              <w:rPr>
                <w:sz w:val="16"/>
              </w:rPr>
            </w:pPr>
            <w:r>
              <w:rPr>
                <w:sz w:val="16"/>
              </w:rPr>
              <w:t>WCH-7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79"/>
              <w:rPr>
                <w:sz w:val="16"/>
              </w:rPr>
            </w:pPr>
            <w:r>
              <w:rPr>
                <w:sz w:val="16"/>
              </w:rPr>
              <w:t>81.00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79"/>
              <w:rPr>
                <w:sz w:val="16"/>
              </w:rPr>
            </w:pPr>
            <w:r>
              <w:rPr>
                <w:sz w:val="16"/>
              </w:rPr>
              <w:t>2.64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left="0" w:right="296"/>
              <w:jc w:val="right"/>
              <w:rPr>
                <w:sz w:val="16"/>
              </w:rPr>
            </w:pPr>
            <w:r>
              <w:rPr>
                <w:sz w:val="16"/>
              </w:rPr>
              <w:t>7.05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79"/>
              <w:rPr>
                <w:sz w:val="16"/>
              </w:rPr>
            </w:pPr>
            <w:r>
              <w:rPr>
                <w:sz w:val="16"/>
              </w:rPr>
              <w:t>2.65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79"/>
              <w:rPr>
                <w:sz w:val="16"/>
              </w:rPr>
            </w:pPr>
            <w:r>
              <w:rPr>
                <w:sz w:val="16"/>
              </w:rPr>
              <w:t>85.74</w:t>
            </w:r>
          </w:p>
        </w:tc>
        <w:tc>
          <w:tcPr>
            <w:tcW w:w="1709" w:type="dxa"/>
            <w:shd w:val="clear" w:color="auto" w:fill="D8E1F2"/>
          </w:tcPr>
          <w:p>
            <w:pPr>
              <w:pStyle w:val="TableParagraph"/>
              <w:ind w:left="121" w:right="110"/>
              <w:rPr>
                <w:sz w:val="16"/>
              </w:rPr>
            </w:pPr>
            <w:r>
              <w:rPr>
                <w:sz w:val="16"/>
              </w:rPr>
              <w:t>0.87</w:t>
            </w: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5" w:lineRule="exact" w:before="1"/>
              <w:ind w:left="174"/>
              <w:jc w:val="left"/>
              <w:rPr>
                <w:sz w:val="16"/>
              </w:rPr>
            </w:pPr>
            <w:r>
              <w:rPr>
                <w:sz w:val="16"/>
              </w:rPr>
              <w:t>WCH-8</w:t>
            </w:r>
          </w:p>
        </w:tc>
        <w:tc>
          <w:tcPr>
            <w:tcW w:w="900" w:type="dxa"/>
          </w:tcPr>
          <w:p>
            <w:pPr>
              <w:pStyle w:val="TableParagraph"/>
              <w:spacing w:line="175" w:lineRule="exact" w:before="1"/>
              <w:ind w:right="79"/>
              <w:rPr>
                <w:sz w:val="16"/>
              </w:rPr>
            </w:pPr>
            <w:r>
              <w:rPr>
                <w:sz w:val="16"/>
              </w:rPr>
              <w:t>84.50</w:t>
            </w:r>
          </w:p>
        </w:tc>
        <w:tc>
          <w:tcPr>
            <w:tcW w:w="900" w:type="dxa"/>
          </w:tcPr>
          <w:p>
            <w:pPr>
              <w:pStyle w:val="TableParagraph"/>
              <w:spacing w:line="175" w:lineRule="exact" w:before="1"/>
              <w:ind w:right="79"/>
              <w:rPr>
                <w:sz w:val="16"/>
              </w:rPr>
            </w:pPr>
            <w:r>
              <w:rPr>
                <w:sz w:val="16"/>
              </w:rPr>
              <w:t>1.89</w:t>
            </w:r>
          </w:p>
        </w:tc>
        <w:tc>
          <w:tcPr>
            <w:tcW w:w="900" w:type="dxa"/>
          </w:tcPr>
          <w:p>
            <w:pPr>
              <w:pStyle w:val="TableParagraph"/>
              <w:spacing w:line="175" w:lineRule="exact" w:before="1"/>
              <w:ind w:left="0" w:right="296"/>
              <w:jc w:val="right"/>
              <w:rPr>
                <w:sz w:val="16"/>
              </w:rPr>
            </w:pPr>
            <w:r>
              <w:rPr>
                <w:sz w:val="16"/>
              </w:rPr>
              <w:t>5.62</w:t>
            </w:r>
          </w:p>
        </w:tc>
        <w:tc>
          <w:tcPr>
            <w:tcW w:w="900" w:type="dxa"/>
          </w:tcPr>
          <w:p>
            <w:pPr>
              <w:pStyle w:val="TableParagraph"/>
              <w:spacing w:line="175" w:lineRule="exact" w:before="1"/>
              <w:ind w:right="79"/>
              <w:rPr>
                <w:sz w:val="16"/>
              </w:rPr>
            </w:pPr>
            <w:r>
              <w:rPr>
                <w:sz w:val="16"/>
              </w:rPr>
              <w:t>1.82</w:t>
            </w:r>
          </w:p>
        </w:tc>
        <w:tc>
          <w:tcPr>
            <w:tcW w:w="900" w:type="dxa"/>
          </w:tcPr>
          <w:p>
            <w:pPr>
              <w:pStyle w:val="TableParagraph"/>
              <w:spacing w:line="175" w:lineRule="exact" w:before="1"/>
              <w:ind w:right="79"/>
              <w:rPr>
                <w:sz w:val="16"/>
              </w:rPr>
            </w:pPr>
            <w:r>
              <w:rPr>
                <w:sz w:val="16"/>
              </w:rPr>
              <w:t>56.98</w:t>
            </w:r>
          </w:p>
        </w:tc>
        <w:tc>
          <w:tcPr>
            <w:tcW w:w="1709" w:type="dxa"/>
          </w:tcPr>
          <w:p>
            <w:pPr>
              <w:pStyle w:val="TableParagraph"/>
              <w:spacing w:line="175" w:lineRule="exact" w:before="1"/>
              <w:ind w:left="121" w:right="110"/>
              <w:rPr>
                <w:sz w:val="16"/>
              </w:rPr>
            </w:pPr>
            <w:r>
              <w:rPr>
                <w:sz w:val="16"/>
              </w:rPr>
              <w:t>0.86</w:t>
            </w:r>
          </w:p>
        </w:tc>
      </w:tr>
      <w:tr>
        <w:trPr>
          <w:trHeight w:val="194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ind w:left="174"/>
              <w:jc w:val="left"/>
              <w:rPr>
                <w:sz w:val="16"/>
              </w:rPr>
            </w:pPr>
            <w:r>
              <w:rPr>
                <w:sz w:val="16"/>
              </w:rPr>
              <w:t>WCH-9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79"/>
              <w:rPr>
                <w:sz w:val="16"/>
              </w:rPr>
            </w:pPr>
            <w:r>
              <w:rPr>
                <w:sz w:val="16"/>
              </w:rPr>
              <w:t>88.00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79"/>
              <w:rPr>
                <w:sz w:val="16"/>
              </w:rPr>
            </w:pPr>
            <w:r>
              <w:rPr>
                <w:sz w:val="16"/>
              </w:rPr>
              <w:t>1.73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left="0" w:right="296"/>
              <w:jc w:val="right"/>
              <w:rPr>
                <w:sz w:val="16"/>
              </w:rPr>
            </w:pPr>
            <w:r>
              <w:rPr>
                <w:sz w:val="16"/>
              </w:rPr>
              <w:t>1.68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79"/>
              <w:rPr>
                <w:sz w:val="16"/>
              </w:rPr>
            </w:pPr>
            <w:r>
              <w:rPr>
                <w:sz w:val="16"/>
              </w:rPr>
              <w:t>1.70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79"/>
              <w:rPr>
                <w:sz w:val="16"/>
              </w:rPr>
            </w:pPr>
            <w:r>
              <w:rPr>
                <w:sz w:val="16"/>
              </w:rPr>
              <w:t>57.25</w:t>
            </w:r>
          </w:p>
        </w:tc>
        <w:tc>
          <w:tcPr>
            <w:tcW w:w="1709" w:type="dxa"/>
            <w:shd w:val="clear" w:color="auto" w:fill="D8E1F2"/>
          </w:tcPr>
          <w:p>
            <w:pPr>
              <w:pStyle w:val="TableParagraph"/>
              <w:ind w:left="121" w:right="110"/>
              <w:rPr>
                <w:sz w:val="16"/>
              </w:rPr>
            </w:pPr>
            <w:r>
              <w:rPr>
                <w:sz w:val="16"/>
              </w:rPr>
              <w:t>0.92</w:t>
            </w: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5" w:lineRule="exact" w:before="1"/>
              <w:ind w:left="134"/>
              <w:jc w:val="left"/>
              <w:rPr>
                <w:sz w:val="16"/>
              </w:rPr>
            </w:pPr>
            <w:r>
              <w:rPr>
                <w:sz w:val="16"/>
              </w:rPr>
              <w:t>WCH-10</w:t>
            </w:r>
          </w:p>
        </w:tc>
        <w:tc>
          <w:tcPr>
            <w:tcW w:w="900" w:type="dxa"/>
          </w:tcPr>
          <w:p>
            <w:pPr>
              <w:pStyle w:val="TableParagraph"/>
              <w:spacing w:line="175" w:lineRule="exact" w:before="1"/>
              <w:ind w:right="79"/>
              <w:rPr>
                <w:sz w:val="16"/>
              </w:rPr>
            </w:pPr>
            <w:r>
              <w:rPr>
                <w:sz w:val="16"/>
              </w:rPr>
              <w:t>91.50</w:t>
            </w:r>
          </w:p>
        </w:tc>
        <w:tc>
          <w:tcPr>
            <w:tcW w:w="900" w:type="dxa"/>
          </w:tcPr>
          <w:p>
            <w:pPr>
              <w:pStyle w:val="TableParagraph"/>
              <w:spacing w:line="175" w:lineRule="exact" w:before="1"/>
              <w:ind w:right="79"/>
              <w:rPr>
                <w:sz w:val="16"/>
              </w:rPr>
            </w:pPr>
            <w:r>
              <w:rPr>
                <w:sz w:val="16"/>
              </w:rPr>
              <w:t>1.80</w:t>
            </w:r>
          </w:p>
        </w:tc>
        <w:tc>
          <w:tcPr>
            <w:tcW w:w="900" w:type="dxa"/>
          </w:tcPr>
          <w:p>
            <w:pPr>
              <w:pStyle w:val="TableParagraph"/>
              <w:spacing w:line="175" w:lineRule="exact" w:before="1"/>
              <w:ind w:left="0" w:right="296"/>
              <w:jc w:val="right"/>
              <w:rPr>
                <w:sz w:val="16"/>
              </w:rPr>
            </w:pPr>
            <w:r>
              <w:rPr>
                <w:sz w:val="16"/>
              </w:rPr>
              <w:t>2.21</w:t>
            </w:r>
          </w:p>
        </w:tc>
        <w:tc>
          <w:tcPr>
            <w:tcW w:w="900" w:type="dxa"/>
          </w:tcPr>
          <w:p>
            <w:pPr>
              <w:pStyle w:val="TableParagraph"/>
              <w:spacing w:line="175" w:lineRule="exact" w:before="1"/>
              <w:ind w:right="79"/>
              <w:rPr>
                <w:sz w:val="16"/>
              </w:rPr>
            </w:pPr>
            <w:r>
              <w:rPr>
                <w:sz w:val="16"/>
              </w:rPr>
              <w:t>1.16</w:t>
            </w:r>
          </w:p>
        </w:tc>
        <w:tc>
          <w:tcPr>
            <w:tcW w:w="900" w:type="dxa"/>
          </w:tcPr>
          <w:p>
            <w:pPr>
              <w:pStyle w:val="TableParagraph"/>
              <w:spacing w:line="175" w:lineRule="exact" w:before="1"/>
              <w:ind w:right="79"/>
              <w:rPr>
                <w:sz w:val="16"/>
              </w:rPr>
            </w:pPr>
            <w:r>
              <w:rPr>
                <w:sz w:val="16"/>
              </w:rPr>
              <w:t>28.12</w:t>
            </w:r>
          </w:p>
        </w:tc>
        <w:tc>
          <w:tcPr>
            <w:tcW w:w="1709" w:type="dxa"/>
          </w:tcPr>
          <w:p>
            <w:pPr>
              <w:pStyle w:val="TableParagraph"/>
              <w:spacing w:line="175" w:lineRule="exact" w:before="1"/>
              <w:ind w:left="121" w:right="110"/>
              <w:rPr>
                <w:sz w:val="16"/>
              </w:rPr>
            </w:pPr>
            <w:r>
              <w:rPr>
                <w:sz w:val="16"/>
              </w:rPr>
              <w:t>0.84</w:t>
            </w:r>
          </w:p>
        </w:tc>
      </w:tr>
      <w:tr>
        <w:trPr>
          <w:trHeight w:val="196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spacing w:line="176" w:lineRule="exact"/>
              <w:ind w:left="134"/>
              <w:jc w:val="left"/>
              <w:rPr>
                <w:sz w:val="16"/>
              </w:rPr>
            </w:pPr>
            <w:r>
              <w:rPr>
                <w:sz w:val="16"/>
              </w:rPr>
              <w:t>WCH-40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79"/>
              <w:rPr>
                <w:sz w:val="16"/>
              </w:rPr>
            </w:pPr>
            <w:r>
              <w:rPr>
                <w:sz w:val="16"/>
              </w:rPr>
              <w:t>93.83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79"/>
              <w:rPr>
                <w:sz w:val="16"/>
              </w:rPr>
            </w:pPr>
            <w:r>
              <w:rPr>
                <w:sz w:val="16"/>
              </w:rPr>
              <w:t>5.18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left="0" w:right="296"/>
              <w:jc w:val="right"/>
              <w:rPr>
                <w:sz w:val="16"/>
              </w:rPr>
            </w:pPr>
            <w:r>
              <w:rPr>
                <w:sz w:val="16"/>
              </w:rPr>
              <w:t>1.02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79"/>
              <w:rPr>
                <w:sz w:val="16"/>
              </w:rPr>
            </w:pPr>
            <w:r>
              <w:rPr>
                <w:sz w:val="16"/>
              </w:rPr>
              <w:t>3.55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0"/>
              <w:rPr>
                <w:sz w:val="16"/>
              </w:rPr>
            </w:pPr>
            <w:r>
              <w:rPr>
                <w:sz w:val="16"/>
              </w:rPr>
              <w:t>164.77</w:t>
            </w:r>
          </w:p>
        </w:tc>
        <w:tc>
          <w:tcPr>
            <w:tcW w:w="1709" w:type="dxa"/>
            <w:shd w:val="clear" w:color="auto" w:fill="D8E1F2"/>
          </w:tcPr>
          <w:p>
            <w:pPr>
              <w:pStyle w:val="TableParagraph"/>
              <w:spacing w:line="176" w:lineRule="exact"/>
              <w:ind w:left="121" w:right="110"/>
              <w:rPr>
                <w:sz w:val="16"/>
              </w:rPr>
            </w:pPr>
            <w:r>
              <w:rPr>
                <w:sz w:val="16"/>
              </w:rPr>
              <w:t>0.94</w:t>
            </w:r>
          </w:p>
        </w:tc>
      </w:tr>
      <w:tr>
        <w:trPr>
          <w:trHeight w:val="194" w:hRule="atLeast"/>
        </w:trPr>
        <w:tc>
          <w:tcPr>
            <w:tcW w:w="806" w:type="dxa"/>
          </w:tcPr>
          <w:p>
            <w:pPr>
              <w:pStyle w:val="TableParagraph"/>
              <w:ind w:left="134"/>
              <w:jc w:val="left"/>
              <w:rPr>
                <w:sz w:val="16"/>
              </w:rPr>
            </w:pPr>
            <w:r>
              <w:rPr>
                <w:sz w:val="16"/>
              </w:rPr>
              <w:t>WCH-11</w:t>
            </w:r>
          </w:p>
        </w:tc>
        <w:tc>
          <w:tcPr>
            <w:tcW w:w="900" w:type="dxa"/>
          </w:tcPr>
          <w:p>
            <w:pPr>
              <w:pStyle w:val="TableParagraph"/>
              <w:ind w:right="79"/>
              <w:rPr>
                <w:sz w:val="16"/>
              </w:rPr>
            </w:pPr>
            <w:r>
              <w:rPr>
                <w:sz w:val="16"/>
              </w:rPr>
              <w:t>94.33</w:t>
            </w:r>
          </w:p>
        </w:tc>
        <w:tc>
          <w:tcPr>
            <w:tcW w:w="900" w:type="dxa"/>
          </w:tcPr>
          <w:p>
            <w:pPr>
              <w:pStyle w:val="TableParagraph"/>
              <w:ind w:right="79"/>
              <w:rPr>
                <w:sz w:val="16"/>
              </w:rPr>
            </w:pPr>
            <w:r>
              <w:rPr>
                <w:sz w:val="16"/>
              </w:rPr>
              <w:t>2.08</w:t>
            </w:r>
          </w:p>
        </w:tc>
        <w:tc>
          <w:tcPr>
            <w:tcW w:w="900" w:type="dxa"/>
          </w:tcPr>
          <w:p>
            <w:pPr>
              <w:pStyle w:val="TableParagraph"/>
              <w:ind w:left="0" w:right="296"/>
              <w:jc w:val="right"/>
              <w:rPr>
                <w:sz w:val="16"/>
              </w:rPr>
            </w:pPr>
            <w:r>
              <w:rPr>
                <w:sz w:val="16"/>
              </w:rPr>
              <w:t>3.46</w:t>
            </w:r>
          </w:p>
        </w:tc>
        <w:tc>
          <w:tcPr>
            <w:tcW w:w="900" w:type="dxa"/>
          </w:tcPr>
          <w:p>
            <w:pPr>
              <w:pStyle w:val="TableParagraph"/>
              <w:ind w:right="79"/>
              <w:rPr>
                <w:sz w:val="16"/>
              </w:rPr>
            </w:pPr>
            <w:r>
              <w:rPr>
                <w:sz w:val="16"/>
              </w:rPr>
              <w:t>1.50</w:t>
            </w:r>
          </w:p>
        </w:tc>
        <w:tc>
          <w:tcPr>
            <w:tcW w:w="900" w:type="dxa"/>
          </w:tcPr>
          <w:p>
            <w:pPr>
              <w:pStyle w:val="TableParagraph"/>
              <w:ind w:right="79"/>
              <w:rPr>
                <w:sz w:val="16"/>
              </w:rPr>
            </w:pPr>
            <w:r>
              <w:rPr>
                <w:sz w:val="16"/>
              </w:rPr>
              <w:t>22.85</w:t>
            </w:r>
          </w:p>
        </w:tc>
        <w:tc>
          <w:tcPr>
            <w:tcW w:w="1709" w:type="dxa"/>
          </w:tcPr>
          <w:p>
            <w:pPr>
              <w:pStyle w:val="TableParagraph"/>
              <w:ind w:left="121" w:right="110"/>
              <w:rPr>
                <w:sz w:val="16"/>
              </w:rPr>
            </w:pPr>
            <w:r>
              <w:rPr>
                <w:sz w:val="16"/>
              </w:rPr>
              <w:t>0.76</w:t>
            </w:r>
          </w:p>
        </w:tc>
      </w:tr>
      <w:tr>
        <w:trPr>
          <w:trHeight w:val="196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spacing w:line="176" w:lineRule="exact"/>
              <w:ind w:left="134"/>
              <w:jc w:val="left"/>
              <w:rPr>
                <w:sz w:val="16"/>
              </w:rPr>
            </w:pPr>
            <w:r>
              <w:rPr>
                <w:sz w:val="16"/>
              </w:rPr>
              <w:t>WCH-12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79"/>
              <w:rPr>
                <w:sz w:val="16"/>
              </w:rPr>
            </w:pPr>
            <w:r>
              <w:rPr>
                <w:sz w:val="16"/>
              </w:rPr>
              <w:t>98.00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79"/>
              <w:rPr>
                <w:sz w:val="16"/>
              </w:rPr>
            </w:pPr>
            <w:r>
              <w:rPr>
                <w:sz w:val="16"/>
              </w:rPr>
              <w:t>1.13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left="0" w:right="296"/>
              <w:jc w:val="right"/>
              <w:rPr>
                <w:sz w:val="16"/>
              </w:rPr>
            </w:pPr>
            <w:r>
              <w:rPr>
                <w:sz w:val="16"/>
              </w:rPr>
              <w:t>1.89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79"/>
              <w:rPr>
                <w:sz w:val="16"/>
              </w:rPr>
            </w:pPr>
            <w:r>
              <w:rPr>
                <w:sz w:val="16"/>
              </w:rPr>
              <w:t>0.67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79"/>
              <w:rPr>
                <w:sz w:val="16"/>
              </w:rPr>
            </w:pPr>
            <w:r>
              <w:rPr>
                <w:sz w:val="16"/>
              </w:rPr>
              <w:t>7.74</w:t>
            </w:r>
          </w:p>
        </w:tc>
        <w:tc>
          <w:tcPr>
            <w:tcW w:w="1709" w:type="dxa"/>
            <w:shd w:val="clear" w:color="auto" w:fill="D8E1F2"/>
          </w:tcPr>
          <w:p>
            <w:pPr>
              <w:pStyle w:val="TableParagraph"/>
              <w:spacing w:line="176" w:lineRule="exact"/>
              <w:ind w:left="121" w:right="110"/>
              <w:rPr>
                <w:sz w:val="16"/>
              </w:rPr>
            </w:pPr>
            <w:r>
              <w:rPr>
                <w:sz w:val="16"/>
              </w:rPr>
              <w:t>0.68</w:t>
            </w:r>
          </w:p>
        </w:tc>
      </w:tr>
      <w:tr>
        <w:trPr>
          <w:trHeight w:val="194" w:hRule="atLeast"/>
        </w:trPr>
        <w:tc>
          <w:tcPr>
            <w:tcW w:w="806" w:type="dxa"/>
          </w:tcPr>
          <w:p>
            <w:pPr>
              <w:pStyle w:val="TableParagraph"/>
              <w:ind w:left="134"/>
              <w:jc w:val="left"/>
              <w:rPr>
                <w:sz w:val="16"/>
              </w:rPr>
            </w:pPr>
            <w:r>
              <w:rPr>
                <w:sz w:val="16"/>
              </w:rPr>
              <w:t>WCH-13</w:t>
            </w:r>
          </w:p>
        </w:tc>
        <w:tc>
          <w:tcPr>
            <w:tcW w:w="900" w:type="dxa"/>
          </w:tcPr>
          <w:p>
            <w:pPr>
              <w:pStyle w:val="TableParagraph"/>
              <w:ind w:right="80"/>
              <w:rPr>
                <w:sz w:val="16"/>
              </w:rPr>
            </w:pPr>
            <w:r>
              <w:rPr>
                <w:sz w:val="16"/>
              </w:rPr>
              <w:t>102.17</w:t>
            </w:r>
          </w:p>
        </w:tc>
        <w:tc>
          <w:tcPr>
            <w:tcW w:w="900" w:type="dxa"/>
          </w:tcPr>
          <w:p>
            <w:pPr>
              <w:pStyle w:val="TableParagraph"/>
              <w:ind w:right="79"/>
              <w:rPr>
                <w:sz w:val="16"/>
              </w:rPr>
            </w:pPr>
            <w:r>
              <w:rPr>
                <w:sz w:val="16"/>
              </w:rPr>
              <w:t>0.92</w:t>
            </w:r>
          </w:p>
        </w:tc>
        <w:tc>
          <w:tcPr>
            <w:tcW w:w="900" w:type="dxa"/>
          </w:tcPr>
          <w:p>
            <w:pPr>
              <w:pStyle w:val="TableParagraph"/>
              <w:ind w:left="0" w:right="296"/>
              <w:jc w:val="right"/>
              <w:rPr>
                <w:sz w:val="16"/>
              </w:rPr>
            </w:pPr>
            <w:r>
              <w:rPr>
                <w:sz w:val="16"/>
              </w:rPr>
              <w:t>0.54</w:t>
            </w:r>
          </w:p>
        </w:tc>
        <w:tc>
          <w:tcPr>
            <w:tcW w:w="900" w:type="dxa"/>
          </w:tcPr>
          <w:p>
            <w:pPr>
              <w:pStyle w:val="TableParagraph"/>
              <w:ind w:right="79"/>
              <w:rPr>
                <w:sz w:val="16"/>
              </w:rPr>
            </w:pPr>
            <w:r>
              <w:rPr>
                <w:sz w:val="16"/>
              </w:rPr>
              <w:t>0.52</w:t>
            </w:r>
          </w:p>
        </w:tc>
        <w:tc>
          <w:tcPr>
            <w:tcW w:w="900" w:type="dxa"/>
          </w:tcPr>
          <w:p>
            <w:pPr>
              <w:pStyle w:val="TableParagraph"/>
              <w:ind w:right="79"/>
              <w:rPr>
                <w:sz w:val="16"/>
              </w:rPr>
            </w:pPr>
            <w:r>
              <w:rPr>
                <w:sz w:val="16"/>
              </w:rPr>
              <w:t>8.02</w:t>
            </w:r>
          </w:p>
        </w:tc>
        <w:tc>
          <w:tcPr>
            <w:tcW w:w="1709" w:type="dxa"/>
          </w:tcPr>
          <w:p>
            <w:pPr>
              <w:pStyle w:val="TableParagraph"/>
              <w:ind w:left="121" w:right="110"/>
              <w:rPr>
                <w:sz w:val="16"/>
              </w:rPr>
            </w:pPr>
            <w:r>
              <w:rPr>
                <w:sz w:val="16"/>
              </w:rPr>
              <w:t>0.80</w:t>
            </w:r>
          </w:p>
        </w:tc>
      </w:tr>
      <w:tr>
        <w:trPr>
          <w:trHeight w:val="196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spacing w:line="176" w:lineRule="exact"/>
              <w:ind w:left="134"/>
              <w:jc w:val="left"/>
              <w:rPr>
                <w:sz w:val="16"/>
              </w:rPr>
            </w:pPr>
            <w:r>
              <w:rPr>
                <w:sz w:val="16"/>
              </w:rPr>
              <w:t>WCH-14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0"/>
              <w:rPr>
                <w:sz w:val="16"/>
              </w:rPr>
            </w:pPr>
            <w:r>
              <w:rPr>
                <w:sz w:val="16"/>
              </w:rPr>
              <w:t>105.50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79"/>
              <w:rPr>
                <w:sz w:val="16"/>
              </w:rPr>
            </w:pPr>
            <w:r>
              <w:rPr>
                <w:sz w:val="16"/>
              </w:rPr>
              <w:t>0.79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left="0" w:right="296"/>
              <w:jc w:val="right"/>
              <w:rPr>
                <w:sz w:val="16"/>
              </w:rPr>
            </w:pPr>
            <w:r>
              <w:rPr>
                <w:sz w:val="16"/>
              </w:rPr>
              <w:t>0.50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79"/>
              <w:rPr>
                <w:sz w:val="16"/>
              </w:rPr>
            </w:pPr>
            <w:r>
              <w:rPr>
                <w:sz w:val="16"/>
              </w:rPr>
              <w:t>0.31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79"/>
              <w:rPr>
                <w:sz w:val="16"/>
              </w:rPr>
            </w:pPr>
            <w:r>
              <w:rPr>
                <w:sz w:val="16"/>
              </w:rPr>
              <w:t>9.07</w:t>
            </w:r>
          </w:p>
        </w:tc>
        <w:tc>
          <w:tcPr>
            <w:tcW w:w="1709" w:type="dxa"/>
            <w:shd w:val="clear" w:color="auto" w:fill="D8E1F2"/>
          </w:tcPr>
          <w:p>
            <w:pPr>
              <w:pStyle w:val="TableParagraph"/>
              <w:spacing w:line="176" w:lineRule="exact"/>
              <w:ind w:left="121" w:right="110"/>
              <w:rPr>
                <w:sz w:val="16"/>
              </w:rPr>
            </w:pPr>
            <w:r>
              <w:rPr>
                <w:sz w:val="16"/>
              </w:rPr>
              <w:t>0.85</w:t>
            </w:r>
          </w:p>
        </w:tc>
      </w:tr>
      <w:tr>
        <w:trPr>
          <w:trHeight w:val="194" w:hRule="atLeast"/>
        </w:trPr>
        <w:tc>
          <w:tcPr>
            <w:tcW w:w="806" w:type="dxa"/>
          </w:tcPr>
          <w:p>
            <w:pPr>
              <w:pStyle w:val="TableParagraph"/>
              <w:ind w:left="134"/>
              <w:jc w:val="left"/>
              <w:rPr>
                <w:sz w:val="16"/>
              </w:rPr>
            </w:pPr>
            <w:r>
              <w:rPr>
                <w:sz w:val="16"/>
              </w:rPr>
              <w:t>WCH-41</w:t>
            </w:r>
          </w:p>
        </w:tc>
        <w:tc>
          <w:tcPr>
            <w:tcW w:w="900" w:type="dxa"/>
          </w:tcPr>
          <w:p>
            <w:pPr>
              <w:pStyle w:val="TableParagraph"/>
              <w:ind w:right="80"/>
              <w:rPr>
                <w:sz w:val="16"/>
              </w:rPr>
            </w:pPr>
            <w:r>
              <w:rPr>
                <w:sz w:val="16"/>
              </w:rPr>
              <w:t>109.17</w:t>
            </w:r>
          </w:p>
        </w:tc>
        <w:tc>
          <w:tcPr>
            <w:tcW w:w="900" w:type="dxa"/>
          </w:tcPr>
          <w:p>
            <w:pPr>
              <w:pStyle w:val="TableParagraph"/>
              <w:ind w:right="79"/>
              <w:rPr>
                <w:sz w:val="16"/>
              </w:rPr>
            </w:pPr>
            <w:r>
              <w:rPr>
                <w:sz w:val="16"/>
              </w:rPr>
              <w:t>0.92</w:t>
            </w:r>
          </w:p>
        </w:tc>
        <w:tc>
          <w:tcPr>
            <w:tcW w:w="900" w:type="dxa"/>
          </w:tcPr>
          <w:p>
            <w:pPr>
              <w:pStyle w:val="TableParagraph"/>
              <w:ind w:left="0" w:right="296"/>
              <w:jc w:val="right"/>
              <w:rPr>
                <w:sz w:val="16"/>
              </w:rPr>
            </w:pPr>
            <w:r>
              <w:rPr>
                <w:sz w:val="16"/>
              </w:rPr>
              <w:t>0.28</w:t>
            </w:r>
          </w:p>
        </w:tc>
        <w:tc>
          <w:tcPr>
            <w:tcW w:w="900" w:type="dxa"/>
          </w:tcPr>
          <w:p>
            <w:pPr>
              <w:pStyle w:val="TableParagraph"/>
              <w:ind w:right="79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900" w:type="dxa"/>
          </w:tcPr>
          <w:p>
            <w:pPr>
              <w:pStyle w:val="TableParagraph"/>
              <w:ind w:right="79"/>
              <w:rPr>
                <w:sz w:val="16"/>
              </w:rPr>
            </w:pPr>
            <w:r>
              <w:rPr>
                <w:sz w:val="16"/>
              </w:rPr>
              <w:t>15.95</w:t>
            </w:r>
          </w:p>
        </w:tc>
        <w:tc>
          <w:tcPr>
            <w:tcW w:w="1709" w:type="dxa"/>
          </w:tcPr>
          <w:p>
            <w:pPr>
              <w:pStyle w:val="TableParagraph"/>
              <w:ind w:left="121" w:right="110"/>
              <w:rPr>
                <w:sz w:val="16"/>
              </w:rPr>
            </w:pPr>
            <w:r>
              <w:rPr>
                <w:sz w:val="16"/>
              </w:rPr>
              <w:t>0.92</w:t>
            </w:r>
          </w:p>
        </w:tc>
      </w:tr>
      <w:tr>
        <w:trPr>
          <w:trHeight w:val="196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spacing w:line="176" w:lineRule="exact"/>
              <w:ind w:left="134"/>
              <w:jc w:val="left"/>
              <w:rPr>
                <w:sz w:val="16"/>
              </w:rPr>
            </w:pPr>
            <w:r>
              <w:rPr>
                <w:sz w:val="16"/>
              </w:rPr>
              <w:t>WCH-42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0"/>
              <w:rPr>
                <w:sz w:val="16"/>
              </w:rPr>
            </w:pPr>
            <w:r>
              <w:rPr>
                <w:sz w:val="16"/>
              </w:rPr>
              <w:t>112.50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79"/>
              <w:rPr>
                <w:sz w:val="16"/>
              </w:rPr>
            </w:pPr>
            <w:r>
              <w:rPr>
                <w:sz w:val="16"/>
              </w:rPr>
              <w:t>0.38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left="0" w:right="296"/>
              <w:jc w:val="right"/>
              <w:rPr>
                <w:sz w:val="16"/>
              </w:rPr>
            </w:pPr>
            <w:r>
              <w:rPr>
                <w:sz w:val="16"/>
              </w:rPr>
              <w:t>0.27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79"/>
              <w:rPr>
                <w:sz w:val="16"/>
              </w:rPr>
            </w:pPr>
            <w:r>
              <w:rPr>
                <w:sz w:val="16"/>
              </w:rPr>
              <w:t>0.21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79"/>
              <w:rPr>
                <w:sz w:val="16"/>
              </w:rPr>
            </w:pPr>
            <w:r>
              <w:rPr>
                <w:sz w:val="16"/>
              </w:rPr>
              <w:t>7.68</w:t>
            </w:r>
          </w:p>
        </w:tc>
        <w:tc>
          <w:tcPr>
            <w:tcW w:w="1709" w:type="dxa"/>
            <w:shd w:val="clear" w:color="auto" w:fill="D8E1F2"/>
          </w:tcPr>
          <w:p>
            <w:pPr>
              <w:pStyle w:val="TableParagraph"/>
              <w:spacing w:line="176" w:lineRule="exact"/>
              <w:ind w:left="121" w:right="110"/>
              <w:rPr>
                <w:sz w:val="16"/>
              </w:rPr>
            </w:pPr>
            <w:r>
              <w:rPr>
                <w:sz w:val="16"/>
              </w:rPr>
              <w:t>0.90</w:t>
            </w:r>
          </w:p>
        </w:tc>
      </w:tr>
      <w:tr>
        <w:trPr>
          <w:trHeight w:val="193" w:hRule="atLeast"/>
        </w:trPr>
        <w:tc>
          <w:tcPr>
            <w:tcW w:w="806" w:type="dxa"/>
          </w:tcPr>
          <w:p>
            <w:pPr>
              <w:pStyle w:val="TableParagraph"/>
              <w:ind w:left="134"/>
              <w:jc w:val="left"/>
              <w:rPr>
                <w:sz w:val="16"/>
              </w:rPr>
            </w:pPr>
            <w:r>
              <w:rPr>
                <w:sz w:val="16"/>
              </w:rPr>
              <w:t>WCH-15</w:t>
            </w:r>
          </w:p>
        </w:tc>
        <w:tc>
          <w:tcPr>
            <w:tcW w:w="900" w:type="dxa"/>
          </w:tcPr>
          <w:p>
            <w:pPr>
              <w:pStyle w:val="TableParagraph"/>
              <w:ind w:right="80"/>
              <w:rPr>
                <w:sz w:val="16"/>
              </w:rPr>
            </w:pPr>
            <w:r>
              <w:rPr>
                <w:sz w:val="16"/>
              </w:rPr>
              <w:t>115.00</w:t>
            </w:r>
          </w:p>
        </w:tc>
        <w:tc>
          <w:tcPr>
            <w:tcW w:w="900" w:type="dxa"/>
          </w:tcPr>
          <w:p>
            <w:pPr>
              <w:pStyle w:val="TableParagraph"/>
              <w:ind w:right="79"/>
              <w:rPr>
                <w:sz w:val="16"/>
              </w:rPr>
            </w:pPr>
            <w:r>
              <w:rPr>
                <w:sz w:val="16"/>
              </w:rPr>
              <w:t>0.20</w:t>
            </w:r>
          </w:p>
        </w:tc>
        <w:tc>
          <w:tcPr>
            <w:tcW w:w="900" w:type="dxa"/>
          </w:tcPr>
          <w:p>
            <w:pPr>
              <w:pStyle w:val="TableParagraph"/>
              <w:ind w:left="0" w:right="296"/>
              <w:jc w:val="right"/>
              <w:rPr>
                <w:sz w:val="16"/>
              </w:rPr>
            </w:pPr>
            <w:r>
              <w:rPr>
                <w:sz w:val="16"/>
              </w:rPr>
              <w:t>0.37</w:t>
            </w:r>
          </w:p>
        </w:tc>
        <w:tc>
          <w:tcPr>
            <w:tcW w:w="900" w:type="dxa"/>
          </w:tcPr>
          <w:p>
            <w:pPr>
              <w:pStyle w:val="TableParagraph"/>
              <w:ind w:right="79"/>
              <w:rPr>
                <w:sz w:val="16"/>
              </w:rPr>
            </w:pPr>
            <w:r>
              <w:rPr>
                <w:sz w:val="16"/>
              </w:rPr>
              <w:t>0.24</w:t>
            </w:r>
          </w:p>
        </w:tc>
        <w:tc>
          <w:tcPr>
            <w:tcW w:w="900" w:type="dxa"/>
          </w:tcPr>
          <w:p>
            <w:pPr>
              <w:pStyle w:val="TableParagraph"/>
              <w:ind w:right="79"/>
              <w:rPr>
                <w:sz w:val="16"/>
              </w:rPr>
            </w:pPr>
            <w:r>
              <w:rPr>
                <w:sz w:val="16"/>
              </w:rPr>
              <w:t>3.16</w:t>
            </w:r>
          </w:p>
        </w:tc>
        <w:tc>
          <w:tcPr>
            <w:tcW w:w="1709" w:type="dxa"/>
          </w:tcPr>
          <w:p>
            <w:pPr>
              <w:pStyle w:val="TableParagraph"/>
              <w:ind w:left="121" w:right="110"/>
              <w:rPr>
                <w:sz w:val="16"/>
              </w:rPr>
            </w:pPr>
            <w:r>
              <w:rPr>
                <w:sz w:val="16"/>
              </w:rPr>
              <w:t>0.80</w:t>
            </w:r>
          </w:p>
        </w:tc>
      </w:tr>
      <w:tr>
        <w:trPr>
          <w:trHeight w:val="196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134"/>
              <w:jc w:val="left"/>
              <w:rPr>
                <w:sz w:val="16"/>
              </w:rPr>
            </w:pPr>
            <w:r>
              <w:rPr>
                <w:sz w:val="16"/>
              </w:rPr>
              <w:t>WCH-16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right="80"/>
              <w:rPr>
                <w:sz w:val="16"/>
              </w:rPr>
            </w:pPr>
            <w:r>
              <w:rPr>
                <w:sz w:val="16"/>
              </w:rPr>
              <w:t>118.00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right="79"/>
              <w:rPr>
                <w:sz w:val="16"/>
              </w:rPr>
            </w:pPr>
            <w:r>
              <w:rPr>
                <w:sz w:val="16"/>
              </w:rPr>
              <w:t>0.27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0" w:right="296"/>
              <w:jc w:val="right"/>
              <w:rPr>
                <w:sz w:val="16"/>
              </w:rPr>
            </w:pPr>
            <w:r>
              <w:rPr>
                <w:sz w:val="16"/>
              </w:rPr>
              <w:t>0.26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right="79"/>
              <w:rPr>
                <w:sz w:val="16"/>
              </w:rPr>
            </w:pPr>
            <w:r>
              <w:rPr>
                <w:sz w:val="16"/>
              </w:rPr>
              <w:t>0.12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right="79"/>
              <w:rPr>
                <w:sz w:val="16"/>
              </w:rPr>
            </w:pPr>
            <w:r>
              <w:rPr>
                <w:sz w:val="16"/>
              </w:rPr>
              <w:t>1.57</w:t>
            </w:r>
          </w:p>
        </w:tc>
        <w:tc>
          <w:tcPr>
            <w:tcW w:w="1709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121" w:right="110"/>
              <w:rPr>
                <w:sz w:val="16"/>
              </w:rPr>
            </w:pPr>
            <w:r>
              <w:rPr>
                <w:sz w:val="16"/>
              </w:rPr>
              <w:t>0.71</w:t>
            </w: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6" w:lineRule="exact"/>
              <w:ind w:left="134"/>
              <w:jc w:val="left"/>
              <w:rPr>
                <w:sz w:val="16"/>
              </w:rPr>
            </w:pPr>
            <w:r>
              <w:rPr>
                <w:sz w:val="16"/>
              </w:rPr>
              <w:t>WCH-17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80"/>
              <w:rPr>
                <w:sz w:val="16"/>
              </w:rPr>
            </w:pPr>
            <w:r>
              <w:rPr>
                <w:sz w:val="16"/>
              </w:rPr>
              <w:t>121.00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79"/>
              <w:rPr>
                <w:sz w:val="16"/>
              </w:rPr>
            </w:pPr>
            <w:r>
              <w:rPr>
                <w:sz w:val="16"/>
              </w:rPr>
              <w:t>0.57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left="0" w:right="296"/>
              <w:jc w:val="right"/>
              <w:rPr>
                <w:sz w:val="16"/>
              </w:rPr>
            </w:pPr>
            <w:r>
              <w:rPr>
                <w:sz w:val="16"/>
              </w:rPr>
              <w:t>0.95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79"/>
              <w:rPr>
                <w:sz w:val="16"/>
              </w:rPr>
            </w:pPr>
            <w:r>
              <w:rPr>
                <w:sz w:val="16"/>
              </w:rPr>
              <w:t>0.43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79"/>
              <w:rPr>
                <w:sz w:val="16"/>
              </w:rPr>
            </w:pPr>
            <w:r>
              <w:rPr>
                <w:sz w:val="16"/>
              </w:rPr>
              <w:t>3.55</w:t>
            </w:r>
          </w:p>
        </w:tc>
        <w:tc>
          <w:tcPr>
            <w:tcW w:w="1709" w:type="dxa"/>
          </w:tcPr>
          <w:p>
            <w:pPr>
              <w:pStyle w:val="TableParagraph"/>
              <w:spacing w:line="176" w:lineRule="exact"/>
              <w:ind w:left="121" w:right="110"/>
              <w:rPr>
                <w:sz w:val="16"/>
              </w:rPr>
            </w:pPr>
            <w:r>
              <w:rPr>
                <w:sz w:val="16"/>
              </w:rPr>
              <w:t>0.65</w:t>
            </w:r>
          </w:p>
        </w:tc>
      </w:tr>
      <w:tr>
        <w:trPr>
          <w:trHeight w:val="193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ind w:left="134"/>
              <w:jc w:val="left"/>
              <w:rPr>
                <w:sz w:val="16"/>
              </w:rPr>
            </w:pPr>
            <w:r>
              <w:rPr>
                <w:sz w:val="16"/>
              </w:rPr>
              <w:t>WCH-18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80"/>
              <w:rPr>
                <w:sz w:val="16"/>
              </w:rPr>
            </w:pPr>
            <w:r>
              <w:rPr>
                <w:sz w:val="16"/>
              </w:rPr>
              <w:t>124.42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79"/>
              <w:rPr>
                <w:sz w:val="16"/>
              </w:rPr>
            </w:pPr>
            <w:r>
              <w:rPr>
                <w:sz w:val="16"/>
              </w:rPr>
              <w:t>0.28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left="0" w:right="296"/>
              <w:jc w:val="right"/>
              <w:rPr>
                <w:sz w:val="16"/>
              </w:rPr>
            </w:pPr>
            <w:r>
              <w:rPr>
                <w:sz w:val="16"/>
              </w:rPr>
              <w:t>0.68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79"/>
              <w:rPr>
                <w:sz w:val="16"/>
              </w:rPr>
            </w:pPr>
            <w:r>
              <w:rPr>
                <w:sz w:val="16"/>
              </w:rPr>
              <w:t>0.36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79"/>
              <w:rPr>
                <w:sz w:val="16"/>
              </w:rPr>
            </w:pPr>
            <w:r>
              <w:rPr>
                <w:sz w:val="16"/>
              </w:rPr>
              <w:t>1.48</w:t>
            </w:r>
          </w:p>
        </w:tc>
        <w:tc>
          <w:tcPr>
            <w:tcW w:w="1709" w:type="dxa"/>
            <w:shd w:val="clear" w:color="auto" w:fill="D8E1F2"/>
          </w:tcPr>
          <w:p>
            <w:pPr>
              <w:pStyle w:val="TableParagraph"/>
              <w:ind w:left="121" w:right="110"/>
              <w:rPr>
                <w:sz w:val="16"/>
              </w:rPr>
            </w:pPr>
            <w:r>
              <w:rPr>
                <w:sz w:val="16"/>
              </w:rPr>
              <w:t>0.53</w:t>
            </w: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6" w:lineRule="exact"/>
              <w:ind w:left="134"/>
              <w:jc w:val="left"/>
              <w:rPr>
                <w:sz w:val="16"/>
              </w:rPr>
            </w:pPr>
            <w:r>
              <w:rPr>
                <w:sz w:val="16"/>
              </w:rPr>
              <w:t>WCH-43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80"/>
              <w:rPr>
                <w:sz w:val="16"/>
              </w:rPr>
            </w:pPr>
            <w:r>
              <w:rPr>
                <w:sz w:val="16"/>
              </w:rPr>
              <w:t>126.17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79"/>
              <w:rPr>
                <w:sz w:val="16"/>
              </w:rPr>
            </w:pPr>
            <w:r>
              <w:rPr>
                <w:sz w:val="16"/>
              </w:rPr>
              <w:t>0.64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left="0" w:right="296"/>
              <w:jc w:val="right"/>
              <w:rPr>
                <w:sz w:val="16"/>
              </w:rPr>
            </w:pPr>
            <w:r>
              <w:rPr>
                <w:sz w:val="16"/>
              </w:rPr>
              <w:t>0.35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79"/>
              <w:rPr>
                <w:sz w:val="16"/>
              </w:rPr>
            </w:pPr>
            <w:r>
              <w:rPr>
                <w:sz w:val="16"/>
              </w:rPr>
              <w:t>0.18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79"/>
              <w:rPr>
                <w:sz w:val="16"/>
              </w:rPr>
            </w:pPr>
            <w:r>
              <w:rPr>
                <w:sz w:val="16"/>
              </w:rPr>
              <w:t>5.67</w:t>
            </w:r>
          </w:p>
        </w:tc>
        <w:tc>
          <w:tcPr>
            <w:tcW w:w="1709" w:type="dxa"/>
          </w:tcPr>
          <w:p>
            <w:pPr>
              <w:pStyle w:val="TableParagraph"/>
              <w:spacing w:line="176" w:lineRule="exact"/>
              <w:ind w:left="121" w:right="110"/>
              <w:rPr>
                <w:sz w:val="16"/>
              </w:rPr>
            </w:pPr>
            <w:r>
              <w:rPr>
                <w:sz w:val="16"/>
              </w:rPr>
              <w:t>0.83</w:t>
            </w:r>
          </w:p>
        </w:tc>
      </w:tr>
      <w:tr>
        <w:trPr>
          <w:trHeight w:val="194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ind w:left="134"/>
              <w:jc w:val="left"/>
              <w:rPr>
                <w:sz w:val="16"/>
              </w:rPr>
            </w:pPr>
            <w:r>
              <w:rPr>
                <w:sz w:val="16"/>
              </w:rPr>
              <w:t>WCH-19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80"/>
              <w:rPr>
                <w:sz w:val="16"/>
              </w:rPr>
            </w:pPr>
            <w:r>
              <w:rPr>
                <w:sz w:val="16"/>
              </w:rPr>
              <w:t>129.00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79"/>
              <w:rPr>
                <w:sz w:val="16"/>
              </w:rPr>
            </w:pPr>
            <w:r>
              <w:rPr>
                <w:sz w:val="16"/>
              </w:rPr>
              <w:t>0.48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left="0" w:right="296"/>
              <w:jc w:val="right"/>
              <w:rPr>
                <w:sz w:val="16"/>
              </w:rPr>
            </w:pPr>
            <w:r>
              <w:rPr>
                <w:sz w:val="16"/>
              </w:rPr>
              <w:t>0.80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79"/>
              <w:rPr>
                <w:sz w:val="16"/>
              </w:rPr>
            </w:pPr>
            <w:r>
              <w:rPr>
                <w:sz w:val="16"/>
              </w:rPr>
              <w:t>0.65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79"/>
              <w:rPr>
                <w:sz w:val="16"/>
              </w:rPr>
            </w:pPr>
            <w:r>
              <w:rPr>
                <w:sz w:val="16"/>
              </w:rPr>
              <w:t>4.08</w:t>
            </w:r>
          </w:p>
        </w:tc>
        <w:tc>
          <w:tcPr>
            <w:tcW w:w="1709" w:type="dxa"/>
            <w:shd w:val="clear" w:color="auto" w:fill="D8E1F2"/>
          </w:tcPr>
          <w:p>
            <w:pPr>
              <w:pStyle w:val="TableParagraph"/>
              <w:ind w:left="121" w:right="110"/>
              <w:rPr>
                <w:sz w:val="16"/>
              </w:rPr>
            </w:pPr>
            <w:r>
              <w:rPr>
                <w:sz w:val="16"/>
              </w:rPr>
              <w:t>0.68</w:t>
            </w: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6" w:lineRule="exact"/>
              <w:ind w:left="134"/>
              <w:jc w:val="left"/>
              <w:rPr>
                <w:sz w:val="16"/>
              </w:rPr>
            </w:pPr>
            <w:r>
              <w:rPr>
                <w:sz w:val="16"/>
              </w:rPr>
              <w:t>WCH-20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80"/>
              <w:rPr>
                <w:sz w:val="16"/>
              </w:rPr>
            </w:pPr>
            <w:r>
              <w:rPr>
                <w:sz w:val="16"/>
              </w:rPr>
              <w:t>130.00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79"/>
              <w:rPr>
                <w:sz w:val="16"/>
              </w:rPr>
            </w:pPr>
            <w:r>
              <w:rPr>
                <w:sz w:val="16"/>
              </w:rPr>
              <w:t>0.34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left="0" w:right="296"/>
              <w:jc w:val="right"/>
              <w:rPr>
                <w:sz w:val="16"/>
              </w:rPr>
            </w:pPr>
            <w:r>
              <w:rPr>
                <w:sz w:val="16"/>
              </w:rPr>
              <w:t>0.50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79"/>
              <w:rPr>
                <w:sz w:val="16"/>
              </w:rPr>
            </w:pPr>
            <w:r>
              <w:rPr>
                <w:sz w:val="16"/>
              </w:rPr>
              <w:t>0.38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79"/>
              <w:rPr>
                <w:sz w:val="16"/>
              </w:rPr>
            </w:pPr>
            <w:r>
              <w:rPr>
                <w:sz w:val="16"/>
              </w:rPr>
              <w:t>1.16</w:t>
            </w:r>
          </w:p>
        </w:tc>
        <w:tc>
          <w:tcPr>
            <w:tcW w:w="1709" w:type="dxa"/>
          </w:tcPr>
          <w:p>
            <w:pPr>
              <w:pStyle w:val="TableParagraph"/>
              <w:spacing w:line="176" w:lineRule="exact"/>
              <w:ind w:left="121" w:right="110"/>
              <w:rPr>
                <w:sz w:val="16"/>
              </w:rPr>
            </w:pPr>
            <w:r>
              <w:rPr>
                <w:sz w:val="16"/>
              </w:rPr>
              <w:t>0.49</w:t>
            </w:r>
          </w:p>
        </w:tc>
      </w:tr>
      <w:tr>
        <w:trPr>
          <w:trHeight w:val="194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ind w:left="134"/>
              <w:jc w:val="left"/>
              <w:rPr>
                <w:sz w:val="16"/>
              </w:rPr>
            </w:pPr>
            <w:r>
              <w:rPr>
                <w:sz w:val="16"/>
              </w:rPr>
              <w:t>WCH-60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80"/>
              <w:rPr>
                <w:sz w:val="16"/>
              </w:rPr>
            </w:pPr>
            <w:r>
              <w:rPr>
                <w:sz w:val="16"/>
              </w:rPr>
              <w:t>131.75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79"/>
              <w:rPr>
                <w:sz w:val="16"/>
              </w:rPr>
            </w:pPr>
            <w:r>
              <w:rPr>
                <w:sz w:val="16"/>
              </w:rPr>
              <w:t>0.69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left="0" w:right="296"/>
              <w:jc w:val="right"/>
              <w:rPr>
                <w:sz w:val="16"/>
              </w:rPr>
            </w:pPr>
            <w:r>
              <w:rPr>
                <w:sz w:val="16"/>
              </w:rPr>
              <w:t>0.19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79"/>
              <w:rPr>
                <w:sz w:val="16"/>
              </w:rPr>
            </w:pPr>
            <w:r>
              <w:rPr>
                <w:sz w:val="16"/>
              </w:rPr>
              <w:t>1.35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79"/>
              <w:rPr>
                <w:sz w:val="16"/>
              </w:rPr>
            </w:pPr>
            <w:r>
              <w:rPr>
                <w:sz w:val="16"/>
              </w:rPr>
              <w:t>5.39</w:t>
            </w:r>
          </w:p>
        </w:tc>
        <w:tc>
          <w:tcPr>
            <w:tcW w:w="1709" w:type="dxa"/>
            <w:shd w:val="clear" w:color="auto" w:fill="D8E1F2"/>
          </w:tcPr>
          <w:p>
            <w:pPr>
              <w:pStyle w:val="TableParagraph"/>
              <w:ind w:left="121" w:right="110"/>
              <w:rPr>
                <w:sz w:val="16"/>
              </w:rPr>
            </w:pPr>
            <w:r>
              <w:rPr>
                <w:sz w:val="16"/>
              </w:rPr>
              <w:t>0.71</w:t>
            </w: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6" w:lineRule="exact"/>
              <w:ind w:left="134"/>
              <w:jc w:val="left"/>
              <w:rPr>
                <w:sz w:val="16"/>
              </w:rPr>
            </w:pPr>
            <w:r>
              <w:rPr>
                <w:sz w:val="16"/>
              </w:rPr>
              <w:t>WCH-61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80"/>
              <w:rPr>
                <w:sz w:val="16"/>
              </w:rPr>
            </w:pPr>
            <w:r>
              <w:rPr>
                <w:sz w:val="16"/>
              </w:rPr>
              <w:t>132.75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79"/>
              <w:rPr>
                <w:sz w:val="16"/>
              </w:rPr>
            </w:pPr>
            <w:r>
              <w:rPr>
                <w:sz w:val="16"/>
              </w:rPr>
              <w:t>0.60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left="0" w:right="296"/>
              <w:jc w:val="right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79"/>
              <w:rPr>
                <w:sz w:val="16"/>
              </w:rPr>
            </w:pPr>
            <w:r>
              <w:rPr>
                <w:sz w:val="16"/>
              </w:rPr>
              <w:t>0.92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79"/>
              <w:rPr>
                <w:sz w:val="16"/>
              </w:rPr>
            </w:pPr>
            <w:r>
              <w:rPr>
                <w:sz w:val="16"/>
              </w:rPr>
              <w:t>14.61</w:t>
            </w:r>
          </w:p>
        </w:tc>
        <w:tc>
          <w:tcPr>
            <w:tcW w:w="1709" w:type="dxa"/>
          </w:tcPr>
          <w:p>
            <w:pPr>
              <w:pStyle w:val="TableParagraph"/>
              <w:spacing w:line="176" w:lineRule="exact"/>
              <w:ind w:left="121" w:right="110"/>
              <w:rPr>
                <w:sz w:val="16"/>
              </w:rPr>
            </w:pPr>
            <w:r>
              <w:rPr>
                <w:sz w:val="16"/>
              </w:rPr>
              <w:t>0.91</w:t>
            </w:r>
          </w:p>
        </w:tc>
      </w:tr>
      <w:tr>
        <w:trPr>
          <w:trHeight w:val="193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ind w:left="134"/>
              <w:jc w:val="left"/>
              <w:rPr>
                <w:sz w:val="16"/>
              </w:rPr>
            </w:pPr>
            <w:r>
              <w:rPr>
                <w:sz w:val="16"/>
              </w:rPr>
              <w:t>WCH-21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80"/>
              <w:rPr>
                <w:sz w:val="16"/>
              </w:rPr>
            </w:pPr>
            <w:r>
              <w:rPr>
                <w:sz w:val="16"/>
              </w:rPr>
              <w:t>133.50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79"/>
              <w:rPr>
                <w:sz w:val="16"/>
              </w:rPr>
            </w:pPr>
            <w:r>
              <w:rPr>
                <w:sz w:val="16"/>
              </w:rPr>
              <w:t>0.92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left="0" w:right="296"/>
              <w:jc w:val="right"/>
              <w:rPr>
                <w:sz w:val="16"/>
              </w:rPr>
            </w:pPr>
            <w:r>
              <w:rPr>
                <w:sz w:val="16"/>
              </w:rPr>
              <w:t>0.75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79"/>
              <w:rPr>
                <w:sz w:val="16"/>
              </w:rPr>
            </w:pPr>
            <w:r>
              <w:rPr>
                <w:sz w:val="16"/>
              </w:rPr>
              <w:t>1.17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79"/>
              <w:rPr>
                <w:sz w:val="16"/>
              </w:rPr>
            </w:pPr>
            <w:r>
              <w:rPr>
                <w:sz w:val="16"/>
              </w:rPr>
              <w:t>17.55</w:t>
            </w:r>
          </w:p>
        </w:tc>
        <w:tc>
          <w:tcPr>
            <w:tcW w:w="1709" w:type="dxa"/>
            <w:shd w:val="clear" w:color="auto" w:fill="D8E1F2"/>
          </w:tcPr>
          <w:p>
            <w:pPr>
              <w:pStyle w:val="TableParagraph"/>
              <w:ind w:left="121" w:right="110"/>
              <w:rPr>
                <w:sz w:val="16"/>
              </w:rPr>
            </w:pPr>
            <w:r>
              <w:rPr>
                <w:sz w:val="16"/>
              </w:rPr>
              <w:t>0.87</w:t>
            </w: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5" w:lineRule="exact" w:before="1"/>
              <w:ind w:left="134"/>
              <w:jc w:val="left"/>
              <w:rPr>
                <w:sz w:val="16"/>
              </w:rPr>
            </w:pPr>
            <w:r>
              <w:rPr>
                <w:sz w:val="16"/>
              </w:rPr>
              <w:t>WCH-44</w:t>
            </w:r>
          </w:p>
        </w:tc>
        <w:tc>
          <w:tcPr>
            <w:tcW w:w="900" w:type="dxa"/>
          </w:tcPr>
          <w:p>
            <w:pPr>
              <w:pStyle w:val="TableParagraph"/>
              <w:spacing w:line="175" w:lineRule="exact" w:before="1"/>
              <w:ind w:right="80"/>
              <w:rPr>
                <w:sz w:val="16"/>
              </w:rPr>
            </w:pPr>
            <w:r>
              <w:rPr>
                <w:sz w:val="16"/>
              </w:rPr>
              <w:t>134.00</w:t>
            </w:r>
          </w:p>
        </w:tc>
        <w:tc>
          <w:tcPr>
            <w:tcW w:w="900" w:type="dxa"/>
          </w:tcPr>
          <w:p>
            <w:pPr>
              <w:pStyle w:val="TableParagraph"/>
              <w:spacing w:line="175" w:lineRule="exact" w:before="1"/>
              <w:ind w:right="79"/>
              <w:rPr>
                <w:sz w:val="16"/>
              </w:rPr>
            </w:pPr>
            <w:r>
              <w:rPr>
                <w:sz w:val="16"/>
              </w:rPr>
              <w:t>1.31</w:t>
            </w:r>
          </w:p>
        </w:tc>
        <w:tc>
          <w:tcPr>
            <w:tcW w:w="900" w:type="dxa"/>
          </w:tcPr>
          <w:p>
            <w:pPr>
              <w:pStyle w:val="TableParagraph"/>
              <w:spacing w:line="175" w:lineRule="exact" w:before="1"/>
              <w:ind w:left="0" w:right="296"/>
              <w:jc w:val="right"/>
              <w:rPr>
                <w:sz w:val="16"/>
              </w:rPr>
            </w:pPr>
            <w:r>
              <w:rPr>
                <w:sz w:val="16"/>
              </w:rPr>
              <w:t>0.40</w:t>
            </w:r>
          </w:p>
        </w:tc>
        <w:tc>
          <w:tcPr>
            <w:tcW w:w="900" w:type="dxa"/>
          </w:tcPr>
          <w:p>
            <w:pPr>
              <w:pStyle w:val="TableParagraph"/>
              <w:spacing w:line="175" w:lineRule="exact" w:before="1"/>
              <w:ind w:right="79"/>
              <w:rPr>
                <w:sz w:val="16"/>
              </w:rPr>
            </w:pPr>
            <w:r>
              <w:rPr>
                <w:sz w:val="16"/>
              </w:rPr>
              <w:t>0.58</w:t>
            </w:r>
          </w:p>
        </w:tc>
        <w:tc>
          <w:tcPr>
            <w:tcW w:w="900" w:type="dxa"/>
          </w:tcPr>
          <w:p>
            <w:pPr>
              <w:pStyle w:val="TableParagraph"/>
              <w:spacing w:line="175" w:lineRule="exact" w:before="1"/>
              <w:ind w:right="79"/>
              <w:rPr>
                <w:sz w:val="16"/>
              </w:rPr>
            </w:pPr>
            <w:r>
              <w:rPr>
                <w:sz w:val="16"/>
              </w:rPr>
              <w:t>13.53</w:t>
            </w:r>
          </w:p>
        </w:tc>
        <w:tc>
          <w:tcPr>
            <w:tcW w:w="1709" w:type="dxa"/>
          </w:tcPr>
          <w:p>
            <w:pPr>
              <w:pStyle w:val="TableParagraph"/>
              <w:spacing w:line="175" w:lineRule="exact" w:before="1"/>
              <w:ind w:left="121" w:right="110"/>
              <w:rPr>
                <w:sz w:val="16"/>
              </w:rPr>
            </w:pPr>
            <w:r>
              <w:rPr>
                <w:sz w:val="16"/>
              </w:rPr>
              <w:t>0.85</w:t>
            </w:r>
          </w:p>
        </w:tc>
      </w:tr>
      <w:tr>
        <w:trPr>
          <w:trHeight w:val="193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ind w:left="134"/>
              <w:jc w:val="left"/>
              <w:rPr>
                <w:sz w:val="16"/>
              </w:rPr>
            </w:pPr>
            <w:r>
              <w:rPr>
                <w:sz w:val="16"/>
              </w:rPr>
              <w:t>WCH-22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80"/>
              <w:rPr>
                <w:sz w:val="16"/>
              </w:rPr>
            </w:pPr>
            <w:r>
              <w:rPr>
                <w:sz w:val="16"/>
              </w:rPr>
              <w:t>136.00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79"/>
              <w:rPr>
                <w:sz w:val="16"/>
              </w:rPr>
            </w:pPr>
            <w:r>
              <w:rPr>
                <w:sz w:val="16"/>
              </w:rPr>
              <w:t>0.58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left="0" w:right="296"/>
              <w:jc w:val="right"/>
              <w:rPr>
                <w:sz w:val="16"/>
              </w:rPr>
            </w:pPr>
            <w:r>
              <w:rPr>
                <w:sz w:val="16"/>
              </w:rPr>
              <w:t>0.83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79"/>
              <w:rPr>
                <w:sz w:val="16"/>
              </w:rPr>
            </w:pPr>
            <w:r>
              <w:rPr>
                <w:sz w:val="16"/>
              </w:rPr>
              <w:t>1.12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79"/>
              <w:rPr>
                <w:sz w:val="16"/>
              </w:rPr>
            </w:pPr>
            <w:r>
              <w:rPr>
                <w:sz w:val="16"/>
              </w:rPr>
              <w:t>16.74</w:t>
            </w:r>
          </w:p>
        </w:tc>
        <w:tc>
          <w:tcPr>
            <w:tcW w:w="1709" w:type="dxa"/>
            <w:shd w:val="clear" w:color="auto" w:fill="D8E1F2"/>
          </w:tcPr>
          <w:p>
            <w:pPr>
              <w:pStyle w:val="TableParagraph"/>
              <w:ind w:left="121" w:right="110"/>
              <w:rPr>
                <w:sz w:val="16"/>
              </w:rPr>
            </w:pPr>
            <w:r>
              <w:rPr>
                <w:sz w:val="16"/>
              </w:rPr>
              <w:t>0.87</w:t>
            </w: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5" w:lineRule="exact" w:before="1"/>
              <w:ind w:left="134"/>
              <w:jc w:val="left"/>
              <w:rPr>
                <w:sz w:val="16"/>
              </w:rPr>
            </w:pPr>
            <w:r>
              <w:rPr>
                <w:sz w:val="16"/>
              </w:rPr>
              <w:t>WCH-23</w:t>
            </w:r>
          </w:p>
        </w:tc>
        <w:tc>
          <w:tcPr>
            <w:tcW w:w="900" w:type="dxa"/>
          </w:tcPr>
          <w:p>
            <w:pPr>
              <w:pStyle w:val="TableParagraph"/>
              <w:spacing w:line="175" w:lineRule="exact" w:before="1"/>
              <w:ind w:right="80"/>
              <w:rPr>
                <w:sz w:val="16"/>
              </w:rPr>
            </w:pPr>
            <w:r>
              <w:rPr>
                <w:sz w:val="16"/>
              </w:rPr>
              <w:t>137.25</w:t>
            </w:r>
          </w:p>
        </w:tc>
        <w:tc>
          <w:tcPr>
            <w:tcW w:w="900" w:type="dxa"/>
          </w:tcPr>
          <w:p>
            <w:pPr>
              <w:pStyle w:val="TableParagraph"/>
              <w:spacing w:line="175" w:lineRule="exact" w:before="1"/>
              <w:ind w:right="79"/>
              <w:rPr>
                <w:sz w:val="16"/>
              </w:rPr>
            </w:pPr>
            <w:r>
              <w:rPr>
                <w:sz w:val="16"/>
              </w:rPr>
              <w:t>1.13</w:t>
            </w:r>
          </w:p>
        </w:tc>
        <w:tc>
          <w:tcPr>
            <w:tcW w:w="900" w:type="dxa"/>
          </w:tcPr>
          <w:p>
            <w:pPr>
              <w:pStyle w:val="TableParagraph"/>
              <w:spacing w:line="175" w:lineRule="exact" w:before="1"/>
              <w:ind w:left="0" w:right="296"/>
              <w:jc w:val="right"/>
              <w:rPr>
                <w:sz w:val="16"/>
              </w:rPr>
            </w:pPr>
            <w:r>
              <w:rPr>
                <w:sz w:val="16"/>
              </w:rPr>
              <w:t>0.57</w:t>
            </w:r>
          </w:p>
        </w:tc>
        <w:tc>
          <w:tcPr>
            <w:tcW w:w="900" w:type="dxa"/>
          </w:tcPr>
          <w:p>
            <w:pPr>
              <w:pStyle w:val="TableParagraph"/>
              <w:spacing w:line="175" w:lineRule="exact" w:before="1"/>
              <w:ind w:right="79"/>
              <w:rPr>
                <w:sz w:val="16"/>
              </w:rPr>
            </w:pPr>
            <w:r>
              <w:rPr>
                <w:sz w:val="16"/>
              </w:rPr>
              <w:t>0.75</w:t>
            </w:r>
          </w:p>
        </w:tc>
        <w:tc>
          <w:tcPr>
            <w:tcW w:w="900" w:type="dxa"/>
          </w:tcPr>
          <w:p>
            <w:pPr>
              <w:pStyle w:val="TableParagraph"/>
              <w:spacing w:line="175" w:lineRule="exact" w:before="1"/>
              <w:ind w:right="79"/>
              <w:rPr>
                <w:sz w:val="16"/>
              </w:rPr>
            </w:pPr>
            <w:r>
              <w:rPr>
                <w:sz w:val="16"/>
              </w:rPr>
              <w:t>19.79</w:t>
            </w:r>
          </w:p>
        </w:tc>
        <w:tc>
          <w:tcPr>
            <w:tcW w:w="1709" w:type="dxa"/>
          </w:tcPr>
          <w:p>
            <w:pPr>
              <w:pStyle w:val="TableParagraph"/>
              <w:spacing w:line="175" w:lineRule="exact" w:before="1"/>
              <w:ind w:left="121" w:right="110"/>
              <w:rPr>
                <w:sz w:val="16"/>
              </w:rPr>
            </w:pPr>
            <w:r>
              <w:rPr>
                <w:sz w:val="16"/>
              </w:rPr>
              <w:t>0.89</w:t>
            </w:r>
          </w:p>
        </w:tc>
      </w:tr>
      <w:tr>
        <w:trPr>
          <w:trHeight w:val="196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spacing w:line="176" w:lineRule="exact"/>
              <w:ind w:left="134"/>
              <w:jc w:val="left"/>
              <w:rPr>
                <w:sz w:val="16"/>
              </w:rPr>
            </w:pPr>
            <w:r>
              <w:rPr>
                <w:sz w:val="16"/>
              </w:rPr>
              <w:t>WCH-24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0"/>
              <w:rPr>
                <w:sz w:val="16"/>
              </w:rPr>
            </w:pPr>
            <w:r>
              <w:rPr>
                <w:sz w:val="16"/>
              </w:rPr>
              <w:t>138.50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79"/>
              <w:rPr>
                <w:sz w:val="16"/>
              </w:rPr>
            </w:pPr>
            <w:r>
              <w:rPr>
                <w:sz w:val="16"/>
              </w:rPr>
              <w:t>1.11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left="0" w:right="296"/>
              <w:jc w:val="right"/>
              <w:rPr>
                <w:sz w:val="16"/>
              </w:rPr>
            </w:pPr>
            <w:r>
              <w:rPr>
                <w:sz w:val="16"/>
              </w:rPr>
              <w:t>0.51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79"/>
              <w:rPr>
                <w:sz w:val="16"/>
              </w:rPr>
            </w:pPr>
            <w:r>
              <w:rPr>
                <w:sz w:val="16"/>
              </w:rPr>
              <w:t>0.48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79"/>
              <w:rPr>
                <w:sz w:val="16"/>
              </w:rPr>
            </w:pPr>
            <w:r>
              <w:rPr>
                <w:sz w:val="16"/>
              </w:rPr>
              <w:t>17.57</w:t>
            </w:r>
          </w:p>
        </w:tc>
        <w:tc>
          <w:tcPr>
            <w:tcW w:w="1709" w:type="dxa"/>
            <w:shd w:val="clear" w:color="auto" w:fill="D8E1F2"/>
          </w:tcPr>
          <w:p>
            <w:pPr>
              <w:pStyle w:val="TableParagraph"/>
              <w:spacing w:line="176" w:lineRule="exact"/>
              <w:ind w:left="121" w:right="110"/>
              <w:rPr>
                <w:sz w:val="16"/>
              </w:rPr>
            </w:pPr>
            <w:r>
              <w:rPr>
                <w:sz w:val="16"/>
              </w:rPr>
              <w:t>0.89</w:t>
            </w:r>
          </w:p>
        </w:tc>
      </w:tr>
      <w:tr>
        <w:trPr>
          <w:trHeight w:val="193" w:hRule="atLeast"/>
        </w:trPr>
        <w:tc>
          <w:tcPr>
            <w:tcW w:w="806" w:type="dxa"/>
          </w:tcPr>
          <w:p>
            <w:pPr>
              <w:pStyle w:val="TableParagraph"/>
              <w:ind w:left="134"/>
              <w:jc w:val="left"/>
              <w:rPr>
                <w:sz w:val="16"/>
              </w:rPr>
            </w:pPr>
            <w:r>
              <w:rPr>
                <w:sz w:val="16"/>
              </w:rPr>
              <w:t>WCH-25</w:t>
            </w:r>
          </w:p>
        </w:tc>
        <w:tc>
          <w:tcPr>
            <w:tcW w:w="900" w:type="dxa"/>
          </w:tcPr>
          <w:p>
            <w:pPr>
              <w:pStyle w:val="TableParagraph"/>
              <w:ind w:right="80"/>
              <w:rPr>
                <w:sz w:val="16"/>
              </w:rPr>
            </w:pPr>
            <w:r>
              <w:rPr>
                <w:sz w:val="16"/>
              </w:rPr>
              <w:t>139.67</w:t>
            </w:r>
          </w:p>
        </w:tc>
        <w:tc>
          <w:tcPr>
            <w:tcW w:w="900" w:type="dxa"/>
          </w:tcPr>
          <w:p>
            <w:pPr>
              <w:pStyle w:val="TableParagraph"/>
              <w:ind w:right="79"/>
              <w:rPr>
                <w:sz w:val="16"/>
              </w:rPr>
            </w:pPr>
            <w:r>
              <w:rPr>
                <w:sz w:val="16"/>
              </w:rPr>
              <w:t>0.66</w:t>
            </w:r>
          </w:p>
        </w:tc>
        <w:tc>
          <w:tcPr>
            <w:tcW w:w="900" w:type="dxa"/>
          </w:tcPr>
          <w:p>
            <w:pPr>
              <w:pStyle w:val="TableParagraph"/>
              <w:ind w:left="0" w:right="296"/>
              <w:jc w:val="right"/>
              <w:rPr>
                <w:sz w:val="16"/>
              </w:rPr>
            </w:pPr>
            <w:r>
              <w:rPr>
                <w:sz w:val="16"/>
              </w:rPr>
              <w:t>0.74</w:t>
            </w:r>
          </w:p>
        </w:tc>
        <w:tc>
          <w:tcPr>
            <w:tcW w:w="900" w:type="dxa"/>
          </w:tcPr>
          <w:p>
            <w:pPr>
              <w:pStyle w:val="TableParagraph"/>
              <w:ind w:right="79"/>
              <w:rPr>
                <w:sz w:val="16"/>
              </w:rPr>
            </w:pPr>
            <w:r>
              <w:rPr>
                <w:sz w:val="16"/>
              </w:rPr>
              <w:t>0.59</w:t>
            </w:r>
          </w:p>
        </w:tc>
        <w:tc>
          <w:tcPr>
            <w:tcW w:w="900" w:type="dxa"/>
          </w:tcPr>
          <w:p>
            <w:pPr>
              <w:pStyle w:val="TableParagraph"/>
              <w:ind w:right="79"/>
              <w:rPr>
                <w:sz w:val="16"/>
              </w:rPr>
            </w:pPr>
            <w:r>
              <w:rPr>
                <w:sz w:val="16"/>
              </w:rPr>
              <w:t>17.55</w:t>
            </w:r>
          </w:p>
        </w:tc>
        <w:tc>
          <w:tcPr>
            <w:tcW w:w="1709" w:type="dxa"/>
          </w:tcPr>
          <w:p>
            <w:pPr>
              <w:pStyle w:val="TableParagraph"/>
              <w:ind w:left="121" w:right="110"/>
              <w:rPr>
                <w:sz w:val="16"/>
              </w:rPr>
            </w:pPr>
            <w:r>
              <w:rPr>
                <w:sz w:val="16"/>
              </w:rPr>
              <w:t>0.90</w:t>
            </w:r>
          </w:p>
        </w:tc>
      </w:tr>
      <w:tr>
        <w:trPr>
          <w:trHeight w:val="196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spacing w:line="176" w:lineRule="exact"/>
              <w:ind w:left="134"/>
              <w:jc w:val="left"/>
              <w:rPr>
                <w:sz w:val="16"/>
              </w:rPr>
            </w:pPr>
            <w:r>
              <w:rPr>
                <w:sz w:val="16"/>
              </w:rPr>
              <w:t>WCH-26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0"/>
              <w:rPr>
                <w:sz w:val="16"/>
              </w:rPr>
            </w:pPr>
            <w:r>
              <w:rPr>
                <w:sz w:val="16"/>
              </w:rPr>
              <w:t>141.08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79"/>
              <w:rPr>
                <w:sz w:val="16"/>
              </w:rPr>
            </w:pPr>
            <w:r>
              <w:rPr>
                <w:sz w:val="16"/>
              </w:rPr>
              <w:t>0.76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left="0" w:right="296"/>
              <w:jc w:val="right"/>
              <w:rPr>
                <w:sz w:val="16"/>
              </w:rPr>
            </w:pPr>
            <w:r>
              <w:rPr>
                <w:sz w:val="16"/>
              </w:rPr>
              <w:t>0.69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79"/>
              <w:rPr>
                <w:sz w:val="16"/>
              </w:rPr>
            </w:pPr>
            <w:r>
              <w:rPr>
                <w:sz w:val="16"/>
              </w:rPr>
              <w:t>0.78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79"/>
              <w:rPr>
                <w:sz w:val="16"/>
              </w:rPr>
            </w:pPr>
            <w:r>
              <w:rPr>
                <w:sz w:val="16"/>
              </w:rPr>
              <w:t>19.24</w:t>
            </w:r>
          </w:p>
        </w:tc>
        <w:tc>
          <w:tcPr>
            <w:tcW w:w="1709" w:type="dxa"/>
            <w:shd w:val="clear" w:color="auto" w:fill="D8E1F2"/>
          </w:tcPr>
          <w:p>
            <w:pPr>
              <w:pStyle w:val="TableParagraph"/>
              <w:spacing w:line="176" w:lineRule="exact"/>
              <w:ind w:left="121" w:right="110"/>
              <w:rPr>
                <w:sz w:val="16"/>
              </w:rPr>
            </w:pPr>
            <w:r>
              <w:rPr>
                <w:sz w:val="16"/>
              </w:rPr>
              <w:t>0.90</w:t>
            </w:r>
          </w:p>
        </w:tc>
      </w:tr>
      <w:tr>
        <w:trPr>
          <w:trHeight w:val="194" w:hRule="atLeast"/>
        </w:trPr>
        <w:tc>
          <w:tcPr>
            <w:tcW w:w="806" w:type="dxa"/>
          </w:tcPr>
          <w:p>
            <w:pPr>
              <w:pStyle w:val="TableParagraph"/>
              <w:ind w:left="134"/>
              <w:jc w:val="left"/>
              <w:rPr>
                <w:sz w:val="16"/>
              </w:rPr>
            </w:pPr>
            <w:r>
              <w:rPr>
                <w:sz w:val="16"/>
              </w:rPr>
              <w:t>WCH-27</w:t>
            </w:r>
          </w:p>
        </w:tc>
        <w:tc>
          <w:tcPr>
            <w:tcW w:w="900" w:type="dxa"/>
          </w:tcPr>
          <w:p>
            <w:pPr>
              <w:pStyle w:val="TableParagraph"/>
              <w:ind w:right="80"/>
              <w:rPr>
                <w:sz w:val="16"/>
              </w:rPr>
            </w:pPr>
            <w:r>
              <w:rPr>
                <w:sz w:val="16"/>
              </w:rPr>
              <w:t>142.25</w:t>
            </w:r>
          </w:p>
        </w:tc>
        <w:tc>
          <w:tcPr>
            <w:tcW w:w="900" w:type="dxa"/>
          </w:tcPr>
          <w:p>
            <w:pPr>
              <w:pStyle w:val="TableParagraph"/>
              <w:ind w:right="79"/>
              <w:rPr>
                <w:sz w:val="16"/>
              </w:rPr>
            </w:pPr>
            <w:r>
              <w:rPr>
                <w:sz w:val="16"/>
              </w:rPr>
              <w:t>0.93</w:t>
            </w:r>
          </w:p>
        </w:tc>
        <w:tc>
          <w:tcPr>
            <w:tcW w:w="900" w:type="dxa"/>
          </w:tcPr>
          <w:p>
            <w:pPr>
              <w:pStyle w:val="TableParagraph"/>
              <w:ind w:left="0" w:right="296"/>
              <w:jc w:val="right"/>
              <w:rPr>
                <w:sz w:val="16"/>
              </w:rPr>
            </w:pPr>
            <w:r>
              <w:rPr>
                <w:sz w:val="16"/>
              </w:rPr>
              <w:t>0.38</w:t>
            </w:r>
          </w:p>
        </w:tc>
        <w:tc>
          <w:tcPr>
            <w:tcW w:w="900" w:type="dxa"/>
          </w:tcPr>
          <w:p>
            <w:pPr>
              <w:pStyle w:val="TableParagraph"/>
              <w:ind w:right="79"/>
              <w:rPr>
                <w:sz w:val="16"/>
              </w:rPr>
            </w:pPr>
            <w:r>
              <w:rPr>
                <w:sz w:val="16"/>
              </w:rPr>
              <w:t>0.92</w:t>
            </w:r>
          </w:p>
        </w:tc>
        <w:tc>
          <w:tcPr>
            <w:tcW w:w="900" w:type="dxa"/>
          </w:tcPr>
          <w:p>
            <w:pPr>
              <w:pStyle w:val="TableParagraph"/>
              <w:ind w:right="79"/>
              <w:rPr>
                <w:sz w:val="16"/>
              </w:rPr>
            </w:pPr>
            <w:r>
              <w:rPr>
                <w:sz w:val="16"/>
              </w:rPr>
              <w:t>21.03</w:t>
            </w:r>
          </w:p>
        </w:tc>
        <w:tc>
          <w:tcPr>
            <w:tcW w:w="1709" w:type="dxa"/>
          </w:tcPr>
          <w:p>
            <w:pPr>
              <w:pStyle w:val="TableParagraph"/>
              <w:ind w:left="121" w:right="110"/>
              <w:rPr>
                <w:sz w:val="16"/>
              </w:rPr>
            </w:pPr>
            <w:r>
              <w:rPr>
                <w:sz w:val="16"/>
              </w:rPr>
              <w:t>0.90</w:t>
            </w:r>
          </w:p>
        </w:tc>
      </w:tr>
      <w:tr>
        <w:trPr>
          <w:trHeight w:val="196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spacing w:line="176" w:lineRule="exact"/>
              <w:ind w:left="134"/>
              <w:jc w:val="left"/>
              <w:rPr>
                <w:sz w:val="16"/>
              </w:rPr>
            </w:pPr>
            <w:r>
              <w:rPr>
                <w:sz w:val="16"/>
              </w:rPr>
              <w:t>WCH-28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0"/>
              <w:rPr>
                <w:sz w:val="16"/>
              </w:rPr>
            </w:pPr>
            <w:r>
              <w:rPr>
                <w:sz w:val="16"/>
              </w:rPr>
              <w:t>143.50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79"/>
              <w:rPr>
                <w:sz w:val="16"/>
              </w:rPr>
            </w:pPr>
            <w:r>
              <w:rPr>
                <w:sz w:val="16"/>
              </w:rPr>
              <w:t>0.87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left="0" w:right="296"/>
              <w:jc w:val="right"/>
              <w:rPr>
                <w:sz w:val="16"/>
              </w:rPr>
            </w:pPr>
            <w:r>
              <w:rPr>
                <w:sz w:val="16"/>
              </w:rPr>
              <w:t>0.62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79"/>
              <w:rPr>
                <w:sz w:val="16"/>
              </w:rPr>
            </w:pPr>
            <w:r>
              <w:rPr>
                <w:sz w:val="16"/>
              </w:rPr>
              <w:t>0.89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79"/>
              <w:rPr>
                <w:sz w:val="16"/>
              </w:rPr>
            </w:pPr>
            <w:r>
              <w:rPr>
                <w:sz w:val="16"/>
              </w:rPr>
              <w:t>24.06</w:t>
            </w:r>
          </w:p>
        </w:tc>
        <w:tc>
          <w:tcPr>
            <w:tcW w:w="1709" w:type="dxa"/>
            <w:shd w:val="clear" w:color="auto" w:fill="D8E1F2"/>
          </w:tcPr>
          <w:p>
            <w:pPr>
              <w:pStyle w:val="TableParagraph"/>
              <w:spacing w:line="176" w:lineRule="exact"/>
              <w:ind w:left="121" w:right="110"/>
              <w:rPr>
                <w:sz w:val="16"/>
              </w:rPr>
            </w:pPr>
            <w:r>
              <w:rPr>
                <w:sz w:val="16"/>
              </w:rPr>
              <w:t>0.91</w:t>
            </w:r>
          </w:p>
        </w:tc>
      </w:tr>
      <w:tr>
        <w:trPr>
          <w:trHeight w:val="194" w:hRule="atLeast"/>
        </w:trPr>
        <w:tc>
          <w:tcPr>
            <w:tcW w:w="806" w:type="dxa"/>
          </w:tcPr>
          <w:p>
            <w:pPr>
              <w:pStyle w:val="TableParagraph"/>
              <w:ind w:left="134"/>
              <w:jc w:val="left"/>
              <w:rPr>
                <w:sz w:val="16"/>
              </w:rPr>
            </w:pPr>
            <w:r>
              <w:rPr>
                <w:sz w:val="16"/>
              </w:rPr>
              <w:t>WCH-45</w:t>
            </w:r>
          </w:p>
        </w:tc>
        <w:tc>
          <w:tcPr>
            <w:tcW w:w="900" w:type="dxa"/>
          </w:tcPr>
          <w:p>
            <w:pPr>
              <w:pStyle w:val="TableParagraph"/>
              <w:ind w:right="80"/>
              <w:rPr>
                <w:sz w:val="16"/>
              </w:rPr>
            </w:pPr>
            <w:r>
              <w:rPr>
                <w:sz w:val="16"/>
              </w:rPr>
              <w:t>145.17</w:t>
            </w:r>
          </w:p>
        </w:tc>
        <w:tc>
          <w:tcPr>
            <w:tcW w:w="900" w:type="dxa"/>
          </w:tcPr>
          <w:p>
            <w:pPr>
              <w:pStyle w:val="TableParagraph"/>
              <w:ind w:right="79"/>
              <w:rPr>
                <w:sz w:val="16"/>
              </w:rPr>
            </w:pPr>
            <w:r>
              <w:rPr>
                <w:sz w:val="16"/>
              </w:rPr>
              <w:t>1.19</w:t>
            </w:r>
          </w:p>
        </w:tc>
        <w:tc>
          <w:tcPr>
            <w:tcW w:w="900" w:type="dxa"/>
          </w:tcPr>
          <w:p>
            <w:pPr>
              <w:pStyle w:val="TableParagraph"/>
              <w:ind w:left="0" w:right="296"/>
              <w:jc w:val="right"/>
              <w:rPr>
                <w:sz w:val="16"/>
              </w:rPr>
            </w:pPr>
            <w:r>
              <w:rPr>
                <w:sz w:val="16"/>
              </w:rPr>
              <w:t>0.29</w:t>
            </w:r>
          </w:p>
        </w:tc>
        <w:tc>
          <w:tcPr>
            <w:tcW w:w="900" w:type="dxa"/>
          </w:tcPr>
          <w:p>
            <w:pPr>
              <w:pStyle w:val="TableParagraph"/>
              <w:ind w:right="79"/>
              <w:rPr>
                <w:sz w:val="16"/>
              </w:rPr>
            </w:pPr>
            <w:r>
              <w:rPr>
                <w:sz w:val="16"/>
              </w:rPr>
              <w:t>0.51</w:t>
            </w:r>
          </w:p>
        </w:tc>
        <w:tc>
          <w:tcPr>
            <w:tcW w:w="900" w:type="dxa"/>
          </w:tcPr>
          <w:p>
            <w:pPr>
              <w:pStyle w:val="TableParagraph"/>
              <w:ind w:right="79"/>
              <w:rPr>
                <w:sz w:val="16"/>
              </w:rPr>
            </w:pPr>
            <w:r>
              <w:rPr>
                <w:sz w:val="16"/>
              </w:rPr>
              <w:t>20.04</w:t>
            </w:r>
          </w:p>
        </w:tc>
        <w:tc>
          <w:tcPr>
            <w:tcW w:w="1709" w:type="dxa"/>
          </w:tcPr>
          <w:p>
            <w:pPr>
              <w:pStyle w:val="TableParagraph"/>
              <w:ind w:left="121" w:right="110"/>
              <w:rPr>
                <w:sz w:val="16"/>
              </w:rPr>
            </w:pPr>
            <w:r>
              <w:rPr>
                <w:sz w:val="16"/>
              </w:rPr>
              <w:t>0.91</w:t>
            </w:r>
          </w:p>
        </w:tc>
      </w:tr>
      <w:tr>
        <w:trPr>
          <w:trHeight w:val="196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spacing w:line="176" w:lineRule="exact"/>
              <w:ind w:left="134"/>
              <w:jc w:val="left"/>
              <w:rPr>
                <w:sz w:val="16"/>
              </w:rPr>
            </w:pPr>
            <w:r>
              <w:rPr>
                <w:sz w:val="16"/>
              </w:rPr>
              <w:t>WCH-29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0"/>
              <w:rPr>
                <w:sz w:val="16"/>
              </w:rPr>
            </w:pPr>
            <w:r>
              <w:rPr>
                <w:sz w:val="16"/>
              </w:rPr>
              <w:t>146.00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79"/>
              <w:rPr>
                <w:sz w:val="16"/>
              </w:rPr>
            </w:pPr>
            <w:r>
              <w:rPr>
                <w:sz w:val="16"/>
              </w:rPr>
              <w:t>0.98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left="0" w:right="296"/>
              <w:jc w:val="right"/>
              <w:rPr>
                <w:sz w:val="16"/>
              </w:rPr>
            </w:pPr>
            <w:r>
              <w:rPr>
                <w:sz w:val="16"/>
              </w:rPr>
              <w:t>0.52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79"/>
              <w:rPr>
                <w:sz w:val="16"/>
              </w:rPr>
            </w:pPr>
            <w:r>
              <w:rPr>
                <w:sz w:val="16"/>
              </w:rPr>
              <w:t>0.83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79"/>
              <w:rPr>
                <w:sz w:val="16"/>
              </w:rPr>
            </w:pPr>
            <w:r>
              <w:rPr>
                <w:sz w:val="16"/>
              </w:rPr>
              <w:t>23.55</w:t>
            </w:r>
          </w:p>
        </w:tc>
        <w:tc>
          <w:tcPr>
            <w:tcW w:w="1709" w:type="dxa"/>
            <w:shd w:val="clear" w:color="auto" w:fill="D8E1F2"/>
          </w:tcPr>
          <w:p>
            <w:pPr>
              <w:pStyle w:val="TableParagraph"/>
              <w:spacing w:line="176" w:lineRule="exact"/>
              <w:ind w:left="121" w:right="110"/>
              <w:rPr>
                <w:sz w:val="16"/>
              </w:rPr>
            </w:pPr>
            <w:r>
              <w:rPr>
                <w:sz w:val="16"/>
              </w:rPr>
              <w:t>0.91</w:t>
            </w: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6" w:lineRule="exact"/>
              <w:ind w:left="134"/>
              <w:jc w:val="left"/>
              <w:rPr>
                <w:sz w:val="16"/>
              </w:rPr>
            </w:pPr>
            <w:r>
              <w:rPr>
                <w:sz w:val="16"/>
              </w:rPr>
              <w:t>WCH-30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80"/>
              <w:rPr>
                <w:sz w:val="16"/>
              </w:rPr>
            </w:pPr>
            <w:r>
              <w:rPr>
                <w:sz w:val="16"/>
              </w:rPr>
              <w:t>147.08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79"/>
              <w:rPr>
                <w:sz w:val="16"/>
              </w:rPr>
            </w:pPr>
            <w:r>
              <w:rPr>
                <w:sz w:val="16"/>
              </w:rPr>
              <w:t>1.36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left="0" w:right="296"/>
              <w:jc w:val="right"/>
              <w:rPr>
                <w:sz w:val="16"/>
              </w:rPr>
            </w:pPr>
            <w:r>
              <w:rPr>
                <w:sz w:val="16"/>
              </w:rPr>
              <w:t>0.46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79"/>
              <w:rPr>
                <w:sz w:val="16"/>
              </w:rPr>
            </w:pPr>
            <w:r>
              <w:rPr>
                <w:sz w:val="16"/>
              </w:rPr>
              <w:t>1.12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79"/>
              <w:rPr>
                <w:sz w:val="16"/>
              </w:rPr>
            </w:pPr>
            <w:r>
              <w:rPr>
                <w:sz w:val="16"/>
              </w:rPr>
              <w:t>34.32</w:t>
            </w:r>
          </w:p>
        </w:tc>
        <w:tc>
          <w:tcPr>
            <w:tcW w:w="1709" w:type="dxa"/>
          </w:tcPr>
          <w:p>
            <w:pPr>
              <w:pStyle w:val="TableParagraph"/>
              <w:spacing w:line="176" w:lineRule="exact"/>
              <w:ind w:left="121" w:right="110"/>
              <w:rPr>
                <w:sz w:val="16"/>
              </w:rPr>
            </w:pPr>
            <w:r>
              <w:rPr>
                <w:sz w:val="16"/>
              </w:rPr>
              <w:t>0.92</w:t>
            </w:r>
          </w:p>
        </w:tc>
      </w:tr>
    </w:tbl>
    <w:p>
      <w:pPr>
        <w:spacing w:after="0" w:line="176" w:lineRule="exact"/>
        <w:rPr>
          <w:sz w:val="16"/>
        </w:rPr>
        <w:sectPr>
          <w:footerReference w:type="default" r:id="rId75"/>
          <w:pgSz w:w="12240" w:h="15840"/>
          <w:pgMar w:footer="1014" w:header="0" w:top="1440" w:bottom="1200" w:left="1320" w:right="820"/>
        </w:sectPr>
      </w:pPr>
    </w:p>
    <w:tbl>
      <w:tblPr>
        <w:tblW w:w="0" w:type="auto"/>
        <w:jc w:val="left"/>
        <w:tblInd w:w="1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6"/>
        <w:gridCol w:w="900"/>
        <w:gridCol w:w="900"/>
        <w:gridCol w:w="900"/>
        <w:gridCol w:w="900"/>
        <w:gridCol w:w="900"/>
        <w:gridCol w:w="1709"/>
      </w:tblGrid>
      <w:tr>
        <w:trPr>
          <w:trHeight w:val="196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spacing w:line="176" w:lineRule="exact"/>
              <w:ind w:left="134"/>
              <w:jc w:val="left"/>
              <w:rPr>
                <w:sz w:val="16"/>
              </w:rPr>
            </w:pPr>
            <w:r>
              <w:rPr>
                <w:sz w:val="16"/>
              </w:rPr>
              <w:t>WCH-31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0"/>
              <w:rPr>
                <w:sz w:val="16"/>
              </w:rPr>
            </w:pPr>
            <w:r>
              <w:rPr>
                <w:sz w:val="16"/>
              </w:rPr>
              <w:t>149.25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79"/>
              <w:rPr>
                <w:sz w:val="16"/>
              </w:rPr>
            </w:pPr>
            <w:r>
              <w:rPr>
                <w:sz w:val="16"/>
              </w:rPr>
              <w:t>1.34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left="0" w:right="296"/>
              <w:jc w:val="right"/>
              <w:rPr>
                <w:sz w:val="16"/>
              </w:rPr>
            </w:pPr>
            <w:r>
              <w:rPr>
                <w:sz w:val="16"/>
              </w:rPr>
              <w:t>0.70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79"/>
              <w:rPr>
                <w:sz w:val="16"/>
              </w:rPr>
            </w:pPr>
            <w:r>
              <w:rPr>
                <w:sz w:val="16"/>
              </w:rPr>
              <w:t>0.86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left="266"/>
              <w:jc w:val="left"/>
              <w:rPr>
                <w:sz w:val="16"/>
              </w:rPr>
            </w:pPr>
            <w:r>
              <w:rPr>
                <w:sz w:val="16"/>
              </w:rPr>
              <w:t>31.56</w:t>
            </w:r>
          </w:p>
        </w:tc>
        <w:tc>
          <w:tcPr>
            <w:tcW w:w="1709" w:type="dxa"/>
            <w:shd w:val="clear" w:color="auto" w:fill="D8E1F2"/>
          </w:tcPr>
          <w:p>
            <w:pPr>
              <w:pStyle w:val="TableParagraph"/>
              <w:spacing w:line="176" w:lineRule="exact"/>
              <w:ind w:left="121" w:right="110"/>
              <w:rPr>
                <w:sz w:val="16"/>
              </w:rPr>
            </w:pPr>
            <w:r>
              <w:rPr>
                <w:sz w:val="16"/>
              </w:rPr>
              <w:t>0.92</w:t>
            </w:r>
          </w:p>
        </w:tc>
      </w:tr>
      <w:tr>
        <w:trPr>
          <w:trHeight w:val="193" w:hRule="atLeast"/>
        </w:trPr>
        <w:tc>
          <w:tcPr>
            <w:tcW w:w="806" w:type="dxa"/>
          </w:tcPr>
          <w:p>
            <w:pPr>
              <w:pStyle w:val="TableParagraph"/>
              <w:ind w:left="134"/>
              <w:jc w:val="left"/>
              <w:rPr>
                <w:sz w:val="16"/>
              </w:rPr>
            </w:pPr>
            <w:r>
              <w:rPr>
                <w:sz w:val="16"/>
              </w:rPr>
              <w:t>WCH-46</w:t>
            </w:r>
          </w:p>
        </w:tc>
        <w:tc>
          <w:tcPr>
            <w:tcW w:w="900" w:type="dxa"/>
          </w:tcPr>
          <w:p>
            <w:pPr>
              <w:pStyle w:val="TableParagraph"/>
              <w:ind w:right="80"/>
              <w:rPr>
                <w:sz w:val="16"/>
              </w:rPr>
            </w:pPr>
            <w:r>
              <w:rPr>
                <w:sz w:val="16"/>
              </w:rPr>
              <w:t>153.58</w:t>
            </w:r>
          </w:p>
        </w:tc>
        <w:tc>
          <w:tcPr>
            <w:tcW w:w="900" w:type="dxa"/>
          </w:tcPr>
          <w:p>
            <w:pPr>
              <w:pStyle w:val="TableParagraph"/>
              <w:ind w:right="79"/>
              <w:rPr>
                <w:sz w:val="16"/>
              </w:rPr>
            </w:pPr>
            <w:r>
              <w:rPr>
                <w:sz w:val="16"/>
              </w:rPr>
              <w:t>1.09</w:t>
            </w:r>
          </w:p>
        </w:tc>
        <w:tc>
          <w:tcPr>
            <w:tcW w:w="900" w:type="dxa"/>
          </w:tcPr>
          <w:p>
            <w:pPr>
              <w:pStyle w:val="TableParagraph"/>
              <w:ind w:left="0" w:right="296"/>
              <w:jc w:val="right"/>
              <w:rPr>
                <w:sz w:val="16"/>
              </w:rPr>
            </w:pPr>
            <w:r>
              <w:rPr>
                <w:sz w:val="16"/>
              </w:rPr>
              <w:t>0.67</w:t>
            </w:r>
          </w:p>
        </w:tc>
        <w:tc>
          <w:tcPr>
            <w:tcW w:w="900" w:type="dxa"/>
          </w:tcPr>
          <w:p>
            <w:pPr>
              <w:pStyle w:val="TableParagraph"/>
              <w:ind w:right="79"/>
              <w:rPr>
                <w:sz w:val="16"/>
              </w:rPr>
            </w:pPr>
            <w:r>
              <w:rPr>
                <w:sz w:val="16"/>
              </w:rPr>
              <w:t>0.52</w:t>
            </w:r>
          </w:p>
        </w:tc>
        <w:tc>
          <w:tcPr>
            <w:tcW w:w="900" w:type="dxa"/>
          </w:tcPr>
          <w:p>
            <w:pPr>
              <w:pStyle w:val="TableParagraph"/>
              <w:ind w:left="266"/>
              <w:jc w:val="left"/>
              <w:rPr>
                <w:sz w:val="16"/>
              </w:rPr>
            </w:pPr>
            <w:r>
              <w:rPr>
                <w:sz w:val="16"/>
              </w:rPr>
              <w:t>16.69</w:t>
            </w:r>
          </w:p>
        </w:tc>
        <w:tc>
          <w:tcPr>
            <w:tcW w:w="1709" w:type="dxa"/>
          </w:tcPr>
          <w:p>
            <w:pPr>
              <w:pStyle w:val="TableParagraph"/>
              <w:ind w:left="121" w:right="110"/>
              <w:rPr>
                <w:sz w:val="16"/>
              </w:rPr>
            </w:pPr>
            <w:r>
              <w:rPr>
                <w:sz w:val="16"/>
              </w:rPr>
              <w:t>0.88</w:t>
            </w:r>
          </w:p>
        </w:tc>
      </w:tr>
      <w:tr>
        <w:trPr>
          <w:trHeight w:val="196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spacing w:line="176" w:lineRule="exact"/>
              <w:ind w:left="134"/>
              <w:jc w:val="left"/>
              <w:rPr>
                <w:sz w:val="16"/>
              </w:rPr>
            </w:pPr>
            <w:r>
              <w:rPr>
                <w:sz w:val="16"/>
              </w:rPr>
              <w:t>WCH-47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0"/>
              <w:rPr>
                <w:sz w:val="16"/>
              </w:rPr>
            </w:pPr>
            <w:r>
              <w:rPr>
                <w:sz w:val="16"/>
              </w:rPr>
              <w:t>160.17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79"/>
              <w:rPr>
                <w:sz w:val="16"/>
              </w:rPr>
            </w:pPr>
            <w:r>
              <w:rPr>
                <w:sz w:val="16"/>
              </w:rPr>
              <w:t>0.73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left="0" w:right="296"/>
              <w:jc w:val="right"/>
              <w:rPr>
                <w:sz w:val="16"/>
              </w:rPr>
            </w:pPr>
            <w:r>
              <w:rPr>
                <w:sz w:val="16"/>
              </w:rPr>
              <w:t>0.28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79"/>
              <w:rPr>
                <w:sz w:val="16"/>
              </w:rPr>
            </w:pPr>
            <w:r>
              <w:rPr>
                <w:sz w:val="16"/>
              </w:rPr>
              <w:t>0.87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left="266"/>
              <w:jc w:val="left"/>
              <w:rPr>
                <w:sz w:val="16"/>
              </w:rPr>
            </w:pPr>
            <w:r>
              <w:rPr>
                <w:sz w:val="16"/>
              </w:rPr>
              <w:t>13.94</w:t>
            </w:r>
          </w:p>
        </w:tc>
        <w:tc>
          <w:tcPr>
            <w:tcW w:w="1709" w:type="dxa"/>
            <w:shd w:val="clear" w:color="auto" w:fill="D8E1F2"/>
          </w:tcPr>
          <w:p>
            <w:pPr>
              <w:pStyle w:val="TableParagraph"/>
              <w:spacing w:line="176" w:lineRule="exact"/>
              <w:ind w:left="121" w:right="110"/>
              <w:rPr>
                <w:sz w:val="16"/>
              </w:rPr>
            </w:pPr>
            <w:r>
              <w:rPr>
                <w:sz w:val="16"/>
              </w:rPr>
              <w:t>0.88</w:t>
            </w:r>
          </w:p>
        </w:tc>
      </w:tr>
      <w:tr>
        <w:trPr>
          <w:trHeight w:val="194" w:hRule="atLeast"/>
        </w:trPr>
        <w:tc>
          <w:tcPr>
            <w:tcW w:w="806" w:type="dxa"/>
          </w:tcPr>
          <w:p>
            <w:pPr>
              <w:pStyle w:val="TableParagraph"/>
              <w:ind w:left="134"/>
              <w:jc w:val="left"/>
              <w:rPr>
                <w:sz w:val="16"/>
              </w:rPr>
            </w:pPr>
            <w:r>
              <w:rPr>
                <w:sz w:val="16"/>
              </w:rPr>
              <w:t>WCH-48</w:t>
            </w:r>
          </w:p>
        </w:tc>
        <w:tc>
          <w:tcPr>
            <w:tcW w:w="900" w:type="dxa"/>
          </w:tcPr>
          <w:p>
            <w:pPr>
              <w:pStyle w:val="TableParagraph"/>
              <w:ind w:right="80"/>
              <w:rPr>
                <w:sz w:val="16"/>
              </w:rPr>
            </w:pPr>
            <w:r>
              <w:rPr>
                <w:sz w:val="16"/>
              </w:rPr>
              <w:t>160.83</w:t>
            </w:r>
          </w:p>
        </w:tc>
        <w:tc>
          <w:tcPr>
            <w:tcW w:w="900" w:type="dxa"/>
          </w:tcPr>
          <w:p>
            <w:pPr>
              <w:pStyle w:val="TableParagraph"/>
              <w:ind w:right="79"/>
              <w:rPr>
                <w:sz w:val="16"/>
              </w:rPr>
            </w:pPr>
            <w:r>
              <w:rPr>
                <w:sz w:val="16"/>
              </w:rPr>
              <w:t>0.65</w:t>
            </w:r>
          </w:p>
        </w:tc>
        <w:tc>
          <w:tcPr>
            <w:tcW w:w="900" w:type="dxa"/>
          </w:tcPr>
          <w:p>
            <w:pPr>
              <w:pStyle w:val="TableParagraph"/>
              <w:ind w:left="0" w:right="296"/>
              <w:jc w:val="right"/>
              <w:rPr>
                <w:sz w:val="16"/>
              </w:rPr>
            </w:pPr>
            <w:r>
              <w:rPr>
                <w:sz w:val="16"/>
              </w:rPr>
              <w:t>0.60</w:t>
            </w:r>
          </w:p>
        </w:tc>
        <w:tc>
          <w:tcPr>
            <w:tcW w:w="900" w:type="dxa"/>
          </w:tcPr>
          <w:p>
            <w:pPr>
              <w:pStyle w:val="TableParagraph"/>
              <w:ind w:right="79"/>
              <w:rPr>
                <w:sz w:val="16"/>
              </w:rPr>
            </w:pPr>
            <w:r>
              <w:rPr>
                <w:sz w:val="16"/>
              </w:rPr>
              <w:t>0.76</w:t>
            </w:r>
          </w:p>
        </w:tc>
        <w:tc>
          <w:tcPr>
            <w:tcW w:w="900" w:type="dxa"/>
          </w:tcPr>
          <w:p>
            <w:pPr>
              <w:pStyle w:val="TableParagraph"/>
              <w:ind w:left="266"/>
              <w:jc w:val="left"/>
              <w:rPr>
                <w:sz w:val="16"/>
              </w:rPr>
            </w:pPr>
            <w:r>
              <w:rPr>
                <w:sz w:val="16"/>
              </w:rPr>
              <w:t>14.65</w:t>
            </w:r>
          </w:p>
        </w:tc>
        <w:tc>
          <w:tcPr>
            <w:tcW w:w="1709" w:type="dxa"/>
          </w:tcPr>
          <w:p>
            <w:pPr>
              <w:pStyle w:val="TableParagraph"/>
              <w:ind w:left="121" w:right="110"/>
              <w:rPr>
                <w:sz w:val="16"/>
              </w:rPr>
            </w:pPr>
            <w:r>
              <w:rPr>
                <w:sz w:val="16"/>
              </w:rPr>
              <w:t>0.88</w:t>
            </w:r>
          </w:p>
        </w:tc>
      </w:tr>
      <w:tr>
        <w:trPr>
          <w:trHeight w:val="196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spacing w:line="176" w:lineRule="exact"/>
              <w:ind w:left="134"/>
              <w:jc w:val="left"/>
              <w:rPr>
                <w:sz w:val="16"/>
              </w:rPr>
            </w:pPr>
            <w:r>
              <w:rPr>
                <w:sz w:val="16"/>
              </w:rPr>
              <w:t>WCH-49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0"/>
              <w:rPr>
                <w:sz w:val="16"/>
              </w:rPr>
            </w:pPr>
            <w:r>
              <w:rPr>
                <w:sz w:val="16"/>
              </w:rPr>
              <w:t>169.33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79"/>
              <w:rPr>
                <w:sz w:val="16"/>
              </w:rPr>
            </w:pPr>
            <w:r>
              <w:rPr>
                <w:sz w:val="16"/>
              </w:rPr>
              <w:t>0.61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left="0" w:right="296"/>
              <w:jc w:val="right"/>
              <w:rPr>
                <w:sz w:val="16"/>
              </w:rPr>
            </w:pPr>
            <w:r>
              <w:rPr>
                <w:sz w:val="16"/>
              </w:rPr>
              <w:t>0.34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79"/>
              <w:rPr>
                <w:sz w:val="16"/>
              </w:rPr>
            </w:pPr>
            <w:r>
              <w:rPr>
                <w:sz w:val="16"/>
              </w:rPr>
              <w:t>0.57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left="266"/>
              <w:jc w:val="left"/>
              <w:rPr>
                <w:sz w:val="16"/>
              </w:rPr>
            </w:pPr>
            <w:r>
              <w:rPr>
                <w:sz w:val="16"/>
              </w:rPr>
              <w:t>14.15</w:t>
            </w:r>
          </w:p>
        </w:tc>
        <w:tc>
          <w:tcPr>
            <w:tcW w:w="1709" w:type="dxa"/>
            <w:shd w:val="clear" w:color="auto" w:fill="D8E1F2"/>
          </w:tcPr>
          <w:p>
            <w:pPr>
              <w:pStyle w:val="TableParagraph"/>
              <w:spacing w:line="176" w:lineRule="exact"/>
              <w:ind w:left="121" w:right="110"/>
              <w:rPr>
                <w:sz w:val="16"/>
              </w:rPr>
            </w:pPr>
            <w:r>
              <w:rPr>
                <w:sz w:val="16"/>
              </w:rPr>
              <w:t>0.90</w:t>
            </w:r>
          </w:p>
        </w:tc>
      </w:tr>
      <w:tr>
        <w:trPr>
          <w:trHeight w:val="194" w:hRule="atLeast"/>
        </w:trPr>
        <w:tc>
          <w:tcPr>
            <w:tcW w:w="806" w:type="dxa"/>
          </w:tcPr>
          <w:p>
            <w:pPr>
              <w:pStyle w:val="TableParagraph"/>
              <w:ind w:left="134"/>
              <w:jc w:val="left"/>
              <w:rPr>
                <w:sz w:val="16"/>
              </w:rPr>
            </w:pPr>
            <w:r>
              <w:rPr>
                <w:sz w:val="16"/>
              </w:rPr>
              <w:t>WCH-50</w:t>
            </w:r>
          </w:p>
        </w:tc>
        <w:tc>
          <w:tcPr>
            <w:tcW w:w="900" w:type="dxa"/>
          </w:tcPr>
          <w:p>
            <w:pPr>
              <w:pStyle w:val="TableParagraph"/>
              <w:ind w:right="80"/>
              <w:rPr>
                <w:sz w:val="16"/>
              </w:rPr>
            </w:pPr>
            <w:r>
              <w:rPr>
                <w:sz w:val="16"/>
              </w:rPr>
              <w:t>170.92</w:t>
            </w:r>
          </w:p>
        </w:tc>
        <w:tc>
          <w:tcPr>
            <w:tcW w:w="900" w:type="dxa"/>
          </w:tcPr>
          <w:p>
            <w:pPr>
              <w:pStyle w:val="TableParagraph"/>
              <w:ind w:right="79"/>
              <w:rPr>
                <w:sz w:val="16"/>
              </w:rPr>
            </w:pPr>
            <w:r>
              <w:rPr>
                <w:sz w:val="16"/>
              </w:rPr>
              <w:t>0.56</w:t>
            </w:r>
          </w:p>
        </w:tc>
        <w:tc>
          <w:tcPr>
            <w:tcW w:w="900" w:type="dxa"/>
          </w:tcPr>
          <w:p>
            <w:pPr>
              <w:pStyle w:val="TableParagraph"/>
              <w:ind w:left="0" w:right="296"/>
              <w:jc w:val="right"/>
              <w:rPr>
                <w:sz w:val="16"/>
              </w:rPr>
            </w:pPr>
            <w:r>
              <w:rPr>
                <w:sz w:val="16"/>
              </w:rPr>
              <w:t>1.10</w:t>
            </w:r>
          </w:p>
        </w:tc>
        <w:tc>
          <w:tcPr>
            <w:tcW w:w="900" w:type="dxa"/>
          </w:tcPr>
          <w:p>
            <w:pPr>
              <w:pStyle w:val="TableParagraph"/>
              <w:ind w:right="79"/>
              <w:rPr>
                <w:sz w:val="16"/>
              </w:rPr>
            </w:pPr>
            <w:r>
              <w:rPr>
                <w:sz w:val="16"/>
              </w:rPr>
              <w:t>0.81</w:t>
            </w:r>
          </w:p>
        </w:tc>
        <w:tc>
          <w:tcPr>
            <w:tcW w:w="900" w:type="dxa"/>
          </w:tcPr>
          <w:p>
            <w:pPr>
              <w:pStyle w:val="TableParagraph"/>
              <w:ind w:left="266"/>
              <w:jc w:val="left"/>
              <w:rPr>
                <w:sz w:val="16"/>
              </w:rPr>
            </w:pPr>
            <w:r>
              <w:rPr>
                <w:sz w:val="16"/>
              </w:rPr>
              <w:t>10.37</w:t>
            </w:r>
          </w:p>
        </w:tc>
        <w:tc>
          <w:tcPr>
            <w:tcW w:w="1709" w:type="dxa"/>
          </w:tcPr>
          <w:p>
            <w:pPr>
              <w:pStyle w:val="TableParagraph"/>
              <w:ind w:left="121" w:right="110"/>
              <w:rPr>
                <w:sz w:val="16"/>
              </w:rPr>
            </w:pPr>
            <w:r>
              <w:rPr>
                <w:sz w:val="16"/>
              </w:rPr>
              <w:t>0.81</w:t>
            </w:r>
          </w:p>
        </w:tc>
      </w:tr>
      <w:tr>
        <w:trPr>
          <w:trHeight w:val="196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spacing w:line="176" w:lineRule="exact"/>
              <w:ind w:left="134"/>
              <w:jc w:val="left"/>
              <w:rPr>
                <w:sz w:val="16"/>
              </w:rPr>
            </w:pPr>
            <w:r>
              <w:rPr>
                <w:sz w:val="16"/>
              </w:rPr>
              <w:t>WCH-51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0"/>
              <w:rPr>
                <w:sz w:val="16"/>
              </w:rPr>
            </w:pPr>
            <w:r>
              <w:rPr>
                <w:sz w:val="16"/>
              </w:rPr>
              <w:t>172.00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79"/>
              <w:rPr>
                <w:sz w:val="16"/>
              </w:rPr>
            </w:pPr>
            <w:r>
              <w:rPr>
                <w:sz w:val="16"/>
              </w:rPr>
              <w:t>0.38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left="0" w:right="296"/>
              <w:jc w:val="right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79"/>
              <w:rPr>
                <w:sz w:val="16"/>
              </w:rPr>
            </w:pPr>
            <w:r>
              <w:rPr>
                <w:sz w:val="16"/>
              </w:rPr>
              <w:t>0.45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left="307"/>
              <w:jc w:val="left"/>
              <w:rPr>
                <w:sz w:val="16"/>
              </w:rPr>
            </w:pPr>
            <w:r>
              <w:rPr>
                <w:sz w:val="16"/>
              </w:rPr>
              <w:t>7.31</w:t>
            </w:r>
          </w:p>
        </w:tc>
        <w:tc>
          <w:tcPr>
            <w:tcW w:w="1709" w:type="dxa"/>
            <w:shd w:val="clear" w:color="auto" w:fill="D8E1F2"/>
          </w:tcPr>
          <w:p>
            <w:pPr>
              <w:pStyle w:val="TableParagraph"/>
              <w:spacing w:line="176" w:lineRule="exact"/>
              <w:ind w:left="121" w:right="110"/>
              <w:rPr>
                <w:sz w:val="16"/>
              </w:rPr>
            </w:pPr>
            <w:r>
              <w:rPr>
                <w:sz w:val="16"/>
              </w:rPr>
              <w:t>0.87</w:t>
            </w:r>
          </w:p>
        </w:tc>
      </w:tr>
      <w:tr>
        <w:trPr>
          <w:trHeight w:val="194" w:hRule="atLeast"/>
        </w:trPr>
        <w:tc>
          <w:tcPr>
            <w:tcW w:w="806" w:type="dxa"/>
          </w:tcPr>
          <w:p>
            <w:pPr>
              <w:pStyle w:val="TableParagraph"/>
              <w:ind w:left="134"/>
              <w:jc w:val="left"/>
              <w:rPr>
                <w:sz w:val="16"/>
              </w:rPr>
            </w:pPr>
            <w:r>
              <w:rPr>
                <w:sz w:val="16"/>
              </w:rPr>
              <w:t>WCH-52</w:t>
            </w:r>
          </w:p>
        </w:tc>
        <w:tc>
          <w:tcPr>
            <w:tcW w:w="900" w:type="dxa"/>
          </w:tcPr>
          <w:p>
            <w:pPr>
              <w:pStyle w:val="TableParagraph"/>
              <w:ind w:right="80"/>
              <w:rPr>
                <w:sz w:val="16"/>
              </w:rPr>
            </w:pPr>
            <w:r>
              <w:rPr>
                <w:sz w:val="16"/>
              </w:rPr>
              <w:t>172.42</w:t>
            </w:r>
          </w:p>
        </w:tc>
        <w:tc>
          <w:tcPr>
            <w:tcW w:w="900" w:type="dxa"/>
          </w:tcPr>
          <w:p>
            <w:pPr>
              <w:pStyle w:val="TableParagraph"/>
              <w:ind w:right="79"/>
              <w:rPr>
                <w:sz w:val="16"/>
              </w:rPr>
            </w:pPr>
            <w:r>
              <w:rPr>
                <w:sz w:val="16"/>
              </w:rPr>
              <w:t>0.17</w:t>
            </w:r>
          </w:p>
        </w:tc>
        <w:tc>
          <w:tcPr>
            <w:tcW w:w="900" w:type="dxa"/>
          </w:tcPr>
          <w:p>
            <w:pPr>
              <w:pStyle w:val="TableParagraph"/>
              <w:ind w:left="0" w:right="296"/>
              <w:jc w:val="right"/>
              <w:rPr>
                <w:sz w:val="16"/>
              </w:rPr>
            </w:pPr>
            <w:r>
              <w:rPr>
                <w:sz w:val="16"/>
              </w:rPr>
              <w:t>0.18</w:t>
            </w:r>
          </w:p>
        </w:tc>
        <w:tc>
          <w:tcPr>
            <w:tcW w:w="900" w:type="dxa"/>
          </w:tcPr>
          <w:p>
            <w:pPr>
              <w:pStyle w:val="TableParagraph"/>
              <w:ind w:right="79"/>
              <w:rPr>
                <w:sz w:val="16"/>
              </w:rPr>
            </w:pPr>
            <w:r>
              <w:rPr>
                <w:sz w:val="16"/>
              </w:rPr>
              <w:t>0.21</w:t>
            </w:r>
          </w:p>
        </w:tc>
        <w:tc>
          <w:tcPr>
            <w:tcW w:w="900" w:type="dxa"/>
          </w:tcPr>
          <w:p>
            <w:pPr>
              <w:pStyle w:val="TableParagraph"/>
              <w:ind w:left="307"/>
              <w:jc w:val="left"/>
              <w:rPr>
                <w:sz w:val="16"/>
              </w:rPr>
            </w:pPr>
            <w:r>
              <w:rPr>
                <w:sz w:val="16"/>
              </w:rPr>
              <w:t>5.95</w:t>
            </w:r>
          </w:p>
        </w:tc>
        <w:tc>
          <w:tcPr>
            <w:tcW w:w="1709" w:type="dxa"/>
          </w:tcPr>
          <w:p>
            <w:pPr>
              <w:pStyle w:val="TableParagraph"/>
              <w:ind w:left="121" w:right="110"/>
              <w:rPr>
                <w:sz w:val="16"/>
              </w:rPr>
            </w:pPr>
            <w:r>
              <w:rPr>
                <w:sz w:val="16"/>
              </w:rPr>
              <w:t>0.91</w:t>
            </w:r>
          </w:p>
        </w:tc>
      </w:tr>
      <w:tr>
        <w:trPr>
          <w:trHeight w:val="196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134"/>
              <w:jc w:val="left"/>
              <w:rPr>
                <w:sz w:val="16"/>
              </w:rPr>
            </w:pPr>
            <w:r>
              <w:rPr>
                <w:sz w:val="16"/>
              </w:rPr>
              <w:t>WCH-53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right="80"/>
              <w:rPr>
                <w:sz w:val="16"/>
              </w:rPr>
            </w:pPr>
            <w:r>
              <w:rPr>
                <w:sz w:val="16"/>
              </w:rPr>
              <w:t>173.83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right="79"/>
              <w:rPr>
                <w:sz w:val="16"/>
              </w:rPr>
            </w:pPr>
            <w:r>
              <w:rPr>
                <w:sz w:val="16"/>
              </w:rPr>
              <w:t>0.47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0" w:right="296"/>
              <w:jc w:val="right"/>
              <w:rPr>
                <w:sz w:val="16"/>
              </w:rPr>
            </w:pPr>
            <w:r>
              <w:rPr>
                <w:sz w:val="16"/>
              </w:rPr>
              <w:t>1.02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right="79"/>
              <w:rPr>
                <w:sz w:val="16"/>
              </w:rPr>
            </w:pPr>
            <w:r>
              <w:rPr>
                <w:sz w:val="16"/>
              </w:rPr>
              <w:t>0.38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307"/>
              <w:jc w:val="left"/>
              <w:rPr>
                <w:sz w:val="16"/>
              </w:rPr>
            </w:pPr>
            <w:r>
              <w:rPr>
                <w:sz w:val="16"/>
              </w:rPr>
              <w:t>9.01</w:t>
            </w:r>
          </w:p>
        </w:tc>
        <w:tc>
          <w:tcPr>
            <w:tcW w:w="1709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121" w:right="110"/>
              <w:rPr>
                <w:sz w:val="16"/>
              </w:rPr>
            </w:pPr>
            <w:r>
              <w:rPr>
                <w:sz w:val="16"/>
              </w:rPr>
              <w:t>0.83</w:t>
            </w:r>
          </w:p>
        </w:tc>
      </w:tr>
      <w:tr>
        <w:trPr>
          <w:trHeight w:val="194" w:hRule="atLeast"/>
        </w:trPr>
        <w:tc>
          <w:tcPr>
            <w:tcW w:w="806" w:type="dxa"/>
          </w:tcPr>
          <w:p>
            <w:pPr>
              <w:pStyle w:val="TableParagraph"/>
              <w:ind w:left="134"/>
              <w:jc w:val="left"/>
              <w:rPr>
                <w:sz w:val="16"/>
              </w:rPr>
            </w:pPr>
            <w:r>
              <w:rPr>
                <w:sz w:val="16"/>
              </w:rPr>
              <w:t>WCH-54</w:t>
            </w:r>
          </w:p>
        </w:tc>
        <w:tc>
          <w:tcPr>
            <w:tcW w:w="900" w:type="dxa"/>
          </w:tcPr>
          <w:p>
            <w:pPr>
              <w:pStyle w:val="TableParagraph"/>
              <w:ind w:right="80"/>
              <w:rPr>
                <w:sz w:val="16"/>
              </w:rPr>
            </w:pPr>
            <w:r>
              <w:rPr>
                <w:sz w:val="16"/>
              </w:rPr>
              <w:t>174.42</w:t>
            </w:r>
          </w:p>
        </w:tc>
        <w:tc>
          <w:tcPr>
            <w:tcW w:w="900" w:type="dxa"/>
          </w:tcPr>
          <w:p>
            <w:pPr>
              <w:pStyle w:val="TableParagraph"/>
              <w:ind w:right="79"/>
              <w:rPr>
                <w:sz w:val="16"/>
              </w:rPr>
            </w:pPr>
            <w:r>
              <w:rPr>
                <w:sz w:val="16"/>
              </w:rPr>
              <w:t>0.35</w:t>
            </w:r>
          </w:p>
        </w:tc>
        <w:tc>
          <w:tcPr>
            <w:tcW w:w="900" w:type="dxa"/>
          </w:tcPr>
          <w:p>
            <w:pPr>
              <w:pStyle w:val="TableParagraph"/>
              <w:ind w:left="0" w:right="296"/>
              <w:jc w:val="right"/>
              <w:rPr>
                <w:sz w:val="16"/>
              </w:rPr>
            </w:pPr>
            <w:r>
              <w:rPr>
                <w:sz w:val="16"/>
              </w:rPr>
              <w:t>0.21</w:t>
            </w:r>
          </w:p>
        </w:tc>
        <w:tc>
          <w:tcPr>
            <w:tcW w:w="900" w:type="dxa"/>
          </w:tcPr>
          <w:p>
            <w:pPr>
              <w:pStyle w:val="TableParagraph"/>
              <w:ind w:right="79"/>
              <w:rPr>
                <w:sz w:val="16"/>
              </w:rPr>
            </w:pPr>
            <w:r>
              <w:rPr>
                <w:sz w:val="16"/>
              </w:rPr>
              <w:t>0.22</w:t>
            </w:r>
          </w:p>
        </w:tc>
        <w:tc>
          <w:tcPr>
            <w:tcW w:w="900" w:type="dxa"/>
          </w:tcPr>
          <w:p>
            <w:pPr>
              <w:pStyle w:val="TableParagraph"/>
              <w:ind w:left="307"/>
              <w:jc w:val="left"/>
              <w:rPr>
                <w:sz w:val="16"/>
              </w:rPr>
            </w:pPr>
            <w:r>
              <w:rPr>
                <w:sz w:val="16"/>
              </w:rPr>
              <w:t>5.92</w:t>
            </w:r>
          </w:p>
        </w:tc>
        <w:tc>
          <w:tcPr>
            <w:tcW w:w="1709" w:type="dxa"/>
          </w:tcPr>
          <w:p>
            <w:pPr>
              <w:pStyle w:val="TableParagraph"/>
              <w:ind w:left="121" w:right="110"/>
              <w:rPr>
                <w:sz w:val="16"/>
              </w:rPr>
            </w:pPr>
            <w:r>
              <w:rPr>
                <w:sz w:val="16"/>
              </w:rPr>
              <w:t>0.88</w:t>
            </w:r>
          </w:p>
        </w:tc>
      </w:tr>
      <w:tr>
        <w:trPr>
          <w:trHeight w:val="196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134"/>
              <w:jc w:val="left"/>
              <w:rPr>
                <w:sz w:val="16"/>
              </w:rPr>
            </w:pPr>
            <w:r>
              <w:rPr>
                <w:sz w:val="16"/>
              </w:rPr>
              <w:t>WCH-32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right="80"/>
              <w:rPr>
                <w:sz w:val="16"/>
              </w:rPr>
            </w:pPr>
            <w:r>
              <w:rPr>
                <w:sz w:val="16"/>
              </w:rPr>
              <w:t>181.92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right="79"/>
              <w:rPr>
                <w:sz w:val="16"/>
              </w:rPr>
            </w:pPr>
            <w:r>
              <w:rPr>
                <w:sz w:val="16"/>
              </w:rPr>
              <w:t>0.79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0" w:right="296"/>
              <w:jc w:val="right"/>
              <w:rPr>
                <w:sz w:val="16"/>
              </w:rPr>
            </w:pPr>
            <w:r>
              <w:rPr>
                <w:sz w:val="16"/>
              </w:rPr>
              <w:t>0.56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right="79"/>
              <w:rPr>
                <w:sz w:val="16"/>
              </w:rPr>
            </w:pPr>
            <w:r>
              <w:rPr>
                <w:sz w:val="16"/>
              </w:rPr>
              <w:t>0.39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266"/>
              <w:jc w:val="left"/>
              <w:rPr>
                <w:sz w:val="16"/>
              </w:rPr>
            </w:pPr>
            <w:r>
              <w:rPr>
                <w:sz w:val="16"/>
              </w:rPr>
              <w:t>16.30</w:t>
            </w:r>
          </w:p>
        </w:tc>
        <w:tc>
          <w:tcPr>
            <w:tcW w:w="1709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121" w:right="110"/>
              <w:rPr>
                <w:sz w:val="16"/>
              </w:rPr>
            </w:pPr>
            <w:r>
              <w:rPr>
                <w:sz w:val="16"/>
              </w:rPr>
              <w:t>0.90</w:t>
            </w: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6" w:lineRule="exact"/>
              <w:ind w:left="134"/>
              <w:jc w:val="left"/>
              <w:rPr>
                <w:sz w:val="16"/>
              </w:rPr>
            </w:pPr>
            <w:r>
              <w:rPr>
                <w:sz w:val="16"/>
              </w:rPr>
              <w:t>WCH-33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80"/>
              <w:rPr>
                <w:sz w:val="16"/>
              </w:rPr>
            </w:pPr>
            <w:r>
              <w:rPr>
                <w:sz w:val="16"/>
              </w:rPr>
              <w:t>185.92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79"/>
              <w:rPr>
                <w:sz w:val="16"/>
              </w:rPr>
            </w:pPr>
            <w:r>
              <w:rPr>
                <w:sz w:val="16"/>
              </w:rPr>
              <w:t>3.66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left="0" w:right="296"/>
              <w:jc w:val="right"/>
              <w:rPr>
                <w:sz w:val="16"/>
              </w:rPr>
            </w:pPr>
            <w:r>
              <w:rPr>
                <w:sz w:val="16"/>
              </w:rPr>
              <w:t>1.50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79"/>
              <w:rPr>
                <w:sz w:val="16"/>
              </w:rPr>
            </w:pPr>
            <w:r>
              <w:rPr>
                <w:sz w:val="16"/>
              </w:rPr>
              <w:t>3.65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left="266"/>
              <w:jc w:val="left"/>
              <w:rPr>
                <w:sz w:val="16"/>
              </w:rPr>
            </w:pPr>
            <w:r>
              <w:rPr>
                <w:sz w:val="16"/>
              </w:rPr>
              <w:t>65.11</w:t>
            </w:r>
          </w:p>
        </w:tc>
        <w:tc>
          <w:tcPr>
            <w:tcW w:w="1709" w:type="dxa"/>
          </w:tcPr>
          <w:p>
            <w:pPr>
              <w:pStyle w:val="TableParagraph"/>
              <w:spacing w:line="176" w:lineRule="exact"/>
              <w:ind w:left="121" w:right="110"/>
              <w:rPr>
                <w:sz w:val="16"/>
              </w:rPr>
            </w:pPr>
            <w:r>
              <w:rPr>
                <w:sz w:val="16"/>
              </w:rPr>
              <w:t>0.88</w:t>
            </w:r>
          </w:p>
        </w:tc>
      </w:tr>
      <w:tr>
        <w:trPr>
          <w:trHeight w:val="194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ind w:left="134"/>
              <w:jc w:val="left"/>
              <w:rPr>
                <w:sz w:val="16"/>
              </w:rPr>
            </w:pPr>
            <w:r>
              <w:rPr>
                <w:sz w:val="16"/>
              </w:rPr>
              <w:t>WCH-34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80"/>
              <w:rPr>
                <w:sz w:val="16"/>
              </w:rPr>
            </w:pPr>
            <w:r>
              <w:rPr>
                <w:sz w:val="16"/>
              </w:rPr>
              <w:t>186.42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79"/>
              <w:rPr>
                <w:sz w:val="16"/>
              </w:rPr>
            </w:pPr>
            <w:r>
              <w:rPr>
                <w:sz w:val="16"/>
              </w:rPr>
              <w:t>0.81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left="0" w:right="296"/>
              <w:jc w:val="right"/>
              <w:rPr>
                <w:sz w:val="16"/>
              </w:rPr>
            </w:pPr>
            <w:r>
              <w:rPr>
                <w:sz w:val="16"/>
              </w:rPr>
              <w:t>0.16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79"/>
              <w:rPr>
                <w:sz w:val="16"/>
              </w:rPr>
            </w:pPr>
            <w:r>
              <w:rPr>
                <w:sz w:val="16"/>
              </w:rPr>
              <w:t>0.50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left="266"/>
              <w:jc w:val="left"/>
              <w:rPr>
                <w:sz w:val="16"/>
              </w:rPr>
            </w:pPr>
            <w:r>
              <w:rPr>
                <w:sz w:val="16"/>
              </w:rPr>
              <w:t>12.76</w:t>
            </w:r>
          </w:p>
        </w:tc>
        <w:tc>
          <w:tcPr>
            <w:tcW w:w="1709" w:type="dxa"/>
            <w:shd w:val="clear" w:color="auto" w:fill="D8E1F2"/>
          </w:tcPr>
          <w:p>
            <w:pPr>
              <w:pStyle w:val="TableParagraph"/>
              <w:ind w:left="121" w:right="110"/>
              <w:rPr>
                <w:sz w:val="16"/>
              </w:rPr>
            </w:pPr>
            <w:r>
              <w:rPr>
                <w:sz w:val="16"/>
              </w:rPr>
              <w:t>0.90</w:t>
            </w: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6" w:lineRule="exact"/>
              <w:ind w:left="134"/>
              <w:jc w:val="left"/>
              <w:rPr>
                <w:sz w:val="16"/>
              </w:rPr>
            </w:pPr>
            <w:r>
              <w:rPr>
                <w:sz w:val="16"/>
              </w:rPr>
              <w:t>WCH-35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80"/>
              <w:rPr>
                <w:sz w:val="16"/>
              </w:rPr>
            </w:pPr>
            <w:r>
              <w:rPr>
                <w:sz w:val="16"/>
              </w:rPr>
              <w:t>187.75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79"/>
              <w:rPr>
                <w:sz w:val="16"/>
              </w:rPr>
            </w:pPr>
            <w:r>
              <w:rPr>
                <w:sz w:val="16"/>
              </w:rPr>
              <w:t>0.34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left="0" w:right="296"/>
              <w:jc w:val="right"/>
              <w:rPr>
                <w:sz w:val="16"/>
              </w:rPr>
            </w:pPr>
            <w:r>
              <w:rPr>
                <w:sz w:val="16"/>
              </w:rPr>
              <w:t>0.31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79"/>
              <w:rPr>
                <w:sz w:val="16"/>
              </w:rPr>
            </w:pPr>
            <w:r>
              <w:rPr>
                <w:sz w:val="16"/>
              </w:rPr>
              <w:t>0.30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left="307"/>
              <w:jc w:val="left"/>
              <w:rPr>
                <w:sz w:val="16"/>
              </w:rPr>
            </w:pPr>
            <w:r>
              <w:rPr>
                <w:sz w:val="16"/>
              </w:rPr>
              <w:t>9.87</w:t>
            </w:r>
          </w:p>
        </w:tc>
        <w:tc>
          <w:tcPr>
            <w:tcW w:w="1709" w:type="dxa"/>
          </w:tcPr>
          <w:p>
            <w:pPr>
              <w:pStyle w:val="TableParagraph"/>
              <w:spacing w:line="176" w:lineRule="exact"/>
              <w:ind w:left="121" w:right="110"/>
              <w:rPr>
                <w:sz w:val="16"/>
              </w:rPr>
            </w:pPr>
            <w:r>
              <w:rPr>
                <w:sz w:val="16"/>
              </w:rPr>
              <w:t>0.91</w:t>
            </w:r>
          </w:p>
        </w:tc>
      </w:tr>
      <w:tr>
        <w:trPr>
          <w:trHeight w:val="194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ind w:left="134"/>
              <w:jc w:val="left"/>
              <w:rPr>
                <w:sz w:val="16"/>
              </w:rPr>
            </w:pPr>
            <w:r>
              <w:rPr>
                <w:sz w:val="16"/>
              </w:rPr>
              <w:t>WCH-36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80"/>
              <w:rPr>
                <w:sz w:val="16"/>
              </w:rPr>
            </w:pPr>
            <w:r>
              <w:rPr>
                <w:sz w:val="16"/>
              </w:rPr>
              <w:t>191.08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79"/>
              <w:rPr>
                <w:sz w:val="16"/>
              </w:rPr>
            </w:pPr>
            <w:r>
              <w:rPr>
                <w:sz w:val="16"/>
              </w:rPr>
              <w:t>0.38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left="0" w:right="296"/>
              <w:jc w:val="right"/>
              <w:rPr>
                <w:sz w:val="16"/>
              </w:rPr>
            </w:pPr>
            <w:r>
              <w:rPr>
                <w:sz w:val="16"/>
              </w:rPr>
              <w:t>0.18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79"/>
              <w:rPr>
                <w:sz w:val="16"/>
              </w:rPr>
            </w:pPr>
            <w:r>
              <w:rPr>
                <w:sz w:val="16"/>
              </w:rPr>
              <w:t>0.39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left="266"/>
              <w:jc w:val="left"/>
              <w:rPr>
                <w:sz w:val="16"/>
              </w:rPr>
            </w:pPr>
            <w:r>
              <w:rPr>
                <w:sz w:val="16"/>
              </w:rPr>
              <w:t>11.85</w:t>
            </w:r>
          </w:p>
        </w:tc>
        <w:tc>
          <w:tcPr>
            <w:tcW w:w="1709" w:type="dxa"/>
            <w:shd w:val="clear" w:color="auto" w:fill="D8E1F2"/>
          </w:tcPr>
          <w:p>
            <w:pPr>
              <w:pStyle w:val="TableParagraph"/>
              <w:ind w:left="121" w:right="110"/>
              <w:rPr>
                <w:sz w:val="16"/>
              </w:rPr>
            </w:pPr>
            <w:r>
              <w:rPr>
                <w:sz w:val="16"/>
              </w:rPr>
              <w:t>0.93</w:t>
            </w: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6" w:lineRule="exact"/>
              <w:ind w:left="134"/>
              <w:jc w:val="left"/>
              <w:rPr>
                <w:sz w:val="16"/>
              </w:rPr>
            </w:pPr>
            <w:r>
              <w:rPr>
                <w:sz w:val="16"/>
              </w:rPr>
              <w:t>WCH-55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80"/>
              <w:rPr>
                <w:sz w:val="16"/>
              </w:rPr>
            </w:pPr>
            <w:r>
              <w:rPr>
                <w:sz w:val="16"/>
              </w:rPr>
              <w:t>191.33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79"/>
              <w:rPr>
                <w:sz w:val="16"/>
              </w:rPr>
            </w:pPr>
            <w:r>
              <w:rPr>
                <w:sz w:val="16"/>
              </w:rPr>
              <w:t>0.52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left="0" w:right="296"/>
              <w:jc w:val="right"/>
              <w:rPr>
                <w:sz w:val="16"/>
              </w:rPr>
            </w:pPr>
            <w:r>
              <w:rPr>
                <w:sz w:val="16"/>
              </w:rPr>
              <w:t>0.23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79"/>
              <w:rPr>
                <w:sz w:val="16"/>
              </w:rPr>
            </w:pPr>
            <w:r>
              <w:rPr>
                <w:sz w:val="16"/>
              </w:rPr>
              <w:t>0.42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left="307"/>
              <w:jc w:val="left"/>
              <w:rPr>
                <w:sz w:val="16"/>
              </w:rPr>
            </w:pPr>
            <w:r>
              <w:rPr>
                <w:sz w:val="16"/>
              </w:rPr>
              <w:t>7.09</w:t>
            </w:r>
          </w:p>
        </w:tc>
        <w:tc>
          <w:tcPr>
            <w:tcW w:w="1709" w:type="dxa"/>
          </w:tcPr>
          <w:p>
            <w:pPr>
              <w:pStyle w:val="TableParagraph"/>
              <w:spacing w:line="176" w:lineRule="exact"/>
              <w:ind w:left="121" w:right="110"/>
              <w:rPr>
                <w:sz w:val="16"/>
              </w:rPr>
            </w:pPr>
            <w:r>
              <w:rPr>
                <w:sz w:val="16"/>
              </w:rPr>
              <w:t>0.86</w:t>
            </w:r>
          </w:p>
        </w:tc>
      </w:tr>
      <w:tr>
        <w:trPr>
          <w:trHeight w:val="194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ind w:left="134"/>
              <w:jc w:val="left"/>
              <w:rPr>
                <w:sz w:val="16"/>
              </w:rPr>
            </w:pPr>
            <w:r>
              <w:rPr>
                <w:sz w:val="16"/>
              </w:rPr>
              <w:t>WCH-37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80"/>
              <w:rPr>
                <w:sz w:val="16"/>
              </w:rPr>
            </w:pPr>
            <w:r>
              <w:rPr>
                <w:sz w:val="16"/>
              </w:rPr>
              <w:t>192.75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79"/>
              <w:rPr>
                <w:sz w:val="16"/>
              </w:rPr>
            </w:pPr>
            <w:r>
              <w:rPr>
                <w:sz w:val="16"/>
              </w:rPr>
              <w:t>0.41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left="0" w:right="296"/>
              <w:jc w:val="right"/>
              <w:rPr>
                <w:sz w:val="16"/>
              </w:rPr>
            </w:pPr>
            <w:r>
              <w:rPr>
                <w:sz w:val="16"/>
              </w:rPr>
              <w:t>0.18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79"/>
              <w:rPr>
                <w:sz w:val="16"/>
              </w:rPr>
            </w:pPr>
            <w:r>
              <w:rPr>
                <w:sz w:val="16"/>
              </w:rPr>
              <w:t>0.26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left="266"/>
              <w:jc w:val="left"/>
              <w:rPr>
                <w:sz w:val="16"/>
              </w:rPr>
            </w:pPr>
            <w:r>
              <w:rPr>
                <w:sz w:val="16"/>
              </w:rPr>
              <w:t>10.69</w:t>
            </w:r>
          </w:p>
        </w:tc>
        <w:tc>
          <w:tcPr>
            <w:tcW w:w="1709" w:type="dxa"/>
            <w:shd w:val="clear" w:color="auto" w:fill="D8E1F2"/>
          </w:tcPr>
          <w:p>
            <w:pPr>
              <w:pStyle w:val="TableParagraph"/>
              <w:ind w:left="121" w:right="110"/>
              <w:rPr>
                <w:sz w:val="16"/>
              </w:rPr>
            </w:pPr>
            <w:r>
              <w:rPr>
                <w:sz w:val="16"/>
              </w:rPr>
              <w:t>0.93</w:t>
            </w: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6" w:lineRule="exact"/>
              <w:ind w:left="134"/>
              <w:jc w:val="left"/>
              <w:rPr>
                <w:sz w:val="16"/>
              </w:rPr>
            </w:pPr>
            <w:r>
              <w:rPr>
                <w:sz w:val="16"/>
              </w:rPr>
              <w:t>WCH-38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80"/>
              <w:rPr>
                <w:sz w:val="16"/>
              </w:rPr>
            </w:pPr>
            <w:r>
              <w:rPr>
                <w:sz w:val="16"/>
              </w:rPr>
              <w:t>193.75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79"/>
              <w:rPr>
                <w:sz w:val="16"/>
              </w:rPr>
            </w:pPr>
            <w:r>
              <w:rPr>
                <w:sz w:val="16"/>
              </w:rPr>
              <w:t>0.20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left="0" w:right="296"/>
              <w:jc w:val="right"/>
              <w:rPr>
                <w:sz w:val="16"/>
              </w:rPr>
            </w:pPr>
            <w:r>
              <w:rPr>
                <w:sz w:val="16"/>
              </w:rPr>
              <w:t>0.15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79"/>
              <w:rPr>
                <w:sz w:val="16"/>
              </w:rPr>
            </w:pPr>
            <w:r>
              <w:rPr>
                <w:sz w:val="16"/>
              </w:rPr>
              <w:t>0.16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left="307"/>
              <w:jc w:val="left"/>
              <w:rPr>
                <w:sz w:val="16"/>
              </w:rPr>
            </w:pPr>
            <w:r>
              <w:rPr>
                <w:sz w:val="16"/>
              </w:rPr>
              <w:t>3.65</w:t>
            </w:r>
          </w:p>
        </w:tc>
        <w:tc>
          <w:tcPr>
            <w:tcW w:w="1709" w:type="dxa"/>
          </w:tcPr>
          <w:p>
            <w:pPr>
              <w:pStyle w:val="TableParagraph"/>
              <w:spacing w:line="176" w:lineRule="exact"/>
              <w:ind w:left="121" w:right="110"/>
              <w:rPr>
                <w:sz w:val="16"/>
              </w:rPr>
            </w:pPr>
            <w:r>
              <w:rPr>
                <w:sz w:val="16"/>
              </w:rPr>
              <w:t>0.88</w:t>
            </w:r>
          </w:p>
        </w:tc>
      </w:tr>
      <w:tr>
        <w:trPr>
          <w:trHeight w:val="194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ind w:left="134"/>
              <w:jc w:val="left"/>
              <w:rPr>
                <w:sz w:val="16"/>
              </w:rPr>
            </w:pPr>
            <w:r>
              <w:rPr>
                <w:sz w:val="16"/>
              </w:rPr>
              <w:t>WCH-39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80"/>
              <w:rPr>
                <w:sz w:val="16"/>
              </w:rPr>
            </w:pPr>
            <w:r>
              <w:rPr>
                <w:sz w:val="16"/>
              </w:rPr>
              <w:t>195.42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79"/>
              <w:rPr>
                <w:sz w:val="16"/>
              </w:rPr>
            </w:pPr>
            <w:r>
              <w:rPr>
                <w:sz w:val="16"/>
              </w:rPr>
              <w:t>0.20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left="0" w:right="296"/>
              <w:jc w:val="right"/>
              <w:rPr>
                <w:sz w:val="16"/>
              </w:rPr>
            </w:pPr>
            <w:r>
              <w:rPr>
                <w:sz w:val="16"/>
              </w:rPr>
              <w:t>0.18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79"/>
              <w:rPr>
                <w:sz w:val="16"/>
              </w:rPr>
            </w:pPr>
            <w:r>
              <w:rPr>
                <w:sz w:val="16"/>
              </w:rPr>
              <w:t>0.14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left="307"/>
              <w:jc w:val="left"/>
              <w:rPr>
                <w:sz w:val="16"/>
              </w:rPr>
            </w:pPr>
            <w:r>
              <w:rPr>
                <w:sz w:val="16"/>
              </w:rPr>
              <w:t>6.60</w:t>
            </w:r>
          </w:p>
        </w:tc>
        <w:tc>
          <w:tcPr>
            <w:tcW w:w="1709" w:type="dxa"/>
            <w:shd w:val="clear" w:color="auto" w:fill="D8E1F2"/>
          </w:tcPr>
          <w:p>
            <w:pPr>
              <w:pStyle w:val="TableParagraph"/>
              <w:ind w:left="121" w:right="110"/>
              <w:rPr>
                <w:sz w:val="16"/>
              </w:rPr>
            </w:pPr>
            <w:r>
              <w:rPr>
                <w:sz w:val="16"/>
              </w:rPr>
              <w:t>0.93</w:t>
            </w: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5" w:lineRule="exact" w:before="1"/>
              <w:ind w:left="134"/>
              <w:jc w:val="left"/>
              <w:rPr>
                <w:sz w:val="16"/>
              </w:rPr>
            </w:pPr>
            <w:r>
              <w:rPr>
                <w:sz w:val="16"/>
              </w:rPr>
              <w:t>WCH-56</w:t>
            </w:r>
          </w:p>
        </w:tc>
        <w:tc>
          <w:tcPr>
            <w:tcW w:w="900" w:type="dxa"/>
          </w:tcPr>
          <w:p>
            <w:pPr>
              <w:pStyle w:val="TableParagraph"/>
              <w:spacing w:line="175" w:lineRule="exact" w:before="1"/>
              <w:ind w:right="80"/>
              <w:rPr>
                <w:sz w:val="16"/>
              </w:rPr>
            </w:pPr>
            <w:r>
              <w:rPr>
                <w:sz w:val="16"/>
              </w:rPr>
              <w:t>203.08</w:t>
            </w:r>
          </w:p>
        </w:tc>
        <w:tc>
          <w:tcPr>
            <w:tcW w:w="900" w:type="dxa"/>
          </w:tcPr>
          <w:p>
            <w:pPr>
              <w:pStyle w:val="TableParagraph"/>
              <w:spacing w:line="175" w:lineRule="exact" w:before="1"/>
              <w:ind w:right="79"/>
              <w:rPr>
                <w:sz w:val="16"/>
              </w:rPr>
            </w:pPr>
            <w:r>
              <w:rPr>
                <w:sz w:val="16"/>
              </w:rPr>
              <w:t>0.54</w:t>
            </w:r>
          </w:p>
        </w:tc>
        <w:tc>
          <w:tcPr>
            <w:tcW w:w="900" w:type="dxa"/>
          </w:tcPr>
          <w:p>
            <w:pPr>
              <w:pStyle w:val="TableParagraph"/>
              <w:spacing w:line="175" w:lineRule="exact" w:before="1"/>
              <w:ind w:left="0" w:right="296"/>
              <w:jc w:val="right"/>
              <w:rPr>
                <w:sz w:val="16"/>
              </w:rPr>
            </w:pPr>
            <w:r>
              <w:rPr>
                <w:sz w:val="16"/>
              </w:rPr>
              <w:t>0.23</w:t>
            </w:r>
          </w:p>
        </w:tc>
        <w:tc>
          <w:tcPr>
            <w:tcW w:w="900" w:type="dxa"/>
          </w:tcPr>
          <w:p>
            <w:pPr>
              <w:pStyle w:val="TableParagraph"/>
              <w:spacing w:line="175" w:lineRule="exact" w:before="1"/>
              <w:ind w:right="79"/>
              <w:rPr>
                <w:sz w:val="16"/>
              </w:rPr>
            </w:pPr>
            <w:r>
              <w:rPr>
                <w:sz w:val="16"/>
              </w:rPr>
              <w:t>0.50</w:t>
            </w:r>
          </w:p>
        </w:tc>
        <w:tc>
          <w:tcPr>
            <w:tcW w:w="900" w:type="dxa"/>
          </w:tcPr>
          <w:p>
            <w:pPr>
              <w:pStyle w:val="TableParagraph"/>
              <w:spacing w:line="175" w:lineRule="exact" w:before="1"/>
              <w:ind w:left="307"/>
              <w:jc w:val="left"/>
              <w:rPr>
                <w:sz w:val="16"/>
              </w:rPr>
            </w:pPr>
            <w:r>
              <w:rPr>
                <w:sz w:val="16"/>
              </w:rPr>
              <w:t>9.75</w:t>
            </w:r>
          </w:p>
        </w:tc>
        <w:tc>
          <w:tcPr>
            <w:tcW w:w="1709" w:type="dxa"/>
          </w:tcPr>
          <w:p>
            <w:pPr>
              <w:pStyle w:val="TableParagraph"/>
              <w:spacing w:line="175" w:lineRule="exact" w:before="1"/>
              <w:ind w:left="121" w:right="110"/>
              <w:rPr>
                <w:sz w:val="16"/>
              </w:rPr>
            </w:pPr>
            <w:r>
              <w:rPr>
                <w:sz w:val="16"/>
              </w:rPr>
              <w:t>0.88</w:t>
            </w:r>
          </w:p>
        </w:tc>
      </w:tr>
      <w:tr>
        <w:trPr>
          <w:trHeight w:val="193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ind w:left="134"/>
              <w:jc w:val="left"/>
              <w:rPr>
                <w:sz w:val="16"/>
              </w:rPr>
            </w:pPr>
            <w:r>
              <w:rPr>
                <w:sz w:val="16"/>
              </w:rPr>
              <w:t>WCH-57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80"/>
              <w:rPr>
                <w:sz w:val="16"/>
              </w:rPr>
            </w:pPr>
            <w:r>
              <w:rPr>
                <w:sz w:val="16"/>
              </w:rPr>
              <w:t>207.00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79"/>
              <w:rPr>
                <w:sz w:val="16"/>
              </w:rPr>
            </w:pPr>
            <w:r>
              <w:rPr>
                <w:sz w:val="16"/>
              </w:rPr>
              <w:t>0.46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left="0" w:right="296"/>
              <w:jc w:val="right"/>
              <w:rPr>
                <w:sz w:val="16"/>
              </w:rPr>
            </w:pPr>
            <w:r>
              <w:rPr>
                <w:sz w:val="16"/>
              </w:rPr>
              <w:t>0.78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79"/>
              <w:rPr>
                <w:sz w:val="16"/>
              </w:rPr>
            </w:pPr>
            <w:r>
              <w:rPr>
                <w:sz w:val="16"/>
              </w:rPr>
              <w:t>0.16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left="307"/>
              <w:jc w:val="left"/>
              <w:rPr>
                <w:sz w:val="16"/>
              </w:rPr>
            </w:pPr>
            <w:r>
              <w:rPr>
                <w:sz w:val="16"/>
              </w:rPr>
              <w:t>6.13</w:t>
            </w:r>
          </w:p>
        </w:tc>
        <w:tc>
          <w:tcPr>
            <w:tcW w:w="1709" w:type="dxa"/>
            <w:shd w:val="clear" w:color="auto" w:fill="D8E1F2"/>
          </w:tcPr>
          <w:p>
            <w:pPr>
              <w:pStyle w:val="TableParagraph"/>
              <w:ind w:left="121" w:right="110"/>
              <w:rPr>
                <w:sz w:val="16"/>
              </w:rPr>
            </w:pPr>
            <w:r>
              <w:rPr>
                <w:sz w:val="16"/>
              </w:rPr>
              <w:t>0.81</w:t>
            </w: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5" w:lineRule="exact" w:before="1"/>
              <w:ind w:left="134"/>
              <w:jc w:val="left"/>
              <w:rPr>
                <w:sz w:val="16"/>
              </w:rPr>
            </w:pPr>
            <w:r>
              <w:rPr>
                <w:sz w:val="16"/>
              </w:rPr>
              <w:t>WCH-58</w:t>
            </w:r>
          </w:p>
        </w:tc>
        <w:tc>
          <w:tcPr>
            <w:tcW w:w="900" w:type="dxa"/>
          </w:tcPr>
          <w:p>
            <w:pPr>
              <w:pStyle w:val="TableParagraph"/>
              <w:spacing w:line="175" w:lineRule="exact" w:before="1"/>
              <w:ind w:right="80"/>
              <w:rPr>
                <w:sz w:val="16"/>
              </w:rPr>
            </w:pPr>
            <w:r>
              <w:rPr>
                <w:sz w:val="16"/>
              </w:rPr>
              <w:t>209.92</w:t>
            </w:r>
          </w:p>
        </w:tc>
        <w:tc>
          <w:tcPr>
            <w:tcW w:w="900" w:type="dxa"/>
          </w:tcPr>
          <w:p>
            <w:pPr>
              <w:pStyle w:val="TableParagraph"/>
              <w:spacing w:line="175" w:lineRule="exact" w:before="1"/>
              <w:ind w:right="79"/>
              <w:rPr>
                <w:sz w:val="16"/>
              </w:rPr>
            </w:pPr>
            <w:r>
              <w:rPr>
                <w:sz w:val="16"/>
              </w:rPr>
              <w:t>0.23</w:t>
            </w:r>
          </w:p>
        </w:tc>
        <w:tc>
          <w:tcPr>
            <w:tcW w:w="900" w:type="dxa"/>
          </w:tcPr>
          <w:p>
            <w:pPr>
              <w:pStyle w:val="TableParagraph"/>
              <w:spacing w:line="175" w:lineRule="exact" w:before="1"/>
              <w:ind w:left="0" w:right="296"/>
              <w:jc w:val="right"/>
              <w:rPr>
                <w:sz w:val="16"/>
              </w:rPr>
            </w:pPr>
            <w:r>
              <w:rPr>
                <w:sz w:val="16"/>
              </w:rPr>
              <w:t>0.10</w:t>
            </w:r>
          </w:p>
        </w:tc>
        <w:tc>
          <w:tcPr>
            <w:tcW w:w="900" w:type="dxa"/>
          </w:tcPr>
          <w:p>
            <w:pPr>
              <w:pStyle w:val="TableParagraph"/>
              <w:spacing w:line="175" w:lineRule="exact" w:before="1"/>
              <w:ind w:right="79"/>
              <w:rPr>
                <w:sz w:val="16"/>
              </w:rPr>
            </w:pPr>
            <w:r>
              <w:rPr>
                <w:sz w:val="16"/>
              </w:rPr>
              <w:t>0.09</w:t>
            </w:r>
          </w:p>
        </w:tc>
        <w:tc>
          <w:tcPr>
            <w:tcW w:w="900" w:type="dxa"/>
          </w:tcPr>
          <w:p>
            <w:pPr>
              <w:pStyle w:val="TableParagraph"/>
              <w:spacing w:line="175" w:lineRule="exact" w:before="1"/>
              <w:ind w:left="307"/>
              <w:jc w:val="left"/>
              <w:rPr>
                <w:sz w:val="16"/>
              </w:rPr>
            </w:pPr>
            <w:r>
              <w:rPr>
                <w:sz w:val="16"/>
              </w:rPr>
              <w:t>1.34</w:t>
            </w:r>
          </w:p>
        </w:tc>
        <w:tc>
          <w:tcPr>
            <w:tcW w:w="1709" w:type="dxa"/>
          </w:tcPr>
          <w:p>
            <w:pPr>
              <w:pStyle w:val="TableParagraph"/>
              <w:spacing w:line="175" w:lineRule="exact" w:before="1"/>
              <w:ind w:left="121" w:right="110"/>
              <w:rPr>
                <w:sz w:val="16"/>
              </w:rPr>
            </w:pPr>
            <w:r>
              <w:rPr>
                <w:sz w:val="16"/>
              </w:rPr>
              <w:t>0.76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4"/>
        </w:rPr>
      </w:pPr>
    </w:p>
    <w:p>
      <w:pPr>
        <w:spacing w:before="56"/>
        <w:ind w:left="120" w:right="660" w:firstLine="0"/>
        <w:jc w:val="left"/>
        <w:rPr>
          <w:sz w:val="22"/>
        </w:rPr>
      </w:pPr>
      <w:r>
        <w:rPr>
          <w:sz w:val="22"/>
        </w:rPr>
        <w:t>Table</w:t>
      </w:r>
      <w:r>
        <w:rPr>
          <w:spacing w:val="-3"/>
          <w:sz w:val="22"/>
        </w:rPr>
        <w:t> </w:t>
      </w:r>
      <w:r>
        <w:rPr>
          <w:sz w:val="22"/>
        </w:rPr>
        <w:t>7.</w:t>
      </w:r>
      <w:r>
        <w:rPr>
          <w:spacing w:val="-5"/>
          <w:sz w:val="22"/>
        </w:rPr>
        <w:t> </w:t>
      </w:r>
      <w:r>
        <w:rPr>
          <w:sz w:val="22"/>
        </w:rPr>
        <w:t>Trimethylphytylbenzoquinone</w:t>
      </w:r>
      <w:r>
        <w:rPr>
          <w:spacing w:val="-3"/>
          <w:sz w:val="22"/>
        </w:rPr>
        <w:t> </w:t>
      </w:r>
      <w:r>
        <w:rPr>
          <w:sz w:val="22"/>
        </w:rPr>
        <w:t>(TMPBQ)</w:t>
      </w:r>
      <w:r>
        <w:rPr>
          <w:spacing w:val="-5"/>
          <w:sz w:val="22"/>
        </w:rPr>
        <w:t> </w:t>
      </w:r>
      <w:r>
        <w:rPr>
          <w:sz w:val="22"/>
        </w:rPr>
        <w:t>concentrations</w:t>
      </w:r>
      <w:r>
        <w:rPr>
          <w:spacing w:val="-3"/>
          <w:sz w:val="22"/>
        </w:rPr>
        <w:t> </w:t>
      </w:r>
      <w:r>
        <w:rPr>
          <w:sz w:val="22"/>
        </w:rPr>
        <w:t>separated</w:t>
      </w:r>
      <w:r>
        <w:rPr>
          <w:spacing w:val="-4"/>
          <w:sz w:val="22"/>
        </w:rPr>
        <w:t> </w:t>
      </w:r>
      <w:r>
        <w:rPr>
          <w:sz w:val="22"/>
        </w:rPr>
        <w:t>by</w:t>
      </w:r>
      <w:r>
        <w:rPr>
          <w:spacing w:val="-2"/>
          <w:sz w:val="22"/>
        </w:rPr>
        <w:t> </w:t>
      </w:r>
      <w:r>
        <w:rPr>
          <w:sz w:val="22"/>
        </w:rPr>
        <w:t>isomer</w:t>
      </w:r>
      <w:r>
        <w:rPr>
          <w:spacing w:val="-2"/>
          <w:sz w:val="22"/>
        </w:rPr>
        <w:t> </w:t>
      </w:r>
      <w:r>
        <w:rPr>
          <w:sz w:val="22"/>
        </w:rPr>
        <w:t>peaks</w:t>
      </w:r>
      <w:r>
        <w:rPr>
          <w:spacing w:val="-5"/>
          <w:sz w:val="22"/>
        </w:rPr>
        <w:t> </w:t>
      </w:r>
      <w:r>
        <w:rPr>
          <w:sz w:val="22"/>
        </w:rPr>
        <w:t>identified</w:t>
      </w:r>
      <w:r>
        <w:rPr>
          <w:spacing w:val="-3"/>
          <w:sz w:val="22"/>
        </w:rPr>
        <w:t> </w:t>
      </w:r>
      <w:r>
        <w:rPr>
          <w:sz w:val="22"/>
        </w:rPr>
        <w:t>in</w:t>
      </w:r>
      <w:r>
        <w:rPr>
          <w:spacing w:val="-47"/>
          <w:sz w:val="22"/>
        </w:rPr>
        <w:t> </w:t>
      </w:r>
      <w:r>
        <w:rPr>
          <w:sz w:val="22"/>
        </w:rPr>
        <w:t>the chromatograph reported</w:t>
      </w:r>
      <w:r>
        <w:rPr>
          <w:spacing w:val="-2"/>
          <w:sz w:val="22"/>
        </w:rPr>
        <w:t> </w:t>
      </w:r>
      <w:r>
        <w:rPr>
          <w:sz w:val="22"/>
        </w:rPr>
        <w:t>in ng/g OC</w:t>
      </w:r>
    </w:p>
    <w:p>
      <w:pPr>
        <w:pStyle w:val="BodyText"/>
        <w:spacing w:before="7"/>
        <w:rPr>
          <w:sz w:val="16"/>
        </w:rPr>
      </w:pPr>
    </w:p>
    <w:tbl>
      <w:tblPr>
        <w:tblW w:w="0" w:type="auto"/>
        <w:jc w:val="left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6"/>
        <w:gridCol w:w="900"/>
        <w:gridCol w:w="1260"/>
        <w:gridCol w:w="1260"/>
        <w:gridCol w:w="1260"/>
        <w:gridCol w:w="1169"/>
        <w:gridCol w:w="1440"/>
        <w:gridCol w:w="900"/>
      </w:tblGrid>
      <w:tr>
        <w:trPr>
          <w:trHeight w:val="390" w:hRule="atLeast"/>
        </w:trPr>
        <w:tc>
          <w:tcPr>
            <w:tcW w:w="806" w:type="dxa"/>
            <w:shd w:val="clear" w:color="auto" w:fill="4472C3"/>
          </w:tcPr>
          <w:p>
            <w:pPr>
              <w:pStyle w:val="TableParagraph"/>
              <w:spacing w:line="240" w:lineRule="auto" w:before="9"/>
              <w:ind w:left="0"/>
              <w:jc w:val="left"/>
              <w:rPr>
                <w:sz w:val="15"/>
              </w:rPr>
            </w:pPr>
          </w:p>
          <w:p>
            <w:pPr>
              <w:pStyle w:val="TableParagraph"/>
              <w:spacing w:line="178" w:lineRule="exact" w:before="1"/>
              <w:ind w:left="108" w:right="103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Sample</w:t>
            </w:r>
          </w:p>
        </w:tc>
        <w:tc>
          <w:tcPr>
            <w:tcW w:w="900" w:type="dxa"/>
            <w:shd w:val="clear" w:color="auto" w:fill="4472C3"/>
          </w:tcPr>
          <w:p>
            <w:pPr>
              <w:pStyle w:val="TableParagraph"/>
              <w:spacing w:line="240" w:lineRule="auto" w:before="9"/>
              <w:ind w:left="0"/>
              <w:jc w:val="left"/>
              <w:rPr>
                <w:sz w:val="15"/>
              </w:rPr>
            </w:pPr>
          </w:p>
          <w:p>
            <w:pPr>
              <w:pStyle w:val="TableParagraph"/>
              <w:spacing w:line="178" w:lineRule="exact" w:before="1"/>
              <w:ind w:right="82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Depth</w:t>
            </w:r>
            <w:r>
              <w:rPr>
                <w:b/>
                <w:color w:val="FFFFFF"/>
                <w:spacing w:val="-2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(ft)</w:t>
            </w:r>
          </w:p>
        </w:tc>
        <w:tc>
          <w:tcPr>
            <w:tcW w:w="1260" w:type="dxa"/>
            <w:shd w:val="clear" w:color="auto" w:fill="4472C3"/>
          </w:tcPr>
          <w:p>
            <w:pPr>
              <w:pStyle w:val="TableParagraph"/>
              <w:spacing w:line="194" w:lineRule="exact"/>
              <w:ind w:left="91" w:right="87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TMPBQ</w:t>
            </w:r>
            <w:r>
              <w:rPr>
                <w:b/>
                <w:color w:val="FFFFFF"/>
                <w:spacing w:val="-2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Peak 1</w:t>
            </w:r>
          </w:p>
          <w:p>
            <w:pPr>
              <w:pStyle w:val="TableParagraph"/>
              <w:spacing w:line="177" w:lineRule="exact"/>
              <w:ind w:left="93" w:right="87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(ng/g OC)</w:t>
            </w:r>
          </w:p>
        </w:tc>
        <w:tc>
          <w:tcPr>
            <w:tcW w:w="1260" w:type="dxa"/>
            <w:shd w:val="clear" w:color="auto" w:fill="4472C3"/>
          </w:tcPr>
          <w:p>
            <w:pPr>
              <w:pStyle w:val="TableParagraph"/>
              <w:spacing w:line="194" w:lineRule="exact"/>
              <w:ind w:left="91" w:right="87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TMPBQ</w:t>
            </w:r>
            <w:r>
              <w:rPr>
                <w:b/>
                <w:color w:val="FFFFFF"/>
                <w:spacing w:val="-2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Peak 2</w:t>
            </w:r>
          </w:p>
          <w:p>
            <w:pPr>
              <w:pStyle w:val="TableParagraph"/>
              <w:spacing w:line="177" w:lineRule="exact"/>
              <w:ind w:left="93" w:right="87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(ng/g OC)</w:t>
            </w:r>
          </w:p>
        </w:tc>
        <w:tc>
          <w:tcPr>
            <w:tcW w:w="1260" w:type="dxa"/>
            <w:shd w:val="clear" w:color="auto" w:fill="4472C3"/>
          </w:tcPr>
          <w:p>
            <w:pPr>
              <w:pStyle w:val="TableParagraph"/>
              <w:spacing w:line="194" w:lineRule="exact"/>
              <w:ind w:left="91" w:right="87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TMPBQ</w:t>
            </w:r>
            <w:r>
              <w:rPr>
                <w:b/>
                <w:color w:val="FFFFFF"/>
                <w:spacing w:val="-2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Peak 3</w:t>
            </w:r>
          </w:p>
          <w:p>
            <w:pPr>
              <w:pStyle w:val="TableParagraph"/>
              <w:spacing w:line="177" w:lineRule="exact"/>
              <w:ind w:left="93" w:right="87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(ng/g OC)</w:t>
            </w:r>
          </w:p>
        </w:tc>
        <w:tc>
          <w:tcPr>
            <w:tcW w:w="1169" w:type="dxa"/>
            <w:shd w:val="clear" w:color="auto" w:fill="4472C3"/>
          </w:tcPr>
          <w:p>
            <w:pPr>
              <w:pStyle w:val="TableParagraph"/>
              <w:spacing w:line="194" w:lineRule="exact"/>
              <w:ind w:left="122" w:right="119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Total</w:t>
            </w:r>
            <w:r>
              <w:rPr>
                <w:b/>
                <w:color w:val="FFFFFF"/>
                <w:spacing w:val="-2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TMPBQ</w:t>
            </w:r>
          </w:p>
          <w:p>
            <w:pPr>
              <w:pStyle w:val="TableParagraph"/>
              <w:spacing w:line="177" w:lineRule="exact"/>
              <w:ind w:left="122" w:right="116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(ng/g OC)</w:t>
            </w:r>
          </w:p>
        </w:tc>
        <w:tc>
          <w:tcPr>
            <w:tcW w:w="1440" w:type="dxa"/>
            <w:shd w:val="clear" w:color="auto" w:fill="4472C3"/>
          </w:tcPr>
          <w:p>
            <w:pPr>
              <w:pStyle w:val="TableParagraph"/>
              <w:spacing w:line="194" w:lineRule="exact"/>
              <w:ind w:left="95" w:right="83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TMPBQ</w:t>
            </w:r>
            <w:r>
              <w:rPr>
                <w:b/>
                <w:color w:val="FFFFFF"/>
                <w:spacing w:val="-2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peak</w:t>
            </w:r>
            <w:r>
              <w:rPr>
                <w:b/>
                <w:color w:val="FFFFFF"/>
                <w:spacing w:val="-1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ratio</w:t>
            </w:r>
          </w:p>
          <w:p>
            <w:pPr>
              <w:pStyle w:val="TableParagraph"/>
              <w:spacing w:line="177" w:lineRule="exact"/>
              <w:ind w:left="91" w:right="83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(2+3)/1</w:t>
            </w:r>
          </w:p>
        </w:tc>
        <w:tc>
          <w:tcPr>
            <w:tcW w:w="900" w:type="dxa"/>
            <w:shd w:val="clear" w:color="auto" w:fill="4472C3"/>
          </w:tcPr>
          <w:p>
            <w:pPr>
              <w:pStyle w:val="TableParagraph"/>
              <w:spacing w:line="194" w:lineRule="exact"/>
              <w:ind w:left="160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TMPBQ/</w:t>
            </w:r>
          </w:p>
          <w:p>
            <w:pPr>
              <w:pStyle w:val="TableParagraph"/>
              <w:spacing w:line="177" w:lineRule="exact"/>
              <w:ind w:left="187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α-MTTC</w:t>
            </w:r>
          </w:p>
        </w:tc>
      </w:tr>
      <w:tr>
        <w:trPr>
          <w:trHeight w:val="193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ind w:left="111" w:right="102"/>
              <w:rPr>
                <w:sz w:val="16"/>
              </w:rPr>
            </w:pPr>
            <w:r>
              <w:rPr>
                <w:sz w:val="16"/>
              </w:rPr>
              <w:t>WCH-1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74.00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ind w:left="91" w:right="87"/>
              <w:rPr>
                <w:sz w:val="16"/>
              </w:rPr>
            </w:pPr>
            <w:r>
              <w:rPr>
                <w:sz w:val="16"/>
              </w:rPr>
              <w:t>7.07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ind w:left="91" w:right="87"/>
              <w:rPr>
                <w:sz w:val="16"/>
              </w:rPr>
            </w:pPr>
            <w:r>
              <w:rPr>
                <w:sz w:val="16"/>
              </w:rPr>
              <w:t>2.23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ind w:left="91" w:right="87"/>
              <w:rPr>
                <w:sz w:val="16"/>
              </w:rPr>
            </w:pPr>
            <w:r>
              <w:rPr>
                <w:sz w:val="16"/>
              </w:rPr>
              <w:t>3.70</w:t>
            </w:r>
          </w:p>
        </w:tc>
        <w:tc>
          <w:tcPr>
            <w:tcW w:w="1169" w:type="dxa"/>
            <w:shd w:val="clear" w:color="auto" w:fill="D8E1F2"/>
          </w:tcPr>
          <w:p>
            <w:pPr>
              <w:pStyle w:val="TableParagraph"/>
              <w:ind w:left="122" w:right="118"/>
              <w:rPr>
                <w:sz w:val="16"/>
              </w:rPr>
            </w:pPr>
            <w:r>
              <w:rPr>
                <w:sz w:val="16"/>
              </w:rPr>
              <w:t>13.00</w:t>
            </w:r>
          </w:p>
        </w:tc>
        <w:tc>
          <w:tcPr>
            <w:tcW w:w="1440" w:type="dxa"/>
            <w:shd w:val="clear" w:color="auto" w:fill="D8E1F2"/>
          </w:tcPr>
          <w:p>
            <w:pPr>
              <w:pStyle w:val="TableParagraph"/>
              <w:ind w:left="94" w:right="83"/>
              <w:rPr>
                <w:sz w:val="16"/>
              </w:rPr>
            </w:pPr>
            <w:r>
              <w:rPr>
                <w:sz w:val="16"/>
              </w:rPr>
              <w:t>0.84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80"/>
              <w:rPr>
                <w:sz w:val="16"/>
              </w:rPr>
            </w:pPr>
            <w:r>
              <w:rPr>
                <w:sz w:val="16"/>
              </w:rPr>
              <w:t>0.27</w:t>
            </w: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6" w:lineRule="exact"/>
              <w:ind w:left="111" w:right="102"/>
              <w:rPr>
                <w:sz w:val="16"/>
              </w:rPr>
            </w:pPr>
            <w:r>
              <w:rPr>
                <w:sz w:val="16"/>
              </w:rPr>
              <w:t>WCH-2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75.50</w:t>
            </w:r>
          </w:p>
        </w:tc>
        <w:tc>
          <w:tcPr>
            <w:tcW w:w="1260" w:type="dxa"/>
          </w:tcPr>
          <w:p>
            <w:pPr>
              <w:pStyle w:val="TableParagraph"/>
              <w:spacing w:line="176" w:lineRule="exact"/>
              <w:ind w:left="91" w:right="87"/>
              <w:rPr>
                <w:sz w:val="16"/>
              </w:rPr>
            </w:pPr>
            <w:r>
              <w:rPr>
                <w:sz w:val="16"/>
              </w:rPr>
              <w:t>8.98</w:t>
            </w:r>
          </w:p>
        </w:tc>
        <w:tc>
          <w:tcPr>
            <w:tcW w:w="1260" w:type="dxa"/>
          </w:tcPr>
          <w:p>
            <w:pPr>
              <w:pStyle w:val="TableParagraph"/>
              <w:spacing w:line="176" w:lineRule="exact"/>
              <w:ind w:left="91" w:right="87"/>
              <w:rPr>
                <w:sz w:val="16"/>
              </w:rPr>
            </w:pPr>
            <w:r>
              <w:rPr>
                <w:sz w:val="16"/>
              </w:rPr>
              <w:t>6.34</w:t>
            </w:r>
          </w:p>
        </w:tc>
        <w:tc>
          <w:tcPr>
            <w:tcW w:w="1260" w:type="dxa"/>
          </w:tcPr>
          <w:p>
            <w:pPr>
              <w:pStyle w:val="TableParagraph"/>
              <w:spacing w:line="176" w:lineRule="exact"/>
              <w:ind w:left="91" w:right="87"/>
              <w:rPr>
                <w:sz w:val="16"/>
              </w:rPr>
            </w:pPr>
            <w:r>
              <w:rPr>
                <w:sz w:val="16"/>
              </w:rPr>
              <w:t>11.59</w:t>
            </w:r>
          </w:p>
        </w:tc>
        <w:tc>
          <w:tcPr>
            <w:tcW w:w="1169" w:type="dxa"/>
          </w:tcPr>
          <w:p>
            <w:pPr>
              <w:pStyle w:val="TableParagraph"/>
              <w:spacing w:line="176" w:lineRule="exact"/>
              <w:ind w:left="122" w:right="118"/>
              <w:rPr>
                <w:sz w:val="16"/>
              </w:rPr>
            </w:pPr>
            <w:r>
              <w:rPr>
                <w:sz w:val="16"/>
              </w:rPr>
              <w:t>26.91</w:t>
            </w:r>
          </w:p>
        </w:tc>
        <w:tc>
          <w:tcPr>
            <w:tcW w:w="1440" w:type="dxa"/>
          </w:tcPr>
          <w:p>
            <w:pPr>
              <w:pStyle w:val="TableParagraph"/>
              <w:spacing w:line="176" w:lineRule="exact"/>
              <w:ind w:left="94" w:right="83"/>
              <w:rPr>
                <w:sz w:val="16"/>
              </w:rPr>
            </w:pPr>
            <w:r>
              <w:rPr>
                <w:sz w:val="16"/>
              </w:rPr>
              <w:t>2.00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80"/>
              <w:rPr>
                <w:sz w:val="16"/>
              </w:rPr>
            </w:pPr>
            <w:r>
              <w:rPr>
                <w:sz w:val="16"/>
              </w:rPr>
              <w:t>0.31</w:t>
            </w:r>
          </w:p>
        </w:tc>
      </w:tr>
      <w:tr>
        <w:trPr>
          <w:trHeight w:val="194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ind w:left="111" w:right="102"/>
              <w:rPr>
                <w:sz w:val="16"/>
              </w:rPr>
            </w:pPr>
            <w:r>
              <w:rPr>
                <w:sz w:val="16"/>
              </w:rPr>
              <w:t>WCH-3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77.08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ind w:left="91" w:right="87"/>
              <w:rPr>
                <w:sz w:val="16"/>
              </w:rPr>
            </w:pPr>
            <w:r>
              <w:rPr>
                <w:sz w:val="16"/>
              </w:rPr>
              <w:t>5.28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ind w:left="91" w:right="87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ind w:left="91" w:right="87"/>
              <w:rPr>
                <w:sz w:val="16"/>
              </w:rPr>
            </w:pPr>
            <w:r>
              <w:rPr>
                <w:sz w:val="16"/>
              </w:rPr>
              <w:t>5.87</w:t>
            </w:r>
          </w:p>
        </w:tc>
        <w:tc>
          <w:tcPr>
            <w:tcW w:w="1169" w:type="dxa"/>
            <w:shd w:val="clear" w:color="auto" w:fill="D8E1F2"/>
          </w:tcPr>
          <w:p>
            <w:pPr>
              <w:pStyle w:val="TableParagraph"/>
              <w:ind w:left="122" w:right="118"/>
              <w:rPr>
                <w:sz w:val="16"/>
              </w:rPr>
            </w:pPr>
            <w:r>
              <w:rPr>
                <w:sz w:val="16"/>
              </w:rPr>
              <w:t>11.15</w:t>
            </w:r>
          </w:p>
        </w:tc>
        <w:tc>
          <w:tcPr>
            <w:tcW w:w="1440" w:type="dxa"/>
            <w:shd w:val="clear" w:color="auto" w:fill="D8E1F2"/>
          </w:tcPr>
          <w:p>
            <w:pPr>
              <w:pStyle w:val="TableParagraph"/>
              <w:ind w:left="94" w:right="83"/>
              <w:rPr>
                <w:sz w:val="16"/>
              </w:rPr>
            </w:pPr>
            <w:r>
              <w:rPr>
                <w:sz w:val="16"/>
              </w:rPr>
              <w:t>1.11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80"/>
              <w:rPr>
                <w:sz w:val="16"/>
              </w:rPr>
            </w:pPr>
            <w:r>
              <w:rPr>
                <w:sz w:val="16"/>
              </w:rPr>
              <w:t>0.15</w:t>
            </w: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6" w:lineRule="exact"/>
              <w:ind w:left="111" w:right="102"/>
              <w:rPr>
                <w:sz w:val="16"/>
              </w:rPr>
            </w:pPr>
            <w:r>
              <w:rPr>
                <w:sz w:val="16"/>
              </w:rPr>
              <w:t>WCH-4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78.00</w:t>
            </w:r>
          </w:p>
        </w:tc>
        <w:tc>
          <w:tcPr>
            <w:tcW w:w="1260" w:type="dxa"/>
          </w:tcPr>
          <w:p>
            <w:pPr>
              <w:pStyle w:val="TableParagraph"/>
              <w:spacing w:line="176" w:lineRule="exact"/>
              <w:ind w:left="91" w:right="87"/>
              <w:rPr>
                <w:sz w:val="16"/>
              </w:rPr>
            </w:pPr>
            <w:r>
              <w:rPr>
                <w:sz w:val="16"/>
              </w:rPr>
              <w:t>9.40</w:t>
            </w:r>
          </w:p>
        </w:tc>
        <w:tc>
          <w:tcPr>
            <w:tcW w:w="1260" w:type="dxa"/>
          </w:tcPr>
          <w:p>
            <w:pPr>
              <w:pStyle w:val="TableParagraph"/>
              <w:spacing w:line="176" w:lineRule="exact"/>
              <w:ind w:left="91" w:right="87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60" w:type="dxa"/>
          </w:tcPr>
          <w:p>
            <w:pPr>
              <w:pStyle w:val="TableParagraph"/>
              <w:spacing w:line="176" w:lineRule="exact"/>
              <w:ind w:left="91" w:right="87"/>
              <w:rPr>
                <w:sz w:val="16"/>
              </w:rPr>
            </w:pPr>
            <w:r>
              <w:rPr>
                <w:sz w:val="16"/>
              </w:rPr>
              <w:t>4.00</w:t>
            </w:r>
          </w:p>
        </w:tc>
        <w:tc>
          <w:tcPr>
            <w:tcW w:w="1169" w:type="dxa"/>
          </w:tcPr>
          <w:p>
            <w:pPr>
              <w:pStyle w:val="TableParagraph"/>
              <w:spacing w:line="176" w:lineRule="exact"/>
              <w:ind w:left="122" w:right="118"/>
              <w:rPr>
                <w:sz w:val="16"/>
              </w:rPr>
            </w:pPr>
            <w:r>
              <w:rPr>
                <w:sz w:val="16"/>
              </w:rPr>
              <w:t>13.39</w:t>
            </w:r>
          </w:p>
        </w:tc>
        <w:tc>
          <w:tcPr>
            <w:tcW w:w="1440" w:type="dxa"/>
          </w:tcPr>
          <w:p>
            <w:pPr>
              <w:pStyle w:val="TableParagraph"/>
              <w:spacing w:line="176" w:lineRule="exact"/>
              <w:ind w:left="94" w:right="83"/>
              <w:rPr>
                <w:sz w:val="16"/>
              </w:rPr>
            </w:pPr>
            <w:r>
              <w:rPr>
                <w:sz w:val="16"/>
              </w:rPr>
              <w:t>0.43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80"/>
              <w:rPr>
                <w:sz w:val="16"/>
              </w:rPr>
            </w:pPr>
            <w:r>
              <w:rPr>
                <w:sz w:val="16"/>
              </w:rPr>
              <w:t>0.23</w:t>
            </w:r>
          </w:p>
        </w:tc>
      </w:tr>
      <w:tr>
        <w:trPr>
          <w:trHeight w:val="194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ind w:left="111" w:right="102"/>
              <w:rPr>
                <w:sz w:val="16"/>
              </w:rPr>
            </w:pPr>
            <w:r>
              <w:rPr>
                <w:sz w:val="16"/>
              </w:rPr>
              <w:t>WCH-5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79.67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ind w:left="91" w:right="87"/>
              <w:rPr>
                <w:sz w:val="16"/>
              </w:rPr>
            </w:pPr>
            <w:r>
              <w:rPr>
                <w:sz w:val="16"/>
              </w:rPr>
              <w:t>6.22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ind w:left="91" w:right="87"/>
              <w:rPr>
                <w:sz w:val="16"/>
              </w:rPr>
            </w:pPr>
            <w:r>
              <w:rPr>
                <w:sz w:val="16"/>
              </w:rPr>
              <w:t>1.55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ind w:left="91" w:right="87"/>
              <w:rPr>
                <w:sz w:val="16"/>
              </w:rPr>
            </w:pPr>
            <w:r>
              <w:rPr>
                <w:sz w:val="16"/>
              </w:rPr>
              <w:t>6.52</w:t>
            </w:r>
          </w:p>
        </w:tc>
        <w:tc>
          <w:tcPr>
            <w:tcW w:w="1169" w:type="dxa"/>
            <w:shd w:val="clear" w:color="auto" w:fill="D8E1F2"/>
          </w:tcPr>
          <w:p>
            <w:pPr>
              <w:pStyle w:val="TableParagraph"/>
              <w:ind w:left="122" w:right="118"/>
              <w:rPr>
                <w:sz w:val="16"/>
              </w:rPr>
            </w:pPr>
            <w:r>
              <w:rPr>
                <w:sz w:val="16"/>
              </w:rPr>
              <w:t>14.29</w:t>
            </w:r>
          </w:p>
        </w:tc>
        <w:tc>
          <w:tcPr>
            <w:tcW w:w="1440" w:type="dxa"/>
            <w:shd w:val="clear" w:color="auto" w:fill="D8E1F2"/>
          </w:tcPr>
          <w:p>
            <w:pPr>
              <w:pStyle w:val="TableParagraph"/>
              <w:ind w:left="94" w:right="83"/>
              <w:rPr>
                <w:sz w:val="16"/>
              </w:rPr>
            </w:pPr>
            <w:r>
              <w:rPr>
                <w:sz w:val="16"/>
              </w:rPr>
              <w:t>1.30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80"/>
              <w:rPr>
                <w:sz w:val="16"/>
              </w:rPr>
            </w:pPr>
            <w:r>
              <w:rPr>
                <w:sz w:val="16"/>
              </w:rPr>
              <w:t>0.14</w:t>
            </w: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5" w:lineRule="exact" w:before="1"/>
              <w:ind w:left="111" w:right="102"/>
              <w:rPr>
                <w:sz w:val="16"/>
              </w:rPr>
            </w:pPr>
            <w:r>
              <w:rPr>
                <w:sz w:val="16"/>
              </w:rPr>
              <w:t>WCH-6</w:t>
            </w:r>
          </w:p>
        </w:tc>
        <w:tc>
          <w:tcPr>
            <w:tcW w:w="900" w:type="dxa"/>
          </w:tcPr>
          <w:p>
            <w:pPr>
              <w:pStyle w:val="TableParagraph"/>
              <w:spacing w:line="175" w:lineRule="exact" w:before="1"/>
              <w:ind w:right="84"/>
              <w:rPr>
                <w:sz w:val="16"/>
              </w:rPr>
            </w:pPr>
            <w:r>
              <w:rPr>
                <w:sz w:val="16"/>
              </w:rPr>
              <w:t>80.67</w:t>
            </w:r>
          </w:p>
        </w:tc>
        <w:tc>
          <w:tcPr>
            <w:tcW w:w="1260" w:type="dxa"/>
          </w:tcPr>
          <w:p>
            <w:pPr>
              <w:pStyle w:val="TableParagraph"/>
              <w:spacing w:line="175" w:lineRule="exact" w:before="1"/>
              <w:ind w:left="91" w:right="87"/>
              <w:rPr>
                <w:sz w:val="16"/>
              </w:rPr>
            </w:pPr>
            <w:r>
              <w:rPr>
                <w:sz w:val="16"/>
              </w:rPr>
              <w:t>4.22</w:t>
            </w:r>
          </w:p>
        </w:tc>
        <w:tc>
          <w:tcPr>
            <w:tcW w:w="1260" w:type="dxa"/>
          </w:tcPr>
          <w:p>
            <w:pPr>
              <w:pStyle w:val="TableParagraph"/>
              <w:spacing w:line="175" w:lineRule="exact" w:before="1"/>
              <w:ind w:left="91" w:right="87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60" w:type="dxa"/>
          </w:tcPr>
          <w:p>
            <w:pPr>
              <w:pStyle w:val="TableParagraph"/>
              <w:spacing w:line="175" w:lineRule="exact" w:before="1"/>
              <w:ind w:left="91" w:right="87"/>
              <w:rPr>
                <w:sz w:val="16"/>
              </w:rPr>
            </w:pPr>
            <w:r>
              <w:rPr>
                <w:sz w:val="16"/>
              </w:rPr>
              <w:t>3.89</w:t>
            </w:r>
          </w:p>
        </w:tc>
        <w:tc>
          <w:tcPr>
            <w:tcW w:w="1169" w:type="dxa"/>
          </w:tcPr>
          <w:p>
            <w:pPr>
              <w:pStyle w:val="TableParagraph"/>
              <w:spacing w:line="175" w:lineRule="exact" w:before="1"/>
              <w:ind w:left="122" w:right="118"/>
              <w:rPr>
                <w:sz w:val="16"/>
              </w:rPr>
            </w:pPr>
            <w:r>
              <w:rPr>
                <w:sz w:val="16"/>
              </w:rPr>
              <w:t>8.10</w:t>
            </w:r>
          </w:p>
        </w:tc>
        <w:tc>
          <w:tcPr>
            <w:tcW w:w="1440" w:type="dxa"/>
          </w:tcPr>
          <w:p>
            <w:pPr>
              <w:pStyle w:val="TableParagraph"/>
              <w:spacing w:line="175" w:lineRule="exact" w:before="1"/>
              <w:ind w:left="94" w:right="83"/>
              <w:rPr>
                <w:sz w:val="16"/>
              </w:rPr>
            </w:pPr>
            <w:r>
              <w:rPr>
                <w:sz w:val="16"/>
              </w:rPr>
              <w:t>0.92</w:t>
            </w:r>
          </w:p>
        </w:tc>
        <w:tc>
          <w:tcPr>
            <w:tcW w:w="900" w:type="dxa"/>
          </w:tcPr>
          <w:p>
            <w:pPr>
              <w:pStyle w:val="TableParagraph"/>
              <w:spacing w:line="175" w:lineRule="exact" w:before="1"/>
              <w:ind w:right="80"/>
              <w:rPr>
                <w:sz w:val="16"/>
              </w:rPr>
            </w:pPr>
            <w:r>
              <w:rPr>
                <w:sz w:val="16"/>
              </w:rPr>
              <w:t>0.19</w:t>
            </w:r>
          </w:p>
        </w:tc>
      </w:tr>
      <w:tr>
        <w:trPr>
          <w:trHeight w:val="194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ind w:left="111" w:right="102"/>
              <w:rPr>
                <w:sz w:val="16"/>
              </w:rPr>
            </w:pPr>
            <w:r>
              <w:rPr>
                <w:sz w:val="16"/>
              </w:rPr>
              <w:t>WCH-7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81.00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ind w:left="91" w:right="87"/>
              <w:rPr>
                <w:sz w:val="16"/>
              </w:rPr>
            </w:pPr>
            <w:r>
              <w:rPr>
                <w:sz w:val="16"/>
              </w:rPr>
              <w:t>5.32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ind w:left="91" w:right="87"/>
              <w:rPr>
                <w:sz w:val="16"/>
              </w:rPr>
            </w:pPr>
            <w:r>
              <w:rPr>
                <w:sz w:val="16"/>
              </w:rPr>
              <w:t>1.20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ind w:left="91" w:right="87"/>
              <w:rPr>
                <w:sz w:val="16"/>
              </w:rPr>
            </w:pPr>
            <w:r>
              <w:rPr>
                <w:sz w:val="16"/>
              </w:rPr>
              <w:t>6.47</w:t>
            </w:r>
          </w:p>
        </w:tc>
        <w:tc>
          <w:tcPr>
            <w:tcW w:w="1169" w:type="dxa"/>
            <w:shd w:val="clear" w:color="auto" w:fill="D8E1F2"/>
          </w:tcPr>
          <w:p>
            <w:pPr>
              <w:pStyle w:val="TableParagraph"/>
              <w:ind w:left="122" w:right="118"/>
              <w:rPr>
                <w:sz w:val="16"/>
              </w:rPr>
            </w:pPr>
            <w:r>
              <w:rPr>
                <w:sz w:val="16"/>
              </w:rPr>
              <w:t>12.99</w:t>
            </w:r>
          </w:p>
        </w:tc>
        <w:tc>
          <w:tcPr>
            <w:tcW w:w="1440" w:type="dxa"/>
            <w:shd w:val="clear" w:color="auto" w:fill="D8E1F2"/>
          </w:tcPr>
          <w:p>
            <w:pPr>
              <w:pStyle w:val="TableParagraph"/>
              <w:ind w:left="94" w:right="83"/>
              <w:rPr>
                <w:sz w:val="16"/>
              </w:rPr>
            </w:pPr>
            <w:r>
              <w:rPr>
                <w:sz w:val="16"/>
              </w:rPr>
              <w:t>1.44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80"/>
              <w:rPr>
                <w:sz w:val="16"/>
              </w:rPr>
            </w:pPr>
            <w:r>
              <w:rPr>
                <w:sz w:val="16"/>
              </w:rPr>
              <w:t>0.15</w:t>
            </w: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5" w:lineRule="exact" w:before="1"/>
              <w:ind w:left="111" w:right="102"/>
              <w:rPr>
                <w:sz w:val="16"/>
              </w:rPr>
            </w:pPr>
            <w:r>
              <w:rPr>
                <w:sz w:val="16"/>
              </w:rPr>
              <w:t>WCH-8</w:t>
            </w:r>
          </w:p>
        </w:tc>
        <w:tc>
          <w:tcPr>
            <w:tcW w:w="900" w:type="dxa"/>
          </w:tcPr>
          <w:p>
            <w:pPr>
              <w:pStyle w:val="TableParagraph"/>
              <w:spacing w:line="175" w:lineRule="exact" w:before="1"/>
              <w:ind w:right="84"/>
              <w:rPr>
                <w:sz w:val="16"/>
              </w:rPr>
            </w:pPr>
            <w:r>
              <w:rPr>
                <w:sz w:val="16"/>
              </w:rPr>
              <w:t>84.50</w:t>
            </w:r>
          </w:p>
        </w:tc>
        <w:tc>
          <w:tcPr>
            <w:tcW w:w="1260" w:type="dxa"/>
          </w:tcPr>
          <w:p>
            <w:pPr>
              <w:pStyle w:val="TableParagraph"/>
              <w:spacing w:line="175" w:lineRule="exact" w:before="1"/>
              <w:ind w:left="91" w:right="87"/>
              <w:rPr>
                <w:sz w:val="16"/>
              </w:rPr>
            </w:pPr>
            <w:r>
              <w:rPr>
                <w:sz w:val="16"/>
              </w:rPr>
              <w:t>4.52</w:t>
            </w:r>
          </w:p>
        </w:tc>
        <w:tc>
          <w:tcPr>
            <w:tcW w:w="1260" w:type="dxa"/>
          </w:tcPr>
          <w:p>
            <w:pPr>
              <w:pStyle w:val="TableParagraph"/>
              <w:spacing w:line="175" w:lineRule="exact" w:before="1"/>
              <w:ind w:left="91" w:right="87"/>
              <w:rPr>
                <w:sz w:val="16"/>
              </w:rPr>
            </w:pPr>
            <w:r>
              <w:rPr>
                <w:sz w:val="16"/>
              </w:rPr>
              <w:t>1.93</w:t>
            </w:r>
          </w:p>
        </w:tc>
        <w:tc>
          <w:tcPr>
            <w:tcW w:w="1260" w:type="dxa"/>
          </w:tcPr>
          <w:p>
            <w:pPr>
              <w:pStyle w:val="TableParagraph"/>
              <w:spacing w:line="175" w:lineRule="exact" w:before="1"/>
              <w:ind w:left="91" w:right="87"/>
              <w:rPr>
                <w:sz w:val="16"/>
              </w:rPr>
            </w:pPr>
            <w:r>
              <w:rPr>
                <w:sz w:val="16"/>
              </w:rPr>
              <w:t>5.01</w:t>
            </w:r>
          </w:p>
        </w:tc>
        <w:tc>
          <w:tcPr>
            <w:tcW w:w="1169" w:type="dxa"/>
          </w:tcPr>
          <w:p>
            <w:pPr>
              <w:pStyle w:val="TableParagraph"/>
              <w:spacing w:line="175" w:lineRule="exact" w:before="1"/>
              <w:ind w:left="122" w:right="118"/>
              <w:rPr>
                <w:sz w:val="16"/>
              </w:rPr>
            </w:pPr>
            <w:r>
              <w:rPr>
                <w:sz w:val="16"/>
              </w:rPr>
              <w:t>11.46</w:t>
            </w:r>
          </w:p>
        </w:tc>
        <w:tc>
          <w:tcPr>
            <w:tcW w:w="1440" w:type="dxa"/>
          </w:tcPr>
          <w:p>
            <w:pPr>
              <w:pStyle w:val="TableParagraph"/>
              <w:spacing w:line="175" w:lineRule="exact" w:before="1"/>
              <w:ind w:left="94" w:right="83"/>
              <w:rPr>
                <w:sz w:val="16"/>
              </w:rPr>
            </w:pPr>
            <w:r>
              <w:rPr>
                <w:sz w:val="16"/>
              </w:rPr>
              <w:t>1.54</w:t>
            </w:r>
          </w:p>
        </w:tc>
        <w:tc>
          <w:tcPr>
            <w:tcW w:w="900" w:type="dxa"/>
          </w:tcPr>
          <w:p>
            <w:pPr>
              <w:pStyle w:val="TableParagraph"/>
              <w:spacing w:line="175" w:lineRule="exact" w:before="1"/>
              <w:ind w:right="80"/>
              <w:rPr>
                <w:sz w:val="16"/>
              </w:rPr>
            </w:pPr>
            <w:r>
              <w:rPr>
                <w:sz w:val="16"/>
              </w:rPr>
              <w:t>0.20</w:t>
            </w:r>
          </w:p>
        </w:tc>
      </w:tr>
      <w:tr>
        <w:trPr>
          <w:trHeight w:val="196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spacing w:line="176" w:lineRule="exact"/>
              <w:ind w:left="111" w:right="102"/>
              <w:rPr>
                <w:sz w:val="16"/>
              </w:rPr>
            </w:pPr>
            <w:r>
              <w:rPr>
                <w:sz w:val="16"/>
              </w:rPr>
              <w:t>WCH-9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88.00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spacing w:line="176" w:lineRule="exact"/>
              <w:ind w:left="91" w:right="87"/>
              <w:rPr>
                <w:sz w:val="16"/>
              </w:rPr>
            </w:pPr>
            <w:r>
              <w:rPr>
                <w:sz w:val="16"/>
              </w:rPr>
              <w:t>5.34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spacing w:line="176" w:lineRule="exact"/>
              <w:ind w:left="91" w:right="87"/>
              <w:rPr>
                <w:sz w:val="16"/>
              </w:rPr>
            </w:pPr>
            <w:r>
              <w:rPr>
                <w:sz w:val="16"/>
              </w:rPr>
              <w:t>3.58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spacing w:line="176" w:lineRule="exact"/>
              <w:ind w:left="91" w:right="87"/>
              <w:rPr>
                <w:sz w:val="16"/>
              </w:rPr>
            </w:pPr>
            <w:r>
              <w:rPr>
                <w:sz w:val="16"/>
              </w:rPr>
              <w:t>4.91</w:t>
            </w:r>
          </w:p>
        </w:tc>
        <w:tc>
          <w:tcPr>
            <w:tcW w:w="1169" w:type="dxa"/>
            <w:shd w:val="clear" w:color="auto" w:fill="D8E1F2"/>
          </w:tcPr>
          <w:p>
            <w:pPr>
              <w:pStyle w:val="TableParagraph"/>
              <w:spacing w:line="176" w:lineRule="exact"/>
              <w:ind w:left="122" w:right="118"/>
              <w:rPr>
                <w:sz w:val="16"/>
              </w:rPr>
            </w:pPr>
            <w:r>
              <w:rPr>
                <w:sz w:val="16"/>
              </w:rPr>
              <w:t>13.83</w:t>
            </w:r>
          </w:p>
        </w:tc>
        <w:tc>
          <w:tcPr>
            <w:tcW w:w="1440" w:type="dxa"/>
            <w:shd w:val="clear" w:color="auto" w:fill="D8E1F2"/>
          </w:tcPr>
          <w:p>
            <w:pPr>
              <w:pStyle w:val="TableParagraph"/>
              <w:spacing w:line="176" w:lineRule="exact"/>
              <w:ind w:left="94" w:right="83"/>
              <w:rPr>
                <w:sz w:val="16"/>
              </w:rPr>
            </w:pPr>
            <w:r>
              <w:rPr>
                <w:sz w:val="16"/>
              </w:rPr>
              <w:t>1.59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0"/>
              <w:rPr>
                <w:sz w:val="16"/>
              </w:rPr>
            </w:pPr>
            <w:r>
              <w:rPr>
                <w:sz w:val="16"/>
              </w:rPr>
              <w:t>0.24</w:t>
            </w:r>
          </w:p>
        </w:tc>
      </w:tr>
      <w:tr>
        <w:trPr>
          <w:trHeight w:val="193" w:hRule="atLeast"/>
        </w:trPr>
        <w:tc>
          <w:tcPr>
            <w:tcW w:w="806" w:type="dxa"/>
          </w:tcPr>
          <w:p>
            <w:pPr>
              <w:pStyle w:val="TableParagraph"/>
              <w:ind w:left="109" w:right="103"/>
              <w:rPr>
                <w:sz w:val="16"/>
              </w:rPr>
            </w:pPr>
            <w:r>
              <w:rPr>
                <w:sz w:val="16"/>
              </w:rPr>
              <w:t>WCH-10</w:t>
            </w:r>
          </w:p>
        </w:tc>
        <w:tc>
          <w:tcPr>
            <w:tcW w:w="900" w:type="dxa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91.50</w:t>
            </w:r>
          </w:p>
        </w:tc>
        <w:tc>
          <w:tcPr>
            <w:tcW w:w="1260" w:type="dxa"/>
          </w:tcPr>
          <w:p>
            <w:pPr>
              <w:pStyle w:val="TableParagraph"/>
              <w:ind w:left="91" w:right="87"/>
              <w:rPr>
                <w:sz w:val="16"/>
              </w:rPr>
            </w:pPr>
            <w:r>
              <w:rPr>
                <w:sz w:val="16"/>
              </w:rPr>
              <w:t>7.00</w:t>
            </w:r>
          </w:p>
        </w:tc>
        <w:tc>
          <w:tcPr>
            <w:tcW w:w="1260" w:type="dxa"/>
          </w:tcPr>
          <w:p>
            <w:pPr>
              <w:pStyle w:val="TableParagraph"/>
              <w:ind w:left="91" w:right="87"/>
              <w:rPr>
                <w:sz w:val="16"/>
              </w:rPr>
            </w:pPr>
            <w:r>
              <w:rPr>
                <w:sz w:val="16"/>
              </w:rPr>
              <w:t>5.18</w:t>
            </w:r>
          </w:p>
        </w:tc>
        <w:tc>
          <w:tcPr>
            <w:tcW w:w="1260" w:type="dxa"/>
          </w:tcPr>
          <w:p>
            <w:pPr>
              <w:pStyle w:val="TableParagraph"/>
              <w:ind w:left="91" w:right="87"/>
              <w:rPr>
                <w:sz w:val="16"/>
              </w:rPr>
            </w:pPr>
            <w:r>
              <w:rPr>
                <w:sz w:val="16"/>
              </w:rPr>
              <w:t>4.07</w:t>
            </w:r>
          </w:p>
        </w:tc>
        <w:tc>
          <w:tcPr>
            <w:tcW w:w="1169" w:type="dxa"/>
          </w:tcPr>
          <w:p>
            <w:pPr>
              <w:pStyle w:val="TableParagraph"/>
              <w:ind w:left="122" w:right="118"/>
              <w:rPr>
                <w:sz w:val="16"/>
              </w:rPr>
            </w:pPr>
            <w:r>
              <w:rPr>
                <w:sz w:val="16"/>
              </w:rPr>
              <w:t>16.25</w:t>
            </w:r>
          </w:p>
        </w:tc>
        <w:tc>
          <w:tcPr>
            <w:tcW w:w="1440" w:type="dxa"/>
          </w:tcPr>
          <w:p>
            <w:pPr>
              <w:pStyle w:val="TableParagraph"/>
              <w:ind w:left="94" w:right="83"/>
              <w:rPr>
                <w:sz w:val="16"/>
              </w:rPr>
            </w:pPr>
            <w:r>
              <w:rPr>
                <w:sz w:val="16"/>
              </w:rPr>
              <w:t>1.32</w:t>
            </w:r>
          </w:p>
        </w:tc>
        <w:tc>
          <w:tcPr>
            <w:tcW w:w="900" w:type="dxa"/>
          </w:tcPr>
          <w:p>
            <w:pPr>
              <w:pStyle w:val="TableParagraph"/>
              <w:ind w:right="80"/>
              <w:rPr>
                <w:sz w:val="16"/>
              </w:rPr>
            </w:pPr>
            <w:r>
              <w:rPr>
                <w:sz w:val="16"/>
              </w:rPr>
              <w:t>0.58</w:t>
            </w:r>
          </w:p>
        </w:tc>
      </w:tr>
      <w:tr>
        <w:trPr>
          <w:trHeight w:val="196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spacing w:line="176" w:lineRule="exact"/>
              <w:ind w:left="111" w:right="102"/>
              <w:rPr>
                <w:sz w:val="16"/>
              </w:rPr>
            </w:pPr>
            <w:r>
              <w:rPr>
                <w:sz w:val="16"/>
              </w:rPr>
              <w:t>Wch-40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93.83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spacing w:line="176" w:lineRule="exact"/>
              <w:ind w:left="91" w:right="87"/>
              <w:rPr>
                <w:sz w:val="16"/>
              </w:rPr>
            </w:pPr>
            <w:r>
              <w:rPr>
                <w:sz w:val="16"/>
              </w:rPr>
              <w:t>3.50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spacing w:line="176" w:lineRule="exact"/>
              <w:ind w:left="91" w:right="87"/>
              <w:rPr>
                <w:sz w:val="16"/>
              </w:rPr>
            </w:pPr>
            <w:r>
              <w:rPr>
                <w:sz w:val="16"/>
              </w:rPr>
              <w:t>2.25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spacing w:line="176" w:lineRule="exact"/>
              <w:ind w:left="91" w:right="87"/>
              <w:rPr>
                <w:sz w:val="16"/>
              </w:rPr>
            </w:pPr>
            <w:r>
              <w:rPr>
                <w:sz w:val="16"/>
              </w:rPr>
              <w:t>3.29</w:t>
            </w:r>
          </w:p>
        </w:tc>
        <w:tc>
          <w:tcPr>
            <w:tcW w:w="1169" w:type="dxa"/>
            <w:shd w:val="clear" w:color="auto" w:fill="D8E1F2"/>
          </w:tcPr>
          <w:p>
            <w:pPr>
              <w:pStyle w:val="TableParagraph"/>
              <w:spacing w:line="176" w:lineRule="exact"/>
              <w:ind w:left="122" w:right="118"/>
              <w:rPr>
                <w:sz w:val="16"/>
              </w:rPr>
            </w:pPr>
            <w:r>
              <w:rPr>
                <w:sz w:val="16"/>
              </w:rPr>
              <w:t>9.04</w:t>
            </w:r>
          </w:p>
        </w:tc>
        <w:tc>
          <w:tcPr>
            <w:tcW w:w="1440" w:type="dxa"/>
            <w:shd w:val="clear" w:color="auto" w:fill="D8E1F2"/>
          </w:tcPr>
          <w:p>
            <w:pPr>
              <w:pStyle w:val="TableParagraph"/>
              <w:spacing w:line="176" w:lineRule="exact"/>
              <w:ind w:left="94" w:right="83"/>
              <w:rPr>
                <w:sz w:val="16"/>
              </w:rPr>
            </w:pPr>
            <w:r>
              <w:rPr>
                <w:sz w:val="16"/>
              </w:rPr>
              <w:t>1.58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0"/>
              <w:rPr>
                <w:sz w:val="16"/>
              </w:rPr>
            </w:pPr>
            <w:r>
              <w:rPr>
                <w:sz w:val="16"/>
              </w:rPr>
              <w:t>0.22</w:t>
            </w:r>
          </w:p>
        </w:tc>
      </w:tr>
      <w:tr>
        <w:trPr>
          <w:trHeight w:val="193" w:hRule="atLeast"/>
        </w:trPr>
        <w:tc>
          <w:tcPr>
            <w:tcW w:w="806" w:type="dxa"/>
          </w:tcPr>
          <w:p>
            <w:pPr>
              <w:pStyle w:val="TableParagraph"/>
              <w:ind w:left="109" w:right="103"/>
              <w:rPr>
                <w:sz w:val="16"/>
              </w:rPr>
            </w:pPr>
            <w:r>
              <w:rPr>
                <w:sz w:val="16"/>
              </w:rPr>
              <w:t>WCH-11</w:t>
            </w:r>
          </w:p>
        </w:tc>
        <w:tc>
          <w:tcPr>
            <w:tcW w:w="900" w:type="dxa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94.33</w:t>
            </w:r>
          </w:p>
        </w:tc>
        <w:tc>
          <w:tcPr>
            <w:tcW w:w="1260" w:type="dxa"/>
          </w:tcPr>
          <w:p>
            <w:pPr>
              <w:pStyle w:val="TableParagraph"/>
              <w:ind w:left="91" w:right="87"/>
              <w:rPr>
                <w:sz w:val="16"/>
              </w:rPr>
            </w:pPr>
            <w:r>
              <w:rPr>
                <w:sz w:val="16"/>
              </w:rPr>
              <w:t>5.89</w:t>
            </w:r>
          </w:p>
        </w:tc>
        <w:tc>
          <w:tcPr>
            <w:tcW w:w="1260" w:type="dxa"/>
          </w:tcPr>
          <w:p>
            <w:pPr>
              <w:pStyle w:val="TableParagraph"/>
              <w:ind w:left="91" w:right="87"/>
              <w:rPr>
                <w:sz w:val="16"/>
              </w:rPr>
            </w:pPr>
            <w:r>
              <w:rPr>
                <w:sz w:val="16"/>
              </w:rPr>
              <w:t>2.58</w:t>
            </w:r>
          </w:p>
        </w:tc>
        <w:tc>
          <w:tcPr>
            <w:tcW w:w="1260" w:type="dxa"/>
          </w:tcPr>
          <w:p>
            <w:pPr>
              <w:pStyle w:val="TableParagraph"/>
              <w:ind w:left="91" w:right="87"/>
              <w:rPr>
                <w:sz w:val="16"/>
              </w:rPr>
            </w:pPr>
            <w:r>
              <w:rPr>
                <w:sz w:val="16"/>
              </w:rPr>
              <w:t>2.53</w:t>
            </w:r>
          </w:p>
        </w:tc>
        <w:tc>
          <w:tcPr>
            <w:tcW w:w="1169" w:type="dxa"/>
          </w:tcPr>
          <w:p>
            <w:pPr>
              <w:pStyle w:val="TableParagraph"/>
              <w:ind w:left="122" w:right="118"/>
              <w:rPr>
                <w:sz w:val="16"/>
              </w:rPr>
            </w:pPr>
            <w:r>
              <w:rPr>
                <w:sz w:val="16"/>
              </w:rPr>
              <w:t>11.00</w:t>
            </w:r>
          </w:p>
        </w:tc>
        <w:tc>
          <w:tcPr>
            <w:tcW w:w="1440" w:type="dxa"/>
          </w:tcPr>
          <w:p>
            <w:pPr>
              <w:pStyle w:val="TableParagraph"/>
              <w:ind w:left="94" w:right="83"/>
              <w:rPr>
                <w:sz w:val="16"/>
              </w:rPr>
            </w:pPr>
            <w:r>
              <w:rPr>
                <w:sz w:val="16"/>
              </w:rPr>
              <w:t>0.87</w:t>
            </w:r>
          </w:p>
        </w:tc>
        <w:tc>
          <w:tcPr>
            <w:tcW w:w="900" w:type="dxa"/>
          </w:tcPr>
          <w:p>
            <w:pPr>
              <w:pStyle w:val="TableParagraph"/>
              <w:ind w:right="80"/>
              <w:rPr>
                <w:sz w:val="16"/>
              </w:rPr>
            </w:pPr>
            <w:r>
              <w:rPr>
                <w:sz w:val="16"/>
              </w:rPr>
              <w:t>0.48</w:t>
            </w:r>
          </w:p>
        </w:tc>
      </w:tr>
      <w:tr>
        <w:trPr>
          <w:trHeight w:val="196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spacing w:line="176" w:lineRule="exact"/>
              <w:ind w:left="109" w:right="103"/>
              <w:rPr>
                <w:sz w:val="16"/>
              </w:rPr>
            </w:pPr>
            <w:r>
              <w:rPr>
                <w:sz w:val="16"/>
              </w:rPr>
              <w:t>WCH-12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98.00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spacing w:line="176" w:lineRule="exact"/>
              <w:ind w:left="91" w:right="87"/>
              <w:rPr>
                <w:sz w:val="16"/>
              </w:rPr>
            </w:pPr>
            <w:r>
              <w:rPr>
                <w:sz w:val="16"/>
              </w:rPr>
              <w:t>4.26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spacing w:line="176" w:lineRule="exact"/>
              <w:ind w:left="91" w:right="87"/>
              <w:rPr>
                <w:sz w:val="16"/>
              </w:rPr>
            </w:pPr>
            <w:r>
              <w:rPr>
                <w:sz w:val="16"/>
              </w:rPr>
              <w:t>2.19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spacing w:line="176" w:lineRule="exact"/>
              <w:ind w:left="91" w:right="87"/>
              <w:rPr>
                <w:sz w:val="16"/>
              </w:rPr>
            </w:pPr>
            <w:r>
              <w:rPr>
                <w:sz w:val="16"/>
              </w:rPr>
              <w:t>1.17</w:t>
            </w:r>
          </w:p>
        </w:tc>
        <w:tc>
          <w:tcPr>
            <w:tcW w:w="1169" w:type="dxa"/>
            <w:shd w:val="clear" w:color="auto" w:fill="D8E1F2"/>
          </w:tcPr>
          <w:p>
            <w:pPr>
              <w:pStyle w:val="TableParagraph"/>
              <w:spacing w:line="176" w:lineRule="exact"/>
              <w:ind w:left="122" w:right="118"/>
              <w:rPr>
                <w:sz w:val="16"/>
              </w:rPr>
            </w:pPr>
            <w:r>
              <w:rPr>
                <w:sz w:val="16"/>
              </w:rPr>
              <w:t>7.62</w:t>
            </w:r>
          </w:p>
        </w:tc>
        <w:tc>
          <w:tcPr>
            <w:tcW w:w="1440" w:type="dxa"/>
            <w:shd w:val="clear" w:color="auto" w:fill="D8E1F2"/>
          </w:tcPr>
          <w:p>
            <w:pPr>
              <w:pStyle w:val="TableParagraph"/>
              <w:spacing w:line="176" w:lineRule="exact"/>
              <w:ind w:left="94" w:right="83"/>
              <w:rPr>
                <w:sz w:val="16"/>
              </w:rPr>
            </w:pPr>
            <w:r>
              <w:rPr>
                <w:sz w:val="16"/>
              </w:rPr>
              <w:t>0.79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0"/>
              <w:rPr>
                <w:sz w:val="16"/>
              </w:rPr>
            </w:pPr>
            <w:r>
              <w:rPr>
                <w:sz w:val="16"/>
              </w:rPr>
              <w:t>0.98</w:t>
            </w:r>
          </w:p>
        </w:tc>
      </w:tr>
      <w:tr>
        <w:trPr>
          <w:trHeight w:val="194" w:hRule="atLeast"/>
        </w:trPr>
        <w:tc>
          <w:tcPr>
            <w:tcW w:w="806" w:type="dxa"/>
          </w:tcPr>
          <w:p>
            <w:pPr>
              <w:pStyle w:val="TableParagraph"/>
              <w:ind w:left="109" w:right="103"/>
              <w:rPr>
                <w:sz w:val="16"/>
              </w:rPr>
            </w:pPr>
            <w:r>
              <w:rPr>
                <w:sz w:val="16"/>
              </w:rPr>
              <w:t>WCH-13</w:t>
            </w:r>
          </w:p>
        </w:tc>
        <w:tc>
          <w:tcPr>
            <w:tcW w:w="900" w:type="dxa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102.17</w:t>
            </w:r>
          </w:p>
        </w:tc>
        <w:tc>
          <w:tcPr>
            <w:tcW w:w="1260" w:type="dxa"/>
          </w:tcPr>
          <w:p>
            <w:pPr>
              <w:pStyle w:val="TableParagraph"/>
              <w:ind w:left="91" w:right="87"/>
              <w:rPr>
                <w:sz w:val="16"/>
              </w:rPr>
            </w:pPr>
            <w:r>
              <w:rPr>
                <w:sz w:val="16"/>
              </w:rPr>
              <w:t>2.20</w:t>
            </w:r>
          </w:p>
        </w:tc>
        <w:tc>
          <w:tcPr>
            <w:tcW w:w="1260" w:type="dxa"/>
          </w:tcPr>
          <w:p>
            <w:pPr>
              <w:pStyle w:val="TableParagraph"/>
              <w:ind w:left="91" w:right="87"/>
              <w:rPr>
                <w:sz w:val="16"/>
              </w:rPr>
            </w:pPr>
            <w:r>
              <w:rPr>
                <w:sz w:val="16"/>
              </w:rPr>
              <w:t>2.47</w:t>
            </w:r>
          </w:p>
        </w:tc>
        <w:tc>
          <w:tcPr>
            <w:tcW w:w="1260" w:type="dxa"/>
          </w:tcPr>
          <w:p>
            <w:pPr>
              <w:pStyle w:val="TableParagraph"/>
              <w:ind w:left="91" w:right="87"/>
              <w:rPr>
                <w:sz w:val="16"/>
              </w:rPr>
            </w:pPr>
            <w:r>
              <w:rPr>
                <w:sz w:val="16"/>
              </w:rPr>
              <w:t>1.06</w:t>
            </w:r>
          </w:p>
        </w:tc>
        <w:tc>
          <w:tcPr>
            <w:tcW w:w="1169" w:type="dxa"/>
          </w:tcPr>
          <w:p>
            <w:pPr>
              <w:pStyle w:val="TableParagraph"/>
              <w:ind w:left="122" w:right="118"/>
              <w:rPr>
                <w:sz w:val="16"/>
              </w:rPr>
            </w:pPr>
            <w:r>
              <w:rPr>
                <w:sz w:val="16"/>
              </w:rPr>
              <w:t>5.72</w:t>
            </w:r>
          </w:p>
        </w:tc>
        <w:tc>
          <w:tcPr>
            <w:tcW w:w="1440" w:type="dxa"/>
          </w:tcPr>
          <w:p>
            <w:pPr>
              <w:pStyle w:val="TableParagraph"/>
              <w:ind w:left="94" w:right="83"/>
              <w:rPr>
                <w:sz w:val="16"/>
              </w:rPr>
            </w:pPr>
            <w:r>
              <w:rPr>
                <w:sz w:val="16"/>
              </w:rPr>
              <w:t>1.61</w:t>
            </w:r>
          </w:p>
        </w:tc>
        <w:tc>
          <w:tcPr>
            <w:tcW w:w="900" w:type="dxa"/>
          </w:tcPr>
          <w:p>
            <w:pPr>
              <w:pStyle w:val="TableParagraph"/>
              <w:ind w:right="80"/>
              <w:rPr>
                <w:sz w:val="16"/>
              </w:rPr>
            </w:pPr>
            <w:r>
              <w:rPr>
                <w:sz w:val="16"/>
              </w:rPr>
              <w:t>0.71</w:t>
            </w:r>
          </w:p>
        </w:tc>
      </w:tr>
      <w:tr>
        <w:trPr>
          <w:trHeight w:val="196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spacing w:line="176" w:lineRule="exact"/>
              <w:ind w:left="109" w:right="103"/>
              <w:rPr>
                <w:sz w:val="16"/>
              </w:rPr>
            </w:pPr>
            <w:r>
              <w:rPr>
                <w:sz w:val="16"/>
              </w:rPr>
              <w:t>WCH-14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105.50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spacing w:line="176" w:lineRule="exact"/>
              <w:ind w:left="91" w:right="87"/>
              <w:rPr>
                <w:sz w:val="16"/>
              </w:rPr>
            </w:pPr>
            <w:r>
              <w:rPr>
                <w:sz w:val="16"/>
              </w:rPr>
              <w:t>2.13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spacing w:line="176" w:lineRule="exact"/>
              <w:ind w:left="91" w:right="87"/>
              <w:rPr>
                <w:sz w:val="16"/>
              </w:rPr>
            </w:pPr>
            <w:r>
              <w:rPr>
                <w:sz w:val="16"/>
              </w:rPr>
              <w:t>1.13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spacing w:line="176" w:lineRule="exact"/>
              <w:ind w:left="91" w:right="87"/>
              <w:rPr>
                <w:sz w:val="16"/>
              </w:rPr>
            </w:pPr>
            <w:r>
              <w:rPr>
                <w:sz w:val="16"/>
              </w:rPr>
              <w:t>2.06</w:t>
            </w:r>
          </w:p>
        </w:tc>
        <w:tc>
          <w:tcPr>
            <w:tcW w:w="1169" w:type="dxa"/>
            <w:shd w:val="clear" w:color="auto" w:fill="D8E1F2"/>
          </w:tcPr>
          <w:p>
            <w:pPr>
              <w:pStyle w:val="TableParagraph"/>
              <w:spacing w:line="176" w:lineRule="exact"/>
              <w:ind w:left="122" w:right="118"/>
              <w:rPr>
                <w:sz w:val="16"/>
              </w:rPr>
            </w:pPr>
            <w:r>
              <w:rPr>
                <w:sz w:val="16"/>
              </w:rPr>
              <w:t>5.32</w:t>
            </w:r>
          </w:p>
        </w:tc>
        <w:tc>
          <w:tcPr>
            <w:tcW w:w="1440" w:type="dxa"/>
            <w:shd w:val="clear" w:color="auto" w:fill="D8E1F2"/>
          </w:tcPr>
          <w:p>
            <w:pPr>
              <w:pStyle w:val="TableParagraph"/>
              <w:spacing w:line="176" w:lineRule="exact"/>
              <w:ind w:left="94" w:right="83"/>
              <w:rPr>
                <w:sz w:val="16"/>
              </w:rPr>
            </w:pPr>
            <w:r>
              <w:rPr>
                <w:sz w:val="16"/>
              </w:rPr>
              <w:t>1.49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0"/>
              <w:rPr>
                <w:sz w:val="16"/>
              </w:rPr>
            </w:pPr>
            <w:r>
              <w:rPr>
                <w:sz w:val="16"/>
              </w:rPr>
              <w:t>0.59</w:t>
            </w:r>
          </w:p>
        </w:tc>
      </w:tr>
      <w:tr>
        <w:trPr>
          <w:trHeight w:val="194" w:hRule="atLeast"/>
        </w:trPr>
        <w:tc>
          <w:tcPr>
            <w:tcW w:w="806" w:type="dxa"/>
          </w:tcPr>
          <w:p>
            <w:pPr>
              <w:pStyle w:val="TableParagraph"/>
              <w:ind w:left="111" w:right="102"/>
              <w:rPr>
                <w:sz w:val="16"/>
              </w:rPr>
            </w:pPr>
            <w:r>
              <w:rPr>
                <w:sz w:val="16"/>
              </w:rPr>
              <w:t>Wch-41</w:t>
            </w:r>
          </w:p>
        </w:tc>
        <w:tc>
          <w:tcPr>
            <w:tcW w:w="900" w:type="dxa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109.17</w:t>
            </w:r>
          </w:p>
        </w:tc>
        <w:tc>
          <w:tcPr>
            <w:tcW w:w="1260" w:type="dxa"/>
          </w:tcPr>
          <w:p>
            <w:pPr>
              <w:pStyle w:val="TableParagraph"/>
              <w:ind w:left="91" w:right="87"/>
              <w:rPr>
                <w:sz w:val="16"/>
              </w:rPr>
            </w:pPr>
            <w:r>
              <w:rPr>
                <w:sz w:val="16"/>
              </w:rPr>
              <w:t>0.95</w:t>
            </w:r>
          </w:p>
        </w:tc>
        <w:tc>
          <w:tcPr>
            <w:tcW w:w="1260" w:type="dxa"/>
          </w:tcPr>
          <w:p>
            <w:pPr>
              <w:pStyle w:val="TableParagraph"/>
              <w:ind w:left="91" w:right="87"/>
              <w:rPr>
                <w:sz w:val="16"/>
              </w:rPr>
            </w:pPr>
            <w:r>
              <w:rPr>
                <w:sz w:val="16"/>
              </w:rPr>
              <w:t>0.12</w:t>
            </w:r>
          </w:p>
        </w:tc>
        <w:tc>
          <w:tcPr>
            <w:tcW w:w="1260" w:type="dxa"/>
          </w:tcPr>
          <w:p>
            <w:pPr>
              <w:pStyle w:val="TableParagraph"/>
              <w:ind w:left="91" w:right="87"/>
              <w:rPr>
                <w:sz w:val="16"/>
              </w:rPr>
            </w:pPr>
            <w:r>
              <w:rPr>
                <w:sz w:val="16"/>
              </w:rPr>
              <w:t>0.62</w:t>
            </w:r>
          </w:p>
        </w:tc>
        <w:tc>
          <w:tcPr>
            <w:tcW w:w="1169" w:type="dxa"/>
          </w:tcPr>
          <w:p>
            <w:pPr>
              <w:pStyle w:val="TableParagraph"/>
              <w:ind w:left="122" w:right="118"/>
              <w:rPr>
                <w:sz w:val="16"/>
              </w:rPr>
            </w:pPr>
            <w:r>
              <w:rPr>
                <w:sz w:val="16"/>
              </w:rPr>
              <w:t>1.70</w:t>
            </w:r>
          </w:p>
        </w:tc>
        <w:tc>
          <w:tcPr>
            <w:tcW w:w="1440" w:type="dxa"/>
          </w:tcPr>
          <w:p>
            <w:pPr>
              <w:pStyle w:val="TableParagraph"/>
              <w:ind w:left="94" w:right="83"/>
              <w:rPr>
                <w:sz w:val="16"/>
              </w:rPr>
            </w:pPr>
            <w:r>
              <w:rPr>
                <w:sz w:val="16"/>
              </w:rPr>
              <w:t>0.78</w:t>
            </w:r>
          </w:p>
        </w:tc>
        <w:tc>
          <w:tcPr>
            <w:tcW w:w="900" w:type="dxa"/>
          </w:tcPr>
          <w:p>
            <w:pPr>
              <w:pStyle w:val="TableParagraph"/>
              <w:ind w:right="80"/>
              <w:rPr>
                <w:sz w:val="16"/>
              </w:rPr>
            </w:pPr>
            <w:r>
              <w:rPr>
                <w:sz w:val="16"/>
              </w:rPr>
              <w:t>0.11</w:t>
            </w:r>
          </w:p>
        </w:tc>
      </w:tr>
      <w:tr>
        <w:trPr>
          <w:trHeight w:val="196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111" w:right="102"/>
              <w:rPr>
                <w:sz w:val="16"/>
              </w:rPr>
            </w:pPr>
            <w:r>
              <w:rPr>
                <w:sz w:val="16"/>
              </w:rPr>
              <w:t>Wch-42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right="84"/>
              <w:rPr>
                <w:sz w:val="16"/>
              </w:rPr>
            </w:pPr>
            <w:r>
              <w:rPr>
                <w:sz w:val="16"/>
              </w:rPr>
              <w:t>112.50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91" w:right="87"/>
              <w:rPr>
                <w:sz w:val="16"/>
              </w:rPr>
            </w:pPr>
            <w:r>
              <w:rPr>
                <w:sz w:val="16"/>
              </w:rPr>
              <w:t>1.12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91" w:right="87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91" w:right="87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169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122" w:right="118"/>
              <w:rPr>
                <w:sz w:val="16"/>
              </w:rPr>
            </w:pPr>
            <w:r>
              <w:rPr>
                <w:sz w:val="16"/>
              </w:rPr>
              <w:t>1.12</w:t>
            </w:r>
          </w:p>
        </w:tc>
        <w:tc>
          <w:tcPr>
            <w:tcW w:w="1440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9"/>
              <w:rPr>
                <w:sz w:val="16"/>
              </w:rPr>
            </w:pPr>
            <w:r>
              <w:rPr>
                <w:w w:val="100"/>
                <w:sz w:val="16"/>
              </w:rPr>
              <w:t>0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right="80"/>
              <w:rPr>
                <w:sz w:val="16"/>
              </w:rPr>
            </w:pPr>
            <w:r>
              <w:rPr>
                <w:sz w:val="16"/>
              </w:rPr>
              <w:t>0.15</w:t>
            </w:r>
          </w:p>
        </w:tc>
      </w:tr>
      <w:tr>
        <w:trPr>
          <w:trHeight w:val="194" w:hRule="atLeast"/>
        </w:trPr>
        <w:tc>
          <w:tcPr>
            <w:tcW w:w="806" w:type="dxa"/>
          </w:tcPr>
          <w:p>
            <w:pPr>
              <w:pStyle w:val="TableParagraph"/>
              <w:ind w:left="109" w:right="103"/>
              <w:rPr>
                <w:sz w:val="16"/>
              </w:rPr>
            </w:pPr>
            <w:r>
              <w:rPr>
                <w:sz w:val="16"/>
              </w:rPr>
              <w:t>WCH-15</w:t>
            </w:r>
          </w:p>
        </w:tc>
        <w:tc>
          <w:tcPr>
            <w:tcW w:w="900" w:type="dxa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115.00</w:t>
            </w:r>
          </w:p>
        </w:tc>
        <w:tc>
          <w:tcPr>
            <w:tcW w:w="1260" w:type="dxa"/>
          </w:tcPr>
          <w:p>
            <w:pPr>
              <w:pStyle w:val="TableParagraph"/>
              <w:ind w:left="91" w:right="87"/>
              <w:rPr>
                <w:sz w:val="16"/>
              </w:rPr>
            </w:pPr>
            <w:r>
              <w:rPr>
                <w:sz w:val="16"/>
              </w:rPr>
              <w:t>0.79</w:t>
            </w:r>
          </w:p>
        </w:tc>
        <w:tc>
          <w:tcPr>
            <w:tcW w:w="1260" w:type="dxa"/>
          </w:tcPr>
          <w:p>
            <w:pPr>
              <w:pStyle w:val="TableParagraph"/>
              <w:ind w:left="91" w:right="87"/>
              <w:rPr>
                <w:sz w:val="16"/>
              </w:rPr>
            </w:pPr>
            <w:r>
              <w:rPr>
                <w:sz w:val="16"/>
              </w:rPr>
              <w:t>0.05</w:t>
            </w:r>
          </w:p>
        </w:tc>
        <w:tc>
          <w:tcPr>
            <w:tcW w:w="1260" w:type="dxa"/>
          </w:tcPr>
          <w:p>
            <w:pPr>
              <w:pStyle w:val="TableParagraph"/>
              <w:ind w:left="91" w:right="87"/>
              <w:rPr>
                <w:sz w:val="16"/>
              </w:rPr>
            </w:pPr>
            <w:r>
              <w:rPr>
                <w:sz w:val="16"/>
              </w:rPr>
              <w:t>0.52</w:t>
            </w:r>
          </w:p>
        </w:tc>
        <w:tc>
          <w:tcPr>
            <w:tcW w:w="1169" w:type="dxa"/>
          </w:tcPr>
          <w:p>
            <w:pPr>
              <w:pStyle w:val="TableParagraph"/>
              <w:ind w:left="122" w:right="118"/>
              <w:rPr>
                <w:sz w:val="16"/>
              </w:rPr>
            </w:pPr>
            <w:r>
              <w:rPr>
                <w:sz w:val="16"/>
              </w:rPr>
              <w:t>1.37</w:t>
            </w:r>
          </w:p>
        </w:tc>
        <w:tc>
          <w:tcPr>
            <w:tcW w:w="1440" w:type="dxa"/>
          </w:tcPr>
          <w:p>
            <w:pPr>
              <w:pStyle w:val="TableParagraph"/>
              <w:ind w:left="94" w:right="83"/>
              <w:rPr>
                <w:sz w:val="16"/>
              </w:rPr>
            </w:pPr>
            <w:r>
              <w:rPr>
                <w:sz w:val="16"/>
              </w:rPr>
              <w:t>0.73</w:t>
            </w:r>
          </w:p>
        </w:tc>
        <w:tc>
          <w:tcPr>
            <w:tcW w:w="900" w:type="dxa"/>
          </w:tcPr>
          <w:p>
            <w:pPr>
              <w:pStyle w:val="TableParagraph"/>
              <w:ind w:right="80"/>
              <w:rPr>
                <w:sz w:val="16"/>
              </w:rPr>
            </w:pPr>
            <w:r>
              <w:rPr>
                <w:sz w:val="16"/>
              </w:rPr>
              <w:t>0.43</w:t>
            </w:r>
          </w:p>
        </w:tc>
      </w:tr>
      <w:tr>
        <w:trPr>
          <w:trHeight w:val="196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109" w:right="103"/>
              <w:rPr>
                <w:sz w:val="16"/>
              </w:rPr>
            </w:pPr>
            <w:r>
              <w:rPr>
                <w:sz w:val="16"/>
              </w:rPr>
              <w:t>WCH-16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right="84"/>
              <w:rPr>
                <w:sz w:val="16"/>
              </w:rPr>
            </w:pPr>
            <w:r>
              <w:rPr>
                <w:sz w:val="16"/>
              </w:rPr>
              <w:t>118.00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91" w:right="87"/>
              <w:rPr>
                <w:sz w:val="16"/>
              </w:rPr>
            </w:pPr>
            <w:r>
              <w:rPr>
                <w:sz w:val="16"/>
              </w:rPr>
              <w:t>0.17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91" w:right="87"/>
              <w:rPr>
                <w:sz w:val="16"/>
              </w:rPr>
            </w:pPr>
            <w:r>
              <w:rPr>
                <w:sz w:val="16"/>
              </w:rPr>
              <w:t>0.03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91" w:right="87"/>
              <w:rPr>
                <w:sz w:val="16"/>
              </w:rPr>
            </w:pPr>
            <w:r>
              <w:rPr>
                <w:sz w:val="16"/>
              </w:rPr>
              <w:t>0.04</w:t>
            </w:r>
          </w:p>
        </w:tc>
        <w:tc>
          <w:tcPr>
            <w:tcW w:w="1169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122" w:right="118"/>
              <w:rPr>
                <w:sz w:val="16"/>
              </w:rPr>
            </w:pPr>
            <w:r>
              <w:rPr>
                <w:sz w:val="16"/>
              </w:rPr>
              <w:t>0.23</w:t>
            </w:r>
          </w:p>
        </w:tc>
        <w:tc>
          <w:tcPr>
            <w:tcW w:w="1440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94" w:right="83"/>
              <w:rPr>
                <w:sz w:val="16"/>
              </w:rPr>
            </w:pPr>
            <w:r>
              <w:rPr>
                <w:sz w:val="16"/>
              </w:rPr>
              <w:t>0.41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right="80"/>
              <w:rPr>
                <w:sz w:val="16"/>
              </w:rPr>
            </w:pPr>
            <w:r>
              <w:rPr>
                <w:sz w:val="16"/>
              </w:rPr>
              <w:t>0.15</w:t>
            </w: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6" w:lineRule="exact"/>
              <w:ind w:left="109" w:right="103"/>
              <w:rPr>
                <w:sz w:val="16"/>
              </w:rPr>
            </w:pPr>
            <w:r>
              <w:rPr>
                <w:sz w:val="16"/>
              </w:rPr>
              <w:t>WCH-17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121.00</w:t>
            </w:r>
          </w:p>
        </w:tc>
        <w:tc>
          <w:tcPr>
            <w:tcW w:w="1260" w:type="dxa"/>
          </w:tcPr>
          <w:p>
            <w:pPr>
              <w:pStyle w:val="TableParagraph"/>
              <w:spacing w:line="176" w:lineRule="exact"/>
              <w:ind w:left="91" w:right="87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60" w:type="dxa"/>
          </w:tcPr>
          <w:p>
            <w:pPr>
              <w:pStyle w:val="TableParagraph"/>
              <w:spacing w:line="176" w:lineRule="exact"/>
              <w:ind w:left="91" w:right="87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60" w:type="dxa"/>
          </w:tcPr>
          <w:p>
            <w:pPr>
              <w:pStyle w:val="TableParagraph"/>
              <w:spacing w:line="176" w:lineRule="exact"/>
              <w:ind w:left="91" w:right="87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169" w:type="dxa"/>
          </w:tcPr>
          <w:p>
            <w:pPr>
              <w:pStyle w:val="TableParagraph"/>
              <w:spacing w:line="176" w:lineRule="exact"/>
              <w:ind w:left="122" w:right="118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440" w:type="dxa"/>
          </w:tcPr>
          <w:p>
            <w:pPr>
              <w:pStyle w:val="TableParagraph"/>
              <w:spacing w:line="176" w:lineRule="exact"/>
              <w:ind w:left="9"/>
              <w:rPr>
                <w:sz w:val="16"/>
              </w:rPr>
            </w:pPr>
            <w:r>
              <w:rPr>
                <w:w w:val="100"/>
                <w:sz w:val="16"/>
              </w:rPr>
              <w:t>0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left="7"/>
              <w:rPr>
                <w:sz w:val="16"/>
              </w:rPr>
            </w:pPr>
            <w:r>
              <w:rPr>
                <w:w w:val="100"/>
                <w:sz w:val="16"/>
              </w:rPr>
              <w:t>0</w:t>
            </w:r>
          </w:p>
        </w:tc>
      </w:tr>
      <w:tr>
        <w:trPr>
          <w:trHeight w:val="193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ind w:left="109" w:right="103"/>
              <w:rPr>
                <w:sz w:val="16"/>
              </w:rPr>
            </w:pPr>
            <w:r>
              <w:rPr>
                <w:sz w:val="16"/>
              </w:rPr>
              <w:t>WCH-18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124.42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ind w:left="91" w:right="87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ind w:left="91" w:right="87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ind w:left="91" w:right="87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169" w:type="dxa"/>
            <w:shd w:val="clear" w:color="auto" w:fill="D8E1F2"/>
          </w:tcPr>
          <w:p>
            <w:pPr>
              <w:pStyle w:val="TableParagraph"/>
              <w:ind w:left="122" w:right="118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440" w:type="dxa"/>
            <w:shd w:val="clear" w:color="auto" w:fill="D8E1F2"/>
          </w:tcPr>
          <w:p>
            <w:pPr>
              <w:pStyle w:val="TableParagraph"/>
              <w:ind w:left="9"/>
              <w:rPr>
                <w:sz w:val="16"/>
              </w:rPr>
            </w:pPr>
            <w:r>
              <w:rPr>
                <w:w w:val="100"/>
                <w:sz w:val="16"/>
              </w:rPr>
              <w:t>0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left="7"/>
              <w:rPr>
                <w:sz w:val="16"/>
              </w:rPr>
            </w:pPr>
            <w:r>
              <w:rPr>
                <w:w w:val="100"/>
                <w:sz w:val="16"/>
              </w:rPr>
              <w:t>0</w:t>
            </w: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6" w:lineRule="exact"/>
              <w:ind w:left="111" w:right="102"/>
              <w:rPr>
                <w:sz w:val="16"/>
              </w:rPr>
            </w:pPr>
            <w:r>
              <w:rPr>
                <w:sz w:val="16"/>
              </w:rPr>
              <w:t>Wch-43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126.17</w:t>
            </w:r>
          </w:p>
        </w:tc>
        <w:tc>
          <w:tcPr>
            <w:tcW w:w="1260" w:type="dxa"/>
          </w:tcPr>
          <w:p>
            <w:pPr>
              <w:pStyle w:val="TableParagraph"/>
              <w:spacing w:line="176" w:lineRule="exact"/>
              <w:ind w:left="91" w:right="87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60" w:type="dxa"/>
          </w:tcPr>
          <w:p>
            <w:pPr>
              <w:pStyle w:val="TableParagraph"/>
              <w:spacing w:line="176" w:lineRule="exact"/>
              <w:ind w:left="91" w:right="87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60" w:type="dxa"/>
          </w:tcPr>
          <w:p>
            <w:pPr>
              <w:pStyle w:val="TableParagraph"/>
              <w:spacing w:line="176" w:lineRule="exact"/>
              <w:ind w:left="91" w:right="87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169" w:type="dxa"/>
          </w:tcPr>
          <w:p>
            <w:pPr>
              <w:pStyle w:val="TableParagraph"/>
              <w:spacing w:line="176" w:lineRule="exact"/>
              <w:ind w:left="122" w:right="118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440" w:type="dxa"/>
          </w:tcPr>
          <w:p>
            <w:pPr>
              <w:pStyle w:val="TableParagraph"/>
              <w:spacing w:line="176" w:lineRule="exact"/>
              <w:ind w:left="9"/>
              <w:rPr>
                <w:sz w:val="16"/>
              </w:rPr>
            </w:pPr>
            <w:r>
              <w:rPr>
                <w:w w:val="100"/>
                <w:sz w:val="16"/>
              </w:rPr>
              <w:t>0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left="7"/>
              <w:rPr>
                <w:sz w:val="16"/>
              </w:rPr>
            </w:pPr>
            <w:r>
              <w:rPr>
                <w:w w:val="100"/>
                <w:sz w:val="16"/>
              </w:rPr>
              <w:t>0</w:t>
            </w:r>
          </w:p>
        </w:tc>
      </w:tr>
      <w:tr>
        <w:trPr>
          <w:trHeight w:val="193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ind w:left="109" w:right="103"/>
              <w:rPr>
                <w:sz w:val="16"/>
              </w:rPr>
            </w:pPr>
            <w:r>
              <w:rPr>
                <w:sz w:val="16"/>
              </w:rPr>
              <w:t>WCH-19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129.00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ind w:left="91" w:right="87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ind w:left="91" w:right="87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ind w:left="91" w:right="87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169" w:type="dxa"/>
            <w:shd w:val="clear" w:color="auto" w:fill="D8E1F2"/>
          </w:tcPr>
          <w:p>
            <w:pPr>
              <w:pStyle w:val="TableParagraph"/>
              <w:ind w:left="122" w:right="118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440" w:type="dxa"/>
            <w:shd w:val="clear" w:color="auto" w:fill="D8E1F2"/>
          </w:tcPr>
          <w:p>
            <w:pPr>
              <w:pStyle w:val="TableParagraph"/>
              <w:ind w:left="9"/>
              <w:rPr>
                <w:sz w:val="16"/>
              </w:rPr>
            </w:pPr>
            <w:r>
              <w:rPr>
                <w:w w:val="100"/>
                <w:sz w:val="16"/>
              </w:rPr>
              <w:t>0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left="7"/>
              <w:rPr>
                <w:sz w:val="16"/>
              </w:rPr>
            </w:pPr>
            <w:r>
              <w:rPr>
                <w:w w:val="100"/>
                <w:sz w:val="16"/>
              </w:rPr>
              <w:t>0</w:t>
            </w: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6" w:lineRule="exact"/>
              <w:ind w:left="109" w:right="103"/>
              <w:rPr>
                <w:sz w:val="16"/>
              </w:rPr>
            </w:pPr>
            <w:r>
              <w:rPr>
                <w:sz w:val="16"/>
              </w:rPr>
              <w:t>WCH-20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130.00</w:t>
            </w:r>
          </w:p>
        </w:tc>
        <w:tc>
          <w:tcPr>
            <w:tcW w:w="1260" w:type="dxa"/>
          </w:tcPr>
          <w:p>
            <w:pPr>
              <w:pStyle w:val="TableParagraph"/>
              <w:spacing w:line="176" w:lineRule="exact"/>
              <w:ind w:left="91" w:right="87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60" w:type="dxa"/>
          </w:tcPr>
          <w:p>
            <w:pPr>
              <w:pStyle w:val="TableParagraph"/>
              <w:spacing w:line="176" w:lineRule="exact"/>
              <w:ind w:left="91" w:right="87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60" w:type="dxa"/>
          </w:tcPr>
          <w:p>
            <w:pPr>
              <w:pStyle w:val="TableParagraph"/>
              <w:spacing w:line="176" w:lineRule="exact"/>
              <w:ind w:left="91" w:right="87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169" w:type="dxa"/>
          </w:tcPr>
          <w:p>
            <w:pPr>
              <w:pStyle w:val="TableParagraph"/>
              <w:spacing w:line="176" w:lineRule="exact"/>
              <w:ind w:left="122" w:right="118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440" w:type="dxa"/>
          </w:tcPr>
          <w:p>
            <w:pPr>
              <w:pStyle w:val="TableParagraph"/>
              <w:spacing w:line="176" w:lineRule="exact"/>
              <w:ind w:left="9"/>
              <w:rPr>
                <w:sz w:val="16"/>
              </w:rPr>
            </w:pPr>
            <w:r>
              <w:rPr>
                <w:w w:val="100"/>
                <w:sz w:val="16"/>
              </w:rPr>
              <w:t>0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left="7"/>
              <w:rPr>
                <w:sz w:val="16"/>
              </w:rPr>
            </w:pPr>
            <w:r>
              <w:rPr>
                <w:w w:val="100"/>
                <w:sz w:val="16"/>
              </w:rPr>
              <w:t>0</w:t>
            </w:r>
          </w:p>
        </w:tc>
      </w:tr>
      <w:tr>
        <w:trPr>
          <w:trHeight w:val="194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ind w:left="111" w:right="102"/>
              <w:rPr>
                <w:sz w:val="16"/>
              </w:rPr>
            </w:pPr>
            <w:r>
              <w:rPr>
                <w:sz w:val="16"/>
              </w:rPr>
              <w:t>Wch-60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131.75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ind w:left="91" w:right="87"/>
              <w:rPr>
                <w:sz w:val="16"/>
              </w:rPr>
            </w:pPr>
            <w:r>
              <w:rPr>
                <w:sz w:val="16"/>
              </w:rPr>
              <w:t>0.09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ind w:left="91" w:right="87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ind w:left="91" w:right="87"/>
              <w:rPr>
                <w:sz w:val="16"/>
              </w:rPr>
            </w:pPr>
            <w:r>
              <w:rPr>
                <w:sz w:val="16"/>
              </w:rPr>
              <w:t>0.06</w:t>
            </w:r>
          </w:p>
        </w:tc>
        <w:tc>
          <w:tcPr>
            <w:tcW w:w="1169" w:type="dxa"/>
            <w:shd w:val="clear" w:color="auto" w:fill="D8E1F2"/>
          </w:tcPr>
          <w:p>
            <w:pPr>
              <w:pStyle w:val="TableParagraph"/>
              <w:ind w:left="122" w:right="118"/>
              <w:rPr>
                <w:sz w:val="16"/>
              </w:rPr>
            </w:pPr>
            <w:r>
              <w:rPr>
                <w:sz w:val="16"/>
              </w:rPr>
              <w:t>0.15</w:t>
            </w:r>
          </w:p>
        </w:tc>
        <w:tc>
          <w:tcPr>
            <w:tcW w:w="1440" w:type="dxa"/>
            <w:shd w:val="clear" w:color="auto" w:fill="D8E1F2"/>
          </w:tcPr>
          <w:p>
            <w:pPr>
              <w:pStyle w:val="TableParagraph"/>
              <w:ind w:left="94" w:right="83"/>
              <w:rPr>
                <w:sz w:val="16"/>
              </w:rPr>
            </w:pPr>
            <w:r>
              <w:rPr>
                <w:sz w:val="16"/>
              </w:rPr>
              <w:t>0.61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80"/>
              <w:rPr>
                <w:sz w:val="16"/>
              </w:rPr>
            </w:pPr>
            <w:r>
              <w:rPr>
                <w:sz w:val="16"/>
              </w:rPr>
              <w:t>0.03</w:t>
            </w: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6" w:lineRule="exact"/>
              <w:ind w:left="111" w:right="102"/>
              <w:rPr>
                <w:sz w:val="16"/>
              </w:rPr>
            </w:pPr>
            <w:r>
              <w:rPr>
                <w:sz w:val="16"/>
              </w:rPr>
              <w:t>Wch-61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132.75</w:t>
            </w:r>
          </w:p>
        </w:tc>
        <w:tc>
          <w:tcPr>
            <w:tcW w:w="1260" w:type="dxa"/>
          </w:tcPr>
          <w:p>
            <w:pPr>
              <w:pStyle w:val="TableParagraph"/>
              <w:spacing w:line="176" w:lineRule="exact"/>
              <w:ind w:left="91" w:right="87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60" w:type="dxa"/>
          </w:tcPr>
          <w:p>
            <w:pPr>
              <w:pStyle w:val="TableParagraph"/>
              <w:spacing w:line="176" w:lineRule="exact"/>
              <w:ind w:left="91" w:right="87"/>
              <w:rPr>
                <w:sz w:val="16"/>
              </w:rPr>
            </w:pPr>
            <w:r>
              <w:rPr>
                <w:sz w:val="16"/>
              </w:rPr>
              <w:t>0.93</w:t>
            </w:r>
          </w:p>
        </w:tc>
        <w:tc>
          <w:tcPr>
            <w:tcW w:w="1260" w:type="dxa"/>
          </w:tcPr>
          <w:p>
            <w:pPr>
              <w:pStyle w:val="TableParagraph"/>
              <w:spacing w:line="176" w:lineRule="exact"/>
              <w:ind w:left="91" w:right="87"/>
              <w:rPr>
                <w:sz w:val="16"/>
              </w:rPr>
            </w:pPr>
            <w:r>
              <w:rPr>
                <w:sz w:val="16"/>
              </w:rPr>
              <w:t>1.17</w:t>
            </w:r>
          </w:p>
        </w:tc>
        <w:tc>
          <w:tcPr>
            <w:tcW w:w="1169" w:type="dxa"/>
          </w:tcPr>
          <w:p>
            <w:pPr>
              <w:pStyle w:val="TableParagraph"/>
              <w:spacing w:line="176" w:lineRule="exact"/>
              <w:ind w:left="122" w:right="118"/>
              <w:rPr>
                <w:sz w:val="16"/>
              </w:rPr>
            </w:pPr>
            <w:r>
              <w:rPr>
                <w:sz w:val="16"/>
              </w:rPr>
              <w:t>2.09</w:t>
            </w:r>
          </w:p>
        </w:tc>
        <w:tc>
          <w:tcPr>
            <w:tcW w:w="1440" w:type="dxa"/>
          </w:tcPr>
          <w:p>
            <w:pPr>
              <w:pStyle w:val="TableParagraph"/>
              <w:spacing w:line="176" w:lineRule="exact"/>
              <w:ind w:left="9"/>
              <w:rPr>
                <w:sz w:val="16"/>
              </w:rPr>
            </w:pPr>
            <w:r>
              <w:rPr>
                <w:w w:val="100"/>
                <w:sz w:val="16"/>
              </w:rPr>
              <w:t>0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80"/>
              <w:rPr>
                <w:sz w:val="16"/>
              </w:rPr>
            </w:pPr>
            <w:r>
              <w:rPr>
                <w:sz w:val="16"/>
              </w:rPr>
              <w:t>0.14</w:t>
            </w:r>
          </w:p>
        </w:tc>
      </w:tr>
      <w:tr>
        <w:trPr>
          <w:trHeight w:val="194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ind w:left="109" w:right="103"/>
              <w:rPr>
                <w:sz w:val="16"/>
              </w:rPr>
            </w:pPr>
            <w:r>
              <w:rPr>
                <w:sz w:val="16"/>
              </w:rPr>
              <w:t>WCH-21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133.50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ind w:left="91" w:right="87"/>
              <w:rPr>
                <w:sz w:val="16"/>
              </w:rPr>
            </w:pPr>
            <w:r>
              <w:rPr>
                <w:sz w:val="16"/>
              </w:rPr>
              <w:t>0.46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ind w:left="91" w:right="87"/>
              <w:rPr>
                <w:sz w:val="16"/>
              </w:rPr>
            </w:pPr>
            <w:r>
              <w:rPr>
                <w:sz w:val="16"/>
              </w:rPr>
              <w:t>1.08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ind w:left="91" w:right="87"/>
              <w:rPr>
                <w:sz w:val="16"/>
              </w:rPr>
            </w:pPr>
            <w:r>
              <w:rPr>
                <w:sz w:val="16"/>
              </w:rPr>
              <w:t>1.08</w:t>
            </w:r>
          </w:p>
        </w:tc>
        <w:tc>
          <w:tcPr>
            <w:tcW w:w="1169" w:type="dxa"/>
            <w:shd w:val="clear" w:color="auto" w:fill="D8E1F2"/>
          </w:tcPr>
          <w:p>
            <w:pPr>
              <w:pStyle w:val="TableParagraph"/>
              <w:ind w:left="122" w:right="118"/>
              <w:rPr>
                <w:sz w:val="16"/>
              </w:rPr>
            </w:pPr>
            <w:r>
              <w:rPr>
                <w:sz w:val="16"/>
              </w:rPr>
              <w:t>2.63</w:t>
            </w:r>
          </w:p>
        </w:tc>
        <w:tc>
          <w:tcPr>
            <w:tcW w:w="1440" w:type="dxa"/>
            <w:shd w:val="clear" w:color="auto" w:fill="D8E1F2"/>
          </w:tcPr>
          <w:p>
            <w:pPr>
              <w:pStyle w:val="TableParagraph"/>
              <w:ind w:left="94" w:right="83"/>
              <w:rPr>
                <w:sz w:val="16"/>
              </w:rPr>
            </w:pPr>
            <w:r>
              <w:rPr>
                <w:sz w:val="16"/>
              </w:rPr>
              <w:t>4.67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80"/>
              <w:rPr>
                <w:sz w:val="16"/>
              </w:rPr>
            </w:pPr>
            <w:r>
              <w:rPr>
                <w:sz w:val="16"/>
              </w:rPr>
              <w:t>0.15</w:t>
            </w: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5" w:lineRule="exact" w:before="1"/>
              <w:ind w:left="111" w:right="102"/>
              <w:rPr>
                <w:sz w:val="16"/>
              </w:rPr>
            </w:pPr>
            <w:r>
              <w:rPr>
                <w:sz w:val="16"/>
              </w:rPr>
              <w:t>Wch-44</w:t>
            </w:r>
          </w:p>
        </w:tc>
        <w:tc>
          <w:tcPr>
            <w:tcW w:w="900" w:type="dxa"/>
          </w:tcPr>
          <w:p>
            <w:pPr>
              <w:pStyle w:val="TableParagraph"/>
              <w:spacing w:line="175" w:lineRule="exact" w:before="1"/>
              <w:ind w:right="84"/>
              <w:rPr>
                <w:sz w:val="16"/>
              </w:rPr>
            </w:pPr>
            <w:r>
              <w:rPr>
                <w:sz w:val="16"/>
              </w:rPr>
              <w:t>134.00</w:t>
            </w:r>
          </w:p>
        </w:tc>
        <w:tc>
          <w:tcPr>
            <w:tcW w:w="1260" w:type="dxa"/>
          </w:tcPr>
          <w:p>
            <w:pPr>
              <w:pStyle w:val="TableParagraph"/>
              <w:spacing w:line="175" w:lineRule="exact" w:before="1"/>
              <w:ind w:left="91" w:right="87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60" w:type="dxa"/>
          </w:tcPr>
          <w:p>
            <w:pPr>
              <w:pStyle w:val="TableParagraph"/>
              <w:spacing w:line="175" w:lineRule="exact" w:before="1"/>
              <w:ind w:left="91" w:right="87"/>
              <w:rPr>
                <w:sz w:val="16"/>
              </w:rPr>
            </w:pPr>
            <w:r>
              <w:rPr>
                <w:sz w:val="16"/>
              </w:rPr>
              <w:t>0.93</w:t>
            </w:r>
          </w:p>
        </w:tc>
        <w:tc>
          <w:tcPr>
            <w:tcW w:w="1260" w:type="dxa"/>
          </w:tcPr>
          <w:p>
            <w:pPr>
              <w:pStyle w:val="TableParagraph"/>
              <w:spacing w:line="175" w:lineRule="exact" w:before="1"/>
              <w:ind w:left="91" w:right="87"/>
              <w:rPr>
                <w:sz w:val="16"/>
              </w:rPr>
            </w:pPr>
            <w:r>
              <w:rPr>
                <w:sz w:val="16"/>
              </w:rPr>
              <w:t>1.60</w:t>
            </w:r>
          </w:p>
        </w:tc>
        <w:tc>
          <w:tcPr>
            <w:tcW w:w="1169" w:type="dxa"/>
          </w:tcPr>
          <w:p>
            <w:pPr>
              <w:pStyle w:val="TableParagraph"/>
              <w:spacing w:line="175" w:lineRule="exact" w:before="1"/>
              <w:ind w:left="122" w:right="118"/>
              <w:rPr>
                <w:sz w:val="16"/>
              </w:rPr>
            </w:pPr>
            <w:r>
              <w:rPr>
                <w:sz w:val="16"/>
              </w:rPr>
              <w:t>2.53</w:t>
            </w:r>
          </w:p>
        </w:tc>
        <w:tc>
          <w:tcPr>
            <w:tcW w:w="1440" w:type="dxa"/>
          </w:tcPr>
          <w:p>
            <w:pPr>
              <w:pStyle w:val="TableParagraph"/>
              <w:spacing w:line="175" w:lineRule="exact" w:before="1"/>
              <w:ind w:left="9"/>
              <w:rPr>
                <w:sz w:val="16"/>
              </w:rPr>
            </w:pPr>
            <w:r>
              <w:rPr>
                <w:w w:val="100"/>
                <w:sz w:val="16"/>
              </w:rPr>
              <w:t>0</w:t>
            </w:r>
          </w:p>
        </w:tc>
        <w:tc>
          <w:tcPr>
            <w:tcW w:w="900" w:type="dxa"/>
          </w:tcPr>
          <w:p>
            <w:pPr>
              <w:pStyle w:val="TableParagraph"/>
              <w:spacing w:line="175" w:lineRule="exact" w:before="1"/>
              <w:ind w:right="80"/>
              <w:rPr>
                <w:sz w:val="16"/>
              </w:rPr>
            </w:pPr>
            <w:r>
              <w:rPr>
                <w:sz w:val="16"/>
              </w:rPr>
              <w:t>0.19</w:t>
            </w:r>
          </w:p>
        </w:tc>
      </w:tr>
      <w:tr>
        <w:trPr>
          <w:trHeight w:val="196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spacing w:line="176" w:lineRule="exact"/>
              <w:ind w:left="109" w:right="103"/>
              <w:rPr>
                <w:sz w:val="16"/>
              </w:rPr>
            </w:pPr>
            <w:r>
              <w:rPr>
                <w:sz w:val="16"/>
              </w:rPr>
              <w:t>WCH-22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136.00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spacing w:line="176" w:lineRule="exact"/>
              <w:ind w:left="91" w:right="87"/>
              <w:rPr>
                <w:sz w:val="16"/>
              </w:rPr>
            </w:pPr>
            <w:r>
              <w:rPr>
                <w:sz w:val="16"/>
              </w:rPr>
              <w:t>0.47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spacing w:line="176" w:lineRule="exact"/>
              <w:ind w:left="91" w:right="87"/>
              <w:rPr>
                <w:sz w:val="16"/>
              </w:rPr>
            </w:pPr>
            <w:r>
              <w:rPr>
                <w:sz w:val="16"/>
              </w:rPr>
              <w:t>0.32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spacing w:line="176" w:lineRule="exact"/>
              <w:ind w:left="91" w:right="87"/>
              <w:rPr>
                <w:sz w:val="16"/>
              </w:rPr>
            </w:pPr>
            <w:r>
              <w:rPr>
                <w:sz w:val="16"/>
              </w:rPr>
              <w:t>1.07</w:t>
            </w:r>
          </w:p>
        </w:tc>
        <w:tc>
          <w:tcPr>
            <w:tcW w:w="1169" w:type="dxa"/>
            <w:shd w:val="clear" w:color="auto" w:fill="D8E1F2"/>
          </w:tcPr>
          <w:p>
            <w:pPr>
              <w:pStyle w:val="TableParagraph"/>
              <w:spacing w:line="176" w:lineRule="exact"/>
              <w:ind w:left="122" w:right="118"/>
              <w:rPr>
                <w:sz w:val="16"/>
              </w:rPr>
            </w:pPr>
            <w:r>
              <w:rPr>
                <w:sz w:val="16"/>
              </w:rPr>
              <w:t>1.86</w:t>
            </w:r>
          </w:p>
        </w:tc>
        <w:tc>
          <w:tcPr>
            <w:tcW w:w="1440" w:type="dxa"/>
            <w:shd w:val="clear" w:color="auto" w:fill="D8E1F2"/>
          </w:tcPr>
          <w:p>
            <w:pPr>
              <w:pStyle w:val="TableParagraph"/>
              <w:spacing w:line="176" w:lineRule="exact"/>
              <w:ind w:left="94" w:right="83"/>
              <w:rPr>
                <w:sz w:val="16"/>
              </w:rPr>
            </w:pPr>
            <w:r>
              <w:rPr>
                <w:sz w:val="16"/>
              </w:rPr>
              <w:t>2.96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0"/>
              <w:rPr>
                <w:sz w:val="16"/>
              </w:rPr>
            </w:pPr>
            <w:r>
              <w:rPr>
                <w:sz w:val="16"/>
              </w:rPr>
              <w:t>0.11</w:t>
            </w:r>
          </w:p>
        </w:tc>
      </w:tr>
      <w:tr>
        <w:trPr>
          <w:trHeight w:val="194" w:hRule="atLeast"/>
        </w:trPr>
        <w:tc>
          <w:tcPr>
            <w:tcW w:w="806" w:type="dxa"/>
          </w:tcPr>
          <w:p>
            <w:pPr>
              <w:pStyle w:val="TableParagraph"/>
              <w:ind w:left="109" w:right="103"/>
              <w:rPr>
                <w:sz w:val="16"/>
              </w:rPr>
            </w:pPr>
            <w:r>
              <w:rPr>
                <w:sz w:val="16"/>
              </w:rPr>
              <w:t>WCH-23</w:t>
            </w:r>
          </w:p>
        </w:tc>
        <w:tc>
          <w:tcPr>
            <w:tcW w:w="900" w:type="dxa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137.25</w:t>
            </w:r>
          </w:p>
        </w:tc>
        <w:tc>
          <w:tcPr>
            <w:tcW w:w="1260" w:type="dxa"/>
          </w:tcPr>
          <w:p>
            <w:pPr>
              <w:pStyle w:val="TableParagraph"/>
              <w:ind w:left="91" w:right="87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60" w:type="dxa"/>
          </w:tcPr>
          <w:p>
            <w:pPr>
              <w:pStyle w:val="TableParagraph"/>
              <w:ind w:left="91" w:right="87"/>
              <w:rPr>
                <w:sz w:val="16"/>
              </w:rPr>
            </w:pPr>
            <w:r>
              <w:rPr>
                <w:sz w:val="16"/>
              </w:rPr>
              <w:t>1.24</w:t>
            </w:r>
          </w:p>
        </w:tc>
        <w:tc>
          <w:tcPr>
            <w:tcW w:w="1260" w:type="dxa"/>
          </w:tcPr>
          <w:p>
            <w:pPr>
              <w:pStyle w:val="TableParagraph"/>
              <w:ind w:left="91" w:right="87"/>
              <w:rPr>
                <w:sz w:val="16"/>
              </w:rPr>
            </w:pPr>
            <w:r>
              <w:rPr>
                <w:sz w:val="16"/>
              </w:rPr>
              <w:t>1.47</w:t>
            </w:r>
          </w:p>
        </w:tc>
        <w:tc>
          <w:tcPr>
            <w:tcW w:w="1169" w:type="dxa"/>
          </w:tcPr>
          <w:p>
            <w:pPr>
              <w:pStyle w:val="TableParagraph"/>
              <w:ind w:left="122" w:right="118"/>
              <w:rPr>
                <w:sz w:val="16"/>
              </w:rPr>
            </w:pPr>
            <w:r>
              <w:rPr>
                <w:sz w:val="16"/>
              </w:rPr>
              <w:t>2.71</w:t>
            </w:r>
          </w:p>
        </w:tc>
        <w:tc>
          <w:tcPr>
            <w:tcW w:w="1440" w:type="dxa"/>
          </w:tcPr>
          <w:p>
            <w:pPr>
              <w:pStyle w:val="TableParagraph"/>
              <w:ind w:left="9"/>
              <w:rPr>
                <w:sz w:val="16"/>
              </w:rPr>
            </w:pPr>
            <w:r>
              <w:rPr>
                <w:w w:val="100"/>
                <w:sz w:val="16"/>
              </w:rPr>
              <w:t>0</w:t>
            </w:r>
          </w:p>
        </w:tc>
        <w:tc>
          <w:tcPr>
            <w:tcW w:w="900" w:type="dxa"/>
          </w:tcPr>
          <w:p>
            <w:pPr>
              <w:pStyle w:val="TableParagraph"/>
              <w:ind w:right="80"/>
              <w:rPr>
                <w:sz w:val="16"/>
              </w:rPr>
            </w:pPr>
            <w:r>
              <w:rPr>
                <w:sz w:val="16"/>
              </w:rPr>
              <w:t>0.14</w:t>
            </w:r>
          </w:p>
        </w:tc>
      </w:tr>
      <w:tr>
        <w:trPr>
          <w:trHeight w:val="196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spacing w:line="176" w:lineRule="exact"/>
              <w:ind w:left="109" w:right="103"/>
              <w:rPr>
                <w:sz w:val="16"/>
              </w:rPr>
            </w:pPr>
            <w:r>
              <w:rPr>
                <w:sz w:val="16"/>
              </w:rPr>
              <w:t>WCH-24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138.50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spacing w:line="176" w:lineRule="exact"/>
              <w:ind w:left="91" w:right="87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spacing w:line="176" w:lineRule="exact"/>
              <w:ind w:left="91" w:right="87"/>
              <w:rPr>
                <w:sz w:val="16"/>
              </w:rPr>
            </w:pPr>
            <w:r>
              <w:rPr>
                <w:sz w:val="16"/>
              </w:rPr>
              <w:t>0.61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spacing w:line="176" w:lineRule="exact"/>
              <w:ind w:left="91" w:right="87"/>
              <w:rPr>
                <w:sz w:val="16"/>
              </w:rPr>
            </w:pPr>
            <w:r>
              <w:rPr>
                <w:sz w:val="16"/>
              </w:rPr>
              <w:t>1.06</w:t>
            </w:r>
          </w:p>
        </w:tc>
        <w:tc>
          <w:tcPr>
            <w:tcW w:w="1169" w:type="dxa"/>
            <w:shd w:val="clear" w:color="auto" w:fill="D8E1F2"/>
          </w:tcPr>
          <w:p>
            <w:pPr>
              <w:pStyle w:val="TableParagraph"/>
              <w:spacing w:line="176" w:lineRule="exact"/>
              <w:ind w:left="122" w:right="118"/>
              <w:rPr>
                <w:sz w:val="16"/>
              </w:rPr>
            </w:pPr>
            <w:r>
              <w:rPr>
                <w:sz w:val="16"/>
              </w:rPr>
              <w:t>1.67</w:t>
            </w:r>
          </w:p>
        </w:tc>
        <w:tc>
          <w:tcPr>
            <w:tcW w:w="1440" w:type="dxa"/>
            <w:shd w:val="clear" w:color="auto" w:fill="D8E1F2"/>
          </w:tcPr>
          <w:p>
            <w:pPr>
              <w:pStyle w:val="TableParagraph"/>
              <w:spacing w:line="176" w:lineRule="exact"/>
              <w:ind w:left="9"/>
              <w:rPr>
                <w:sz w:val="16"/>
              </w:rPr>
            </w:pPr>
            <w:r>
              <w:rPr>
                <w:w w:val="100"/>
                <w:sz w:val="16"/>
              </w:rPr>
              <w:t>0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0"/>
              <w:rPr>
                <w:sz w:val="16"/>
              </w:rPr>
            </w:pPr>
            <w:r>
              <w:rPr>
                <w:sz w:val="16"/>
              </w:rPr>
              <w:t>0.10</w:t>
            </w:r>
          </w:p>
        </w:tc>
      </w:tr>
      <w:tr>
        <w:trPr>
          <w:trHeight w:val="193" w:hRule="atLeast"/>
        </w:trPr>
        <w:tc>
          <w:tcPr>
            <w:tcW w:w="806" w:type="dxa"/>
          </w:tcPr>
          <w:p>
            <w:pPr>
              <w:pStyle w:val="TableParagraph"/>
              <w:ind w:left="109" w:right="103"/>
              <w:rPr>
                <w:sz w:val="16"/>
              </w:rPr>
            </w:pPr>
            <w:r>
              <w:rPr>
                <w:sz w:val="16"/>
              </w:rPr>
              <w:t>WCH-25</w:t>
            </w:r>
          </w:p>
        </w:tc>
        <w:tc>
          <w:tcPr>
            <w:tcW w:w="900" w:type="dxa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139.67</w:t>
            </w:r>
          </w:p>
        </w:tc>
        <w:tc>
          <w:tcPr>
            <w:tcW w:w="1260" w:type="dxa"/>
          </w:tcPr>
          <w:p>
            <w:pPr>
              <w:pStyle w:val="TableParagraph"/>
              <w:ind w:left="91" w:right="87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60" w:type="dxa"/>
          </w:tcPr>
          <w:p>
            <w:pPr>
              <w:pStyle w:val="TableParagraph"/>
              <w:ind w:left="91" w:right="87"/>
              <w:rPr>
                <w:sz w:val="16"/>
              </w:rPr>
            </w:pPr>
            <w:r>
              <w:rPr>
                <w:sz w:val="16"/>
              </w:rPr>
              <w:t>0.83</w:t>
            </w:r>
          </w:p>
        </w:tc>
        <w:tc>
          <w:tcPr>
            <w:tcW w:w="1260" w:type="dxa"/>
          </w:tcPr>
          <w:p>
            <w:pPr>
              <w:pStyle w:val="TableParagraph"/>
              <w:ind w:left="91" w:right="87"/>
              <w:rPr>
                <w:sz w:val="16"/>
              </w:rPr>
            </w:pPr>
            <w:r>
              <w:rPr>
                <w:sz w:val="16"/>
              </w:rPr>
              <w:t>1.07</w:t>
            </w:r>
          </w:p>
        </w:tc>
        <w:tc>
          <w:tcPr>
            <w:tcW w:w="1169" w:type="dxa"/>
          </w:tcPr>
          <w:p>
            <w:pPr>
              <w:pStyle w:val="TableParagraph"/>
              <w:ind w:left="122" w:right="118"/>
              <w:rPr>
                <w:sz w:val="16"/>
              </w:rPr>
            </w:pPr>
            <w:r>
              <w:rPr>
                <w:sz w:val="16"/>
              </w:rPr>
              <w:t>1.90</w:t>
            </w:r>
          </w:p>
        </w:tc>
        <w:tc>
          <w:tcPr>
            <w:tcW w:w="1440" w:type="dxa"/>
          </w:tcPr>
          <w:p>
            <w:pPr>
              <w:pStyle w:val="TableParagraph"/>
              <w:ind w:left="9"/>
              <w:rPr>
                <w:sz w:val="16"/>
              </w:rPr>
            </w:pPr>
            <w:r>
              <w:rPr>
                <w:w w:val="100"/>
                <w:sz w:val="16"/>
              </w:rPr>
              <w:t>0</w:t>
            </w:r>
          </w:p>
        </w:tc>
        <w:tc>
          <w:tcPr>
            <w:tcW w:w="900" w:type="dxa"/>
          </w:tcPr>
          <w:p>
            <w:pPr>
              <w:pStyle w:val="TableParagraph"/>
              <w:ind w:right="80"/>
              <w:rPr>
                <w:sz w:val="16"/>
              </w:rPr>
            </w:pPr>
            <w:r>
              <w:rPr>
                <w:sz w:val="16"/>
              </w:rPr>
              <w:t>0.11</w:t>
            </w:r>
          </w:p>
        </w:tc>
      </w:tr>
      <w:tr>
        <w:trPr>
          <w:trHeight w:val="196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spacing w:line="176" w:lineRule="exact"/>
              <w:ind w:left="109" w:right="103"/>
              <w:rPr>
                <w:sz w:val="16"/>
              </w:rPr>
            </w:pPr>
            <w:r>
              <w:rPr>
                <w:sz w:val="16"/>
              </w:rPr>
              <w:t>WCH-26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141.08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spacing w:line="176" w:lineRule="exact"/>
              <w:ind w:left="91" w:right="87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spacing w:line="176" w:lineRule="exact"/>
              <w:ind w:left="91" w:right="87"/>
              <w:rPr>
                <w:sz w:val="16"/>
              </w:rPr>
            </w:pPr>
            <w:r>
              <w:rPr>
                <w:sz w:val="16"/>
              </w:rPr>
              <w:t>0.74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spacing w:line="176" w:lineRule="exact"/>
              <w:ind w:left="91" w:right="87"/>
              <w:rPr>
                <w:sz w:val="16"/>
              </w:rPr>
            </w:pPr>
            <w:r>
              <w:rPr>
                <w:sz w:val="16"/>
              </w:rPr>
              <w:t>1.37</w:t>
            </w:r>
          </w:p>
        </w:tc>
        <w:tc>
          <w:tcPr>
            <w:tcW w:w="1169" w:type="dxa"/>
            <w:shd w:val="clear" w:color="auto" w:fill="D8E1F2"/>
          </w:tcPr>
          <w:p>
            <w:pPr>
              <w:pStyle w:val="TableParagraph"/>
              <w:spacing w:line="176" w:lineRule="exact"/>
              <w:ind w:left="122" w:right="118"/>
              <w:rPr>
                <w:sz w:val="16"/>
              </w:rPr>
            </w:pPr>
            <w:r>
              <w:rPr>
                <w:sz w:val="16"/>
              </w:rPr>
              <w:t>2.11</w:t>
            </w:r>
          </w:p>
        </w:tc>
        <w:tc>
          <w:tcPr>
            <w:tcW w:w="1440" w:type="dxa"/>
            <w:shd w:val="clear" w:color="auto" w:fill="D8E1F2"/>
          </w:tcPr>
          <w:p>
            <w:pPr>
              <w:pStyle w:val="TableParagraph"/>
              <w:spacing w:line="176" w:lineRule="exact"/>
              <w:ind w:left="9"/>
              <w:rPr>
                <w:sz w:val="16"/>
              </w:rPr>
            </w:pPr>
            <w:r>
              <w:rPr>
                <w:w w:val="100"/>
                <w:sz w:val="16"/>
              </w:rPr>
              <w:t>0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0"/>
              <w:rPr>
                <w:sz w:val="16"/>
              </w:rPr>
            </w:pPr>
            <w:r>
              <w:rPr>
                <w:sz w:val="16"/>
              </w:rPr>
              <w:t>0.11</w:t>
            </w:r>
          </w:p>
        </w:tc>
      </w:tr>
    </w:tbl>
    <w:p>
      <w:pPr>
        <w:spacing w:after="0" w:line="176" w:lineRule="exact"/>
        <w:rPr>
          <w:sz w:val="16"/>
        </w:rPr>
        <w:sectPr>
          <w:footerReference w:type="default" r:id="rId76"/>
          <w:pgSz w:w="12240" w:h="15840"/>
          <w:pgMar w:footer="1014" w:header="0" w:top="1440" w:bottom="1200" w:left="1320" w:right="820"/>
        </w:sectPr>
      </w:pPr>
    </w:p>
    <w:tbl>
      <w:tblPr>
        <w:tblW w:w="0" w:type="auto"/>
        <w:jc w:val="left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6"/>
        <w:gridCol w:w="900"/>
        <w:gridCol w:w="1260"/>
        <w:gridCol w:w="1260"/>
        <w:gridCol w:w="1260"/>
        <w:gridCol w:w="1169"/>
        <w:gridCol w:w="1440"/>
        <w:gridCol w:w="900"/>
      </w:tblGrid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6" w:lineRule="exact"/>
              <w:ind w:left="109" w:right="103"/>
              <w:rPr>
                <w:sz w:val="16"/>
              </w:rPr>
            </w:pPr>
            <w:r>
              <w:rPr>
                <w:sz w:val="16"/>
              </w:rPr>
              <w:t>WCH-27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142.25</w:t>
            </w:r>
          </w:p>
        </w:tc>
        <w:tc>
          <w:tcPr>
            <w:tcW w:w="1260" w:type="dxa"/>
          </w:tcPr>
          <w:p>
            <w:pPr>
              <w:pStyle w:val="TableParagraph"/>
              <w:spacing w:line="176" w:lineRule="exact"/>
              <w:ind w:left="91" w:right="87"/>
              <w:rPr>
                <w:sz w:val="16"/>
              </w:rPr>
            </w:pPr>
            <w:r>
              <w:rPr>
                <w:sz w:val="16"/>
              </w:rPr>
              <w:t>0.26</w:t>
            </w:r>
          </w:p>
        </w:tc>
        <w:tc>
          <w:tcPr>
            <w:tcW w:w="1260" w:type="dxa"/>
          </w:tcPr>
          <w:p>
            <w:pPr>
              <w:pStyle w:val="TableParagraph"/>
              <w:spacing w:line="176" w:lineRule="exact"/>
              <w:ind w:left="91" w:right="87"/>
              <w:rPr>
                <w:sz w:val="16"/>
              </w:rPr>
            </w:pPr>
            <w:r>
              <w:rPr>
                <w:sz w:val="16"/>
              </w:rPr>
              <w:t>1.23</w:t>
            </w:r>
          </w:p>
        </w:tc>
        <w:tc>
          <w:tcPr>
            <w:tcW w:w="1260" w:type="dxa"/>
          </w:tcPr>
          <w:p>
            <w:pPr>
              <w:pStyle w:val="TableParagraph"/>
              <w:spacing w:line="176" w:lineRule="exact"/>
              <w:ind w:left="91" w:right="87"/>
              <w:rPr>
                <w:sz w:val="16"/>
              </w:rPr>
            </w:pPr>
            <w:r>
              <w:rPr>
                <w:sz w:val="16"/>
              </w:rPr>
              <w:t>1.57</w:t>
            </w:r>
          </w:p>
        </w:tc>
        <w:tc>
          <w:tcPr>
            <w:tcW w:w="1169" w:type="dxa"/>
          </w:tcPr>
          <w:p>
            <w:pPr>
              <w:pStyle w:val="TableParagraph"/>
              <w:spacing w:line="176" w:lineRule="exact"/>
              <w:ind w:left="122" w:right="118"/>
              <w:rPr>
                <w:sz w:val="16"/>
              </w:rPr>
            </w:pPr>
            <w:r>
              <w:rPr>
                <w:sz w:val="16"/>
              </w:rPr>
              <w:t>3.06</w:t>
            </w:r>
          </w:p>
        </w:tc>
        <w:tc>
          <w:tcPr>
            <w:tcW w:w="1440" w:type="dxa"/>
          </w:tcPr>
          <w:p>
            <w:pPr>
              <w:pStyle w:val="TableParagraph"/>
              <w:spacing w:line="176" w:lineRule="exact"/>
              <w:ind w:left="94" w:right="83"/>
              <w:rPr>
                <w:sz w:val="16"/>
              </w:rPr>
            </w:pPr>
            <w:r>
              <w:rPr>
                <w:sz w:val="16"/>
              </w:rPr>
              <w:t>10.93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80"/>
              <w:rPr>
                <w:sz w:val="16"/>
              </w:rPr>
            </w:pPr>
            <w:r>
              <w:rPr>
                <w:sz w:val="16"/>
              </w:rPr>
              <w:t>0.15</w:t>
            </w:r>
          </w:p>
        </w:tc>
      </w:tr>
      <w:tr>
        <w:trPr>
          <w:trHeight w:val="193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ind w:left="109" w:right="103"/>
              <w:rPr>
                <w:sz w:val="16"/>
              </w:rPr>
            </w:pPr>
            <w:r>
              <w:rPr>
                <w:sz w:val="16"/>
              </w:rPr>
              <w:t>WCH-28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143.50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ind w:left="91" w:right="87"/>
              <w:rPr>
                <w:sz w:val="16"/>
              </w:rPr>
            </w:pPr>
            <w:r>
              <w:rPr>
                <w:sz w:val="16"/>
              </w:rPr>
              <w:t>0.30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ind w:left="91" w:right="87"/>
              <w:rPr>
                <w:sz w:val="16"/>
              </w:rPr>
            </w:pPr>
            <w:r>
              <w:rPr>
                <w:sz w:val="16"/>
              </w:rPr>
              <w:t>1.04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ind w:left="91" w:right="87"/>
              <w:rPr>
                <w:sz w:val="16"/>
              </w:rPr>
            </w:pPr>
            <w:r>
              <w:rPr>
                <w:sz w:val="16"/>
              </w:rPr>
              <w:t>1.51</w:t>
            </w:r>
          </w:p>
        </w:tc>
        <w:tc>
          <w:tcPr>
            <w:tcW w:w="1169" w:type="dxa"/>
            <w:shd w:val="clear" w:color="auto" w:fill="D8E1F2"/>
          </w:tcPr>
          <w:p>
            <w:pPr>
              <w:pStyle w:val="TableParagraph"/>
              <w:ind w:left="122" w:right="118"/>
              <w:rPr>
                <w:sz w:val="16"/>
              </w:rPr>
            </w:pPr>
            <w:r>
              <w:rPr>
                <w:sz w:val="16"/>
              </w:rPr>
              <w:t>2.85</w:t>
            </w:r>
          </w:p>
        </w:tc>
        <w:tc>
          <w:tcPr>
            <w:tcW w:w="1440" w:type="dxa"/>
            <w:shd w:val="clear" w:color="auto" w:fill="D8E1F2"/>
          </w:tcPr>
          <w:p>
            <w:pPr>
              <w:pStyle w:val="TableParagraph"/>
              <w:ind w:left="94" w:right="83"/>
              <w:rPr>
                <w:sz w:val="16"/>
              </w:rPr>
            </w:pPr>
            <w:r>
              <w:rPr>
                <w:sz w:val="16"/>
              </w:rPr>
              <w:t>8.53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80"/>
              <w:rPr>
                <w:sz w:val="16"/>
              </w:rPr>
            </w:pPr>
            <w:r>
              <w:rPr>
                <w:sz w:val="16"/>
              </w:rPr>
              <w:t>0.12</w:t>
            </w: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6" w:lineRule="exact"/>
              <w:ind w:left="111" w:right="102"/>
              <w:rPr>
                <w:sz w:val="16"/>
              </w:rPr>
            </w:pPr>
            <w:r>
              <w:rPr>
                <w:sz w:val="16"/>
              </w:rPr>
              <w:t>Wch-45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145.17</w:t>
            </w:r>
          </w:p>
        </w:tc>
        <w:tc>
          <w:tcPr>
            <w:tcW w:w="1260" w:type="dxa"/>
          </w:tcPr>
          <w:p>
            <w:pPr>
              <w:pStyle w:val="TableParagraph"/>
              <w:spacing w:line="176" w:lineRule="exact"/>
              <w:ind w:left="91" w:right="87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60" w:type="dxa"/>
          </w:tcPr>
          <w:p>
            <w:pPr>
              <w:pStyle w:val="TableParagraph"/>
              <w:spacing w:line="176" w:lineRule="exact"/>
              <w:ind w:left="91" w:right="87"/>
              <w:rPr>
                <w:sz w:val="16"/>
              </w:rPr>
            </w:pPr>
            <w:r>
              <w:rPr>
                <w:sz w:val="16"/>
              </w:rPr>
              <w:t>1.74</w:t>
            </w:r>
          </w:p>
        </w:tc>
        <w:tc>
          <w:tcPr>
            <w:tcW w:w="1260" w:type="dxa"/>
          </w:tcPr>
          <w:p>
            <w:pPr>
              <w:pStyle w:val="TableParagraph"/>
              <w:spacing w:line="176" w:lineRule="exact"/>
              <w:ind w:left="91" w:right="87"/>
              <w:rPr>
                <w:sz w:val="16"/>
              </w:rPr>
            </w:pPr>
            <w:r>
              <w:rPr>
                <w:sz w:val="16"/>
              </w:rPr>
              <w:t>2.50</w:t>
            </w:r>
          </w:p>
        </w:tc>
        <w:tc>
          <w:tcPr>
            <w:tcW w:w="1169" w:type="dxa"/>
          </w:tcPr>
          <w:p>
            <w:pPr>
              <w:pStyle w:val="TableParagraph"/>
              <w:spacing w:line="176" w:lineRule="exact"/>
              <w:ind w:left="122" w:right="118"/>
              <w:rPr>
                <w:sz w:val="16"/>
              </w:rPr>
            </w:pPr>
            <w:r>
              <w:rPr>
                <w:sz w:val="16"/>
              </w:rPr>
              <w:t>4.24</w:t>
            </w:r>
          </w:p>
        </w:tc>
        <w:tc>
          <w:tcPr>
            <w:tcW w:w="1440" w:type="dxa"/>
          </w:tcPr>
          <w:p>
            <w:pPr>
              <w:pStyle w:val="TableParagraph"/>
              <w:spacing w:line="176" w:lineRule="exact"/>
              <w:ind w:left="9"/>
              <w:rPr>
                <w:sz w:val="16"/>
              </w:rPr>
            </w:pPr>
            <w:r>
              <w:rPr>
                <w:w w:val="100"/>
                <w:sz w:val="16"/>
              </w:rPr>
              <w:t>0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80"/>
              <w:rPr>
                <w:sz w:val="16"/>
              </w:rPr>
            </w:pPr>
            <w:r>
              <w:rPr>
                <w:sz w:val="16"/>
              </w:rPr>
              <w:t>0.23</w:t>
            </w:r>
          </w:p>
        </w:tc>
      </w:tr>
      <w:tr>
        <w:trPr>
          <w:trHeight w:val="194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ind w:left="109" w:right="103"/>
              <w:rPr>
                <w:sz w:val="16"/>
              </w:rPr>
            </w:pPr>
            <w:r>
              <w:rPr>
                <w:sz w:val="16"/>
              </w:rPr>
              <w:t>WCH-29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146.00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ind w:left="91" w:right="87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ind w:left="91" w:right="87"/>
              <w:rPr>
                <w:sz w:val="16"/>
              </w:rPr>
            </w:pPr>
            <w:r>
              <w:rPr>
                <w:sz w:val="16"/>
              </w:rPr>
              <w:t>1.26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ind w:left="91" w:right="87"/>
              <w:rPr>
                <w:sz w:val="16"/>
              </w:rPr>
            </w:pPr>
            <w:r>
              <w:rPr>
                <w:sz w:val="16"/>
              </w:rPr>
              <w:t>1.69</w:t>
            </w:r>
          </w:p>
        </w:tc>
        <w:tc>
          <w:tcPr>
            <w:tcW w:w="1169" w:type="dxa"/>
            <w:shd w:val="clear" w:color="auto" w:fill="D8E1F2"/>
          </w:tcPr>
          <w:p>
            <w:pPr>
              <w:pStyle w:val="TableParagraph"/>
              <w:ind w:left="122" w:right="118"/>
              <w:rPr>
                <w:sz w:val="16"/>
              </w:rPr>
            </w:pPr>
            <w:r>
              <w:rPr>
                <w:sz w:val="16"/>
              </w:rPr>
              <w:t>2.95</w:t>
            </w:r>
          </w:p>
        </w:tc>
        <w:tc>
          <w:tcPr>
            <w:tcW w:w="1440" w:type="dxa"/>
            <w:shd w:val="clear" w:color="auto" w:fill="D8E1F2"/>
          </w:tcPr>
          <w:p>
            <w:pPr>
              <w:pStyle w:val="TableParagraph"/>
              <w:ind w:left="9"/>
              <w:rPr>
                <w:sz w:val="16"/>
              </w:rPr>
            </w:pPr>
            <w:r>
              <w:rPr>
                <w:w w:val="100"/>
                <w:sz w:val="16"/>
              </w:rPr>
              <w:t>0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80"/>
              <w:rPr>
                <w:sz w:val="16"/>
              </w:rPr>
            </w:pPr>
            <w:r>
              <w:rPr>
                <w:sz w:val="16"/>
              </w:rPr>
              <w:t>0.13</w:t>
            </w: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6" w:lineRule="exact"/>
              <w:ind w:left="109" w:right="103"/>
              <w:rPr>
                <w:sz w:val="16"/>
              </w:rPr>
            </w:pPr>
            <w:r>
              <w:rPr>
                <w:sz w:val="16"/>
              </w:rPr>
              <w:t>WCH-30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147.08</w:t>
            </w:r>
          </w:p>
        </w:tc>
        <w:tc>
          <w:tcPr>
            <w:tcW w:w="1260" w:type="dxa"/>
          </w:tcPr>
          <w:p>
            <w:pPr>
              <w:pStyle w:val="TableParagraph"/>
              <w:spacing w:line="176" w:lineRule="exact"/>
              <w:ind w:left="91" w:right="87"/>
              <w:rPr>
                <w:sz w:val="16"/>
              </w:rPr>
            </w:pPr>
            <w:r>
              <w:rPr>
                <w:sz w:val="16"/>
              </w:rPr>
              <w:t>0.81</w:t>
            </w:r>
          </w:p>
        </w:tc>
        <w:tc>
          <w:tcPr>
            <w:tcW w:w="1260" w:type="dxa"/>
          </w:tcPr>
          <w:p>
            <w:pPr>
              <w:pStyle w:val="TableParagraph"/>
              <w:spacing w:line="176" w:lineRule="exact"/>
              <w:ind w:left="91" w:right="87"/>
              <w:rPr>
                <w:sz w:val="16"/>
              </w:rPr>
            </w:pPr>
            <w:r>
              <w:rPr>
                <w:sz w:val="16"/>
              </w:rPr>
              <w:t>1.99</w:t>
            </w:r>
          </w:p>
        </w:tc>
        <w:tc>
          <w:tcPr>
            <w:tcW w:w="1260" w:type="dxa"/>
          </w:tcPr>
          <w:p>
            <w:pPr>
              <w:pStyle w:val="TableParagraph"/>
              <w:spacing w:line="176" w:lineRule="exact"/>
              <w:ind w:left="91" w:right="87"/>
              <w:rPr>
                <w:sz w:val="16"/>
              </w:rPr>
            </w:pPr>
            <w:r>
              <w:rPr>
                <w:sz w:val="16"/>
              </w:rPr>
              <w:t>2.85</w:t>
            </w:r>
          </w:p>
        </w:tc>
        <w:tc>
          <w:tcPr>
            <w:tcW w:w="1169" w:type="dxa"/>
          </w:tcPr>
          <w:p>
            <w:pPr>
              <w:pStyle w:val="TableParagraph"/>
              <w:spacing w:line="176" w:lineRule="exact"/>
              <w:ind w:left="122" w:right="118"/>
              <w:rPr>
                <w:sz w:val="16"/>
              </w:rPr>
            </w:pPr>
            <w:r>
              <w:rPr>
                <w:sz w:val="16"/>
              </w:rPr>
              <w:t>5.66</w:t>
            </w:r>
          </w:p>
        </w:tc>
        <w:tc>
          <w:tcPr>
            <w:tcW w:w="1440" w:type="dxa"/>
          </w:tcPr>
          <w:p>
            <w:pPr>
              <w:pStyle w:val="TableParagraph"/>
              <w:spacing w:line="176" w:lineRule="exact"/>
              <w:ind w:left="94" w:right="83"/>
              <w:rPr>
                <w:sz w:val="16"/>
              </w:rPr>
            </w:pPr>
            <w:r>
              <w:rPr>
                <w:sz w:val="16"/>
              </w:rPr>
              <w:t>5.96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80"/>
              <w:rPr>
                <w:sz w:val="16"/>
              </w:rPr>
            </w:pPr>
            <w:r>
              <w:rPr>
                <w:sz w:val="16"/>
              </w:rPr>
              <w:t>0.16</w:t>
            </w:r>
          </w:p>
        </w:tc>
      </w:tr>
      <w:tr>
        <w:trPr>
          <w:trHeight w:val="194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ind w:left="109" w:right="103"/>
              <w:rPr>
                <w:sz w:val="16"/>
              </w:rPr>
            </w:pPr>
            <w:r>
              <w:rPr>
                <w:sz w:val="16"/>
              </w:rPr>
              <w:t>WCH-31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149.25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ind w:left="91" w:right="87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ind w:left="91" w:right="87"/>
              <w:rPr>
                <w:sz w:val="16"/>
              </w:rPr>
            </w:pPr>
            <w:r>
              <w:rPr>
                <w:sz w:val="16"/>
              </w:rPr>
              <w:t>1.61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ind w:left="91" w:right="87"/>
              <w:rPr>
                <w:sz w:val="16"/>
              </w:rPr>
            </w:pPr>
            <w:r>
              <w:rPr>
                <w:sz w:val="16"/>
              </w:rPr>
              <w:t>2.21</w:t>
            </w:r>
          </w:p>
        </w:tc>
        <w:tc>
          <w:tcPr>
            <w:tcW w:w="1169" w:type="dxa"/>
            <w:shd w:val="clear" w:color="auto" w:fill="D8E1F2"/>
          </w:tcPr>
          <w:p>
            <w:pPr>
              <w:pStyle w:val="TableParagraph"/>
              <w:ind w:left="122" w:right="118"/>
              <w:rPr>
                <w:sz w:val="16"/>
              </w:rPr>
            </w:pPr>
            <w:r>
              <w:rPr>
                <w:sz w:val="16"/>
              </w:rPr>
              <w:t>3.82</w:t>
            </w:r>
          </w:p>
        </w:tc>
        <w:tc>
          <w:tcPr>
            <w:tcW w:w="1440" w:type="dxa"/>
            <w:shd w:val="clear" w:color="auto" w:fill="D8E1F2"/>
          </w:tcPr>
          <w:p>
            <w:pPr>
              <w:pStyle w:val="TableParagraph"/>
              <w:ind w:left="9"/>
              <w:rPr>
                <w:sz w:val="16"/>
              </w:rPr>
            </w:pPr>
            <w:r>
              <w:rPr>
                <w:w w:val="100"/>
                <w:sz w:val="16"/>
              </w:rPr>
              <w:t>0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80"/>
              <w:rPr>
                <w:sz w:val="16"/>
              </w:rPr>
            </w:pPr>
            <w:r>
              <w:rPr>
                <w:sz w:val="16"/>
              </w:rPr>
              <w:t>0.12</w:t>
            </w: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6" w:lineRule="exact"/>
              <w:ind w:left="111" w:right="102"/>
              <w:rPr>
                <w:sz w:val="16"/>
              </w:rPr>
            </w:pPr>
            <w:r>
              <w:rPr>
                <w:sz w:val="16"/>
              </w:rPr>
              <w:t>Wch-46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153.58</w:t>
            </w:r>
          </w:p>
        </w:tc>
        <w:tc>
          <w:tcPr>
            <w:tcW w:w="1260" w:type="dxa"/>
          </w:tcPr>
          <w:p>
            <w:pPr>
              <w:pStyle w:val="TableParagraph"/>
              <w:spacing w:line="176" w:lineRule="exact"/>
              <w:ind w:left="91" w:right="87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60" w:type="dxa"/>
          </w:tcPr>
          <w:p>
            <w:pPr>
              <w:pStyle w:val="TableParagraph"/>
              <w:spacing w:line="176" w:lineRule="exact"/>
              <w:ind w:left="91" w:right="87"/>
              <w:rPr>
                <w:sz w:val="16"/>
              </w:rPr>
            </w:pPr>
            <w:r>
              <w:rPr>
                <w:sz w:val="16"/>
              </w:rPr>
              <w:t>0.50</w:t>
            </w:r>
          </w:p>
        </w:tc>
        <w:tc>
          <w:tcPr>
            <w:tcW w:w="1260" w:type="dxa"/>
          </w:tcPr>
          <w:p>
            <w:pPr>
              <w:pStyle w:val="TableParagraph"/>
              <w:spacing w:line="176" w:lineRule="exact"/>
              <w:ind w:left="91" w:right="87"/>
              <w:rPr>
                <w:sz w:val="16"/>
              </w:rPr>
            </w:pPr>
            <w:r>
              <w:rPr>
                <w:sz w:val="16"/>
              </w:rPr>
              <w:t>1.82</w:t>
            </w:r>
          </w:p>
        </w:tc>
        <w:tc>
          <w:tcPr>
            <w:tcW w:w="1169" w:type="dxa"/>
          </w:tcPr>
          <w:p>
            <w:pPr>
              <w:pStyle w:val="TableParagraph"/>
              <w:spacing w:line="176" w:lineRule="exact"/>
              <w:ind w:left="122" w:right="118"/>
              <w:rPr>
                <w:sz w:val="16"/>
              </w:rPr>
            </w:pPr>
            <w:r>
              <w:rPr>
                <w:sz w:val="16"/>
              </w:rPr>
              <w:t>2.32</w:t>
            </w:r>
          </w:p>
        </w:tc>
        <w:tc>
          <w:tcPr>
            <w:tcW w:w="1440" w:type="dxa"/>
          </w:tcPr>
          <w:p>
            <w:pPr>
              <w:pStyle w:val="TableParagraph"/>
              <w:spacing w:line="176" w:lineRule="exact"/>
              <w:ind w:left="9"/>
              <w:rPr>
                <w:sz w:val="16"/>
              </w:rPr>
            </w:pPr>
            <w:r>
              <w:rPr>
                <w:w w:val="100"/>
                <w:sz w:val="16"/>
              </w:rPr>
              <w:t>0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80"/>
              <w:rPr>
                <w:sz w:val="16"/>
              </w:rPr>
            </w:pPr>
            <w:r>
              <w:rPr>
                <w:sz w:val="16"/>
              </w:rPr>
              <w:t>0.17</w:t>
            </w:r>
          </w:p>
        </w:tc>
      </w:tr>
      <w:tr>
        <w:trPr>
          <w:trHeight w:val="194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ind w:left="111" w:right="102"/>
              <w:rPr>
                <w:sz w:val="16"/>
              </w:rPr>
            </w:pPr>
            <w:r>
              <w:rPr>
                <w:sz w:val="16"/>
              </w:rPr>
              <w:t>Wch-47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160.17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ind w:left="91" w:right="87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ind w:left="91" w:right="87"/>
              <w:rPr>
                <w:sz w:val="16"/>
              </w:rPr>
            </w:pPr>
            <w:r>
              <w:rPr>
                <w:sz w:val="16"/>
              </w:rPr>
              <w:t>0.38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ind w:left="91" w:right="87"/>
              <w:rPr>
                <w:sz w:val="16"/>
              </w:rPr>
            </w:pPr>
            <w:r>
              <w:rPr>
                <w:sz w:val="16"/>
              </w:rPr>
              <w:t>1.85</w:t>
            </w:r>
          </w:p>
        </w:tc>
        <w:tc>
          <w:tcPr>
            <w:tcW w:w="1169" w:type="dxa"/>
            <w:shd w:val="clear" w:color="auto" w:fill="D8E1F2"/>
          </w:tcPr>
          <w:p>
            <w:pPr>
              <w:pStyle w:val="TableParagraph"/>
              <w:ind w:left="122" w:right="118"/>
              <w:rPr>
                <w:sz w:val="16"/>
              </w:rPr>
            </w:pPr>
            <w:r>
              <w:rPr>
                <w:sz w:val="16"/>
              </w:rPr>
              <w:t>2.23</w:t>
            </w:r>
          </w:p>
        </w:tc>
        <w:tc>
          <w:tcPr>
            <w:tcW w:w="1440" w:type="dxa"/>
            <w:shd w:val="clear" w:color="auto" w:fill="D8E1F2"/>
          </w:tcPr>
          <w:p>
            <w:pPr>
              <w:pStyle w:val="TableParagraph"/>
              <w:ind w:left="9"/>
              <w:rPr>
                <w:sz w:val="16"/>
              </w:rPr>
            </w:pPr>
            <w:r>
              <w:rPr>
                <w:w w:val="100"/>
                <w:sz w:val="16"/>
              </w:rPr>
              <w:t>0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80"/>
              <w:rPr>
                <w:sz w:val="16"/>
              </w:rPr>
            </w:pPr>
            <w:r>
              <w:rPr>
                <w:sz w:val="16"/>
              </w:rPr>
              <w:t>0.16</w:t>
            </w: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5" w:lineRule="exact" w:before="1"/>
              <w:ind w:left="111" w:right="102"/>
              <w:rPr>
                <w:sz w:val="16"/>
              </w:rPr>
            </w:pPr>
            <w:r>
              <w:rPr>
                <w:sz w:val="16"/>
              </w:rPr>
              <w:t>Wch-48</w:t>
            </w:r>
          </w:p>
        </w:tc>
        <w:tc>
          <w:tcPr>
            <w:tcW w:w="900" w:type="dxa"/>
          </w:tcPr>
          <w:p>
            <w:pPr>
              <w:pStyle w:val="TableParagraph"/>
              <w:spacing w:line="175" w:lineRule="exact" w:before="1"/>
              <w:ind w:right="84"/>
              <w:rPr>
                <w:sz w:val="16"/>
              </w:rPr>
            </w:pPr>
            <w:r>
              <w:rPr>
                <w:sz w:val="16"/>
              </w:rPr>
              <w:t>160.83</w:t>
            </w:r>
          </w:p>
        </w:tc>
        <w:tc>
          <w:tcPr>
            <w:tcW w:w="1260" w:type="dxa"/>
          </w:tcPr>
          <w:p>
            <w:pPr>
              <w:pStyle w:val="TableParagraph"/>
              <w:spacing w:line="175" w:lineRule="exact" w:before="1"/>
              <w:ind w:left="91" w:right="87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60" w:type="dxa"/>
          </w:tcPr>
          <w:p>
            <w:pPr>
              <w:pStyle w:val="TableParagraph"/>
              <w:spacing w:line="175" w:lineRule="exact" w:before="1"/>
              <w:ind w:left="91" w:right="87"/>
              <w:rPr>
                <w:sz w:val="16"/>
              </w:rPr>
            </w:pPr>
            <w:r>
              <w:rPr>
                <w:sz w:val="16"/>
              </w:rPr>
              <w:t>0.32</w:t>
            </w:r>
          </w:p>
        </w:tc>
        <w:tc>
          <w:tcPr>
            <w:tcW w:w="1260" w:type="dxa"/>
          </w:tcPr>
          <w:p>
            <w:pPr>
              <w:pStyle w:val="TableParagraph"/>
              <w:spacing w:line="175" w:lineRule="exact" w:before="1"/>
              <w:ind w:left="91" w:right="87"/>
              <w:rPr>
                <w:sz w:val="16"/>
              </w:rPr>
            </w:pPr>
            <w:r>
              <w:rPr>
                <w:sz w:val="16"/>
              </w:rPr>
              <w:t>0.78</w:t>
            </w:r>
          </w:p>
        </w:tc>
        <w:tc>
          <w:tcPr>
            <w:tcW w:w="1169" w:type="dxa"/>
          </w:tcPr>
          <w:p>
            <w:pPr>
              <w:pStyle w:val="TableParagraph"/>
              <w:spacing w:line="175" w:lineRule="exact" w:before="1"/>
              <w:ind w:left="122" w:right="118"/>
              <w:rPr>
                <w:sz w:val="16"/>
              </w:rPr>
            </w:pPr>
            <w:r>
              <w:rPr>
                <w:sz w:val="16"/>
              </w:rPr>
              <w:t>1.10</w:t>
            </w:r>
          </w:p>
        </w:tc>
        <w:tc>
          <w:tcPr>
            <w:tcW w:w="1440" w:type="dxa"/>
          </w:tcPr>
          <w:p>
            <w:pPr>
              <w:pStyle w:val="TableParagraph"/>
              <w:spacing w:line="175" w:lineRule="exact" w:before="1"/>
              <w:ind w:left="9"/>
              <w:rPr>
                <w:sz w:val="16"/>
              </w:rPr>
            </w:pPr>
            <w:r>
              <w:rPr>
                <w:w w:val="100"/>
                <w:sz w:val="16"/>
              </w:rPr>
              <w:t>0</w:t>
            </w:r>
          </w:p>
        </w:tc>
        <w:tc>
          <w:tcPr>
            <w:tcW w:w="900" w:type="dxa"/>
          </w:tcPr>
          <w:p>
            <w:pPr>
              <w:pStyle w:val="TableParagraph"/>
              <w:spacing w:line="175" w:lineRule="exact" w:before="1"/>
              <w:ind w:right="80"/>
              <w:rPr>
                <w:sz w:val="16"/>
              </w:rPr>
            </w:pPr>
            <w:r>
              <w:rPr>
                <w:sz w:val="16"/>
              </w:rPr>
              <w:t>0.08</w:t>
            </w:r>
          </w:p>
        </w:tc>
      </w:tr>
      <w:tr>
        <w:trPr>
          <w:trHeight w:val="194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ind w:left="111" w:right="102"/>
              <w:rPr>
                <w:sz w:val="16"/>
              </w:rPr>
            </w:pPr>
            <w:r>
              <w:rPr>
                <w:sz w:val="16"/>
              </w:rPr>
              <w:t>Wch-49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169.33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ind w:left="91" w:right="87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ind w:left="91" w:right="87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ind w:left="91" w:right="87"/>
              <w:rPr>
                <w:sz w:val="16"/>
              </w:rPr>
            </w:pPr>
            <w:r>
              <w:rPr>
                <w:sz w:val="16"/>
              </w:rPr>
              <w:t>1.12</w:t>
            </w:r>
          </w:p>
        </w:tc>
        <w:tc>
          <w:tcPr>
            <w:tcW w:w="1169" w:type="dxa"/>
            <w:shd w:val="clear" w:color="auto" w:fill="D8E1F2"/>
          </w:tcPr>
          <w:p>
            <w:pPr>
              <w:pStyle w:val="TableParagraph"/>
              <w:ind w:left="122" w:right="118"/>
              <w:rPr>
                <w:sz w:val="16"/>
              </w:rPr>
            </w:pPr>
            <w:r>
              <w:rPr>
                <w:sz w:val="16"/>
              </w:rPr>
              <w:t>1.12</w:t>
            </w:r>
          </w:p>
        </w:tc>
        <w:tc>
          <w:tcPr>
            <w:tcW w:w="1440" w:type="dxa"/>
            <w:shd w:val="clear" w:color="auto" w:fill="D8E1F2"/>
          </w:tcPr>
          <w:p>
            <w:pPr>
              <w:pStyle w:val="TableParagraph"/>
              <w:ind w:left="9"/>
              <w:rPr>
                <w:sz w:val="16"/>
              </w:rPr>
            </w:pPr>
            <w:r>
              <w:rPr>
                <w:w w:val="100"/>
                <w:sz w:val="16"/>
              </w:rPr>
              <w:t>0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80"/>
              <w:rPr>
                <w:sz w:val="16"/>
              </w:rPr>
            </w:pPr>
            <w:r>
              <w:rPr>
                <w:sz w:val="16"/>
              </w:rPr>
              <w:t>0.08</w:t>
            </w: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5" w:lineRule="exact" w:before="1"/>
              <w:ind w:left="111" w:right="102"/>
              <w:rPr>
                <w:sz w:val="16"/>
              </w:rPr>
            </w:pPr>
            <w:r>
              <w:rPr>
                <w:sz w:val="16"/>
              </w:rPr>
              <w:t>Wch-50</w:t>
            </w:r>
          </w:p>
        </w:tc>
        <w:tc>
          <w:tcPr>
            <w:tcW w:w="900" w:type="dxa"/>
          </w:tcPr>
          <w:p>
            <w:pPr>
              <w:pStyle w:val="TableParagraph"/>
              <w:spacing w:line="175" w:lineRule="exact" w:before="1"/>
              <w:ind w:right="84"/>
              <w:rPr>
                <w:sz w:val="16"/>
              </w:rPr>
            </w:pPr>
            <w:r>
              <w:rPr>
                <w:sz w:val="16"/>
              </w:rPr>
              <w:t>170.92</w:t>
            </w:r>
          </w:p>
        </w:tc>
        <w:tc>
          <w:tcPr>
            <w:tcW w:w="1260" w:type="dxa"/>
          </w:tcPr>
          <w:p>
            <w:pPr>
              <w:pStyle w:val="TableParagraph"/>
              <w:spacing w:line="175" w:lineRule="exact" w:before="1"/>
              <w:ind w:left="91" w:right="87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60" w:type="dxa"/>
          </w:tcPr>
          <w:p>
            <w:pPr>
              <w:pStyle w:val="TableParagraph"/>
              <w:spacing w:line="175" w:lineRule="exact" w:before="1"/>
              <w:ind w:left="91" w:right="87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60" w:type="dxa"/>
          </w:tcPr>
          <w:p>
            <w:pPr>
              <w:pStyle w:val="TableParagraph"/>
              <w:spacing w:line="175" w:lineRule="exact" w:before="1"/>
              <w:ind w:left="91" w:right="87"/>
              <w:rPr>
                <w:sz w:val="16"/>
              </w:rPr>
            </w:pPr>
            <w:r>
              <w:rPr>
                <w:sz w:val="16"/>
              </w:rPr>
              <w:t>0.92</w:t>
            </w:r>
          </w:p>
        </w:tc>
        <w:tc>
          <w:tcPr>
            <w:tcW w:w="1169" w:type="dxa"/>
          </w:tcPr>
          <w:p>
            <w:pPr>
              <w:pStyle w:val="TableParagraph"/>
              <w:spacing w:line="175" w:lineRule="exact" w:before="1"/>
              <w:ind w:left="122" w:right="118"/>
              <w:rPr>
                <w:sz w:val="16"/>
              </w:rPr>
            </w:pPr>
            <w:r>
              <w:rPr>
                <w:sz w:val="16"/>
              </w:rPr>
              <w:t>0.92</w:t>
            </w:r>
          </w:p>
        </w:tc>
        <w:tc>
          <w:tcPr>
            <w:tcW w:w="1440" w:type="dxa"/>
          </w:tcPr>
          <w:p>
            <w:pPr>
              <w:pStyle w:val="TableParagraph"/>
              <w:spacing w:line="175" w:lineRule="exact" w:before="1"/>
              <w:ind w:left="9"/>
              <w:rPr>
                <w:sz w:val="16"/>
              </w:rPr>
            </w:pPr>
            <w:r>
              <w:rPr>
                <w:w w:val="100"/>
                <w:sz w:val="16"/>
              </w:rPr>
              <w:t>0</w:t>
            </w:r>
          </w:p>
        </w:tc>
        <w:tc>
          <w:tcPr>
            <w:tcW w:w="900" w:type="dxa"/>
          </w:tcPr>
          <w:p>
            <w:pPr>
              <w:pStyle w:val="TableParagraph"/>
              <w:spacing w:line="175" w:lineRule="exact" w:before="1"/>
              <w:ind w:right="80"/>
              <w:rPr>
                <w:sz w:val="16"/>
              </w:rPr>
            </w:pPr>
            <w:r>
              <w:rPr>
                <w:sz w:val="16"/>
              </w:rPr>
              <w:t>0.09</w:t>
            </w:r>
          </w:p>
        </w:tc>
      </w:tr>
      <w:tr>
        <w:trPr>
          <w:trHeight w:val="196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spacing w:line="176" w:lineRule="exact"/>
              <w:ind w:left="111" w:right="102"/>
              <w:rPr>
                <w:sz w:val="16"/>
              </w:rPr>
            </w:pPr>
            <w:r>
              <w:rPr>
                <w:sz w:val="16"/>
              </w:rPr>
              <w:t>Wch-51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172.00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spacing w:line="176" w:lineRule="exact"/>
              <w:ind w:left="91" w:right="87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spacing w:line="176" w:lineRule="exact"/>
              <w:ind w:left="91" w:right="87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spacing w:line="176" w:lineRule="exact"/>
              <w:ind w:left="91" w:right="87"/>
              <w:rPr>
                <w:sz w:val="16"/>
              </w:rPr>
            </w:pPr>
            <w:r>
              <w:rPr>
                <w:sz w:val="16"/>
              </w:rPr>
              <w:t>0.18</w:t>
            </w:r>
          </w:p>
        </w:tc>
        <w:tc>
          <w:tcPr>
            <w:tcW w:w="1169" w:type="dxa"/>
            <w:shd w:val="clear" w:color="auto" w:fill="D8E1F2"/>
          </w:tcPr>
          <w:p>
            <w:pPr>
              <w:pStyle w:val="TableParagraph"/>
              <w:spacing w:line="176" w:lineRule="exact"/>
              <w:ind w:left="122" w:right="118"/>
              <w:rPr>
                <w:sz w:val="16"/>
              </w:rPr>
            </w:pPr>
            <w:r>
              <w:rPr>
                <w:sz w:val="16"/>
              </w:rPr>
              <w:t>0.18</w:t>
            </w:r>
          </w:p>
        </w:tc>
        <w:tc>
          <w:tcPr>
            <w:tcW w:w="1440" w:type="dxa"/>
            <w:shd w:val="clear" w:color="auto" w:fill="D8E1F2"/>
          </w:tcPr>
          <w:p>
            <w:pPr>
              <w:pStyle w:val="TableParagraph"/>
              <w:spacing w:line="176" w:lineRule="exact"/>
              <w:ind w:left="9"/>
              <w:rPr>
                <w:sz w:val="16"/>
              </w:rPr>
            </w:pPr>
            <w:r>
              <w:rPr>
                <w:w w:val="100"/>
                <w:sz w:val="16"/>
              </w:rPr>
              <w:t>0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0"/>
              <w:rPr>
                <w:sz w:val="16"/>
              </w:rPr>
            </w:pPr>
            <w:r>
              <w:rPr>
                <w:sz w:val="16"/>
              </w:rPr>
              <w:t>0.03</w:t>
            </w:r>
          </w:p>
        </w:tc>
      </w:tr>
      <w:tr>
        <w:trPr>
          <w:trHeight w:val="194" w:hRule="atLeast"/>
        </w:trPr>
        <w:tc>
          <w:tcPr>
            <w:tcW w:w="806" w:type="dxa"/>
          </w:tcPr>
          <w:p>
            <w:pPr>
              <w:pStyle w:val="TableParagraph"/>
              <w:ind w:left="111" w:right="102"/>
              <w:rPr>
                <w:sz w:val="16"/>
              </w:rPr>
            </w:pPr>
            <w:r>
              <w:rPr>
                <w:sz w:val="16"/>
              </w:rPr>
              <w:t>Wch-52</w:t>
            </w:r>
          </w:p>
        </w:tc>
        <w:tc>
          <w:tcPr>
            <w:tcW w:w="900" w:type="dxa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172.42</w:t>
            </w:r>
          </w:p>
        </w:tc>
        <w:tc>
          <w:tcPr>
            <w:tcW w:w="1260" w:type="dxa"/>
          </w:tcPr>
          <w:p>
            <w:pPr>
              <w:pStyle w:val="TableParagraph"/>
              <w:ind w:left="91" w:right="87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60" w:type="dxa"/>
          </w:tcPr>
          <w:p>
            <w:pPr>
              <w:pStyle w:val="TableParagraph"/>
              <w:ind w:left="91" w:right="87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60" w:type="dxa"/>
          </w:tcPr>
          <w:p>
            <w:pPr>
              <w:pStyle w:val="TableParagraph"/>
              <w:ind w:left="91" w:right="87"/>
              <w:rPr>
                <w:sz w:val="16"/>
              </w:rPr>
            </w:pPr>
            <w:r>
              <w:rPr>
                <w:sz w:val="16"/>
              </w:rPr>
              <w:t>0.14</w:t>
            </w:r>
          </w:p>
        </w:tc>
        <w:tc>
          <w:tcPr>
            <w:tcW w:w="1169" w:type="dxa"/>
          </w:tcPr>
          <w:p>
            <w:pPr>
              <w:pStyle w:val="TableParagraph"/>
              <w:ind w:left="122" w:right="118"/>
              <w:rPr>
                <w:sz w:val="16"/>
              </w:rPr>
            </w:pPr>
            <w:r>
              <w:rPr>
                <w:sz w:val="16"/>
              </w:rPr>
              <w:t>0.14</w:t>
            </w:r>
          </w:p>
        </w:tc>
        <w:tc>
          <w:tcPr>
            <w:tcW w:w="1440" w:type="dxa"/>
          </w:tcPr>
          <w:p>
            <w:pPr>
              <w:pStyle w:val="TableParagraph"/>
              <w:ind w:left="9"/>
              <w:rPr>
                <w:sz w:val="16"/>
              </w:rPr>
            </w:pPr>
            <w:r>
              <w:rPr>
                <w:w w:val="100"/>
                <w:sz w:val="16"/>
              </w:rPr>
              <w:t>0</w:t>
            </w:r>
          </w:p>
        </w:tc>
        <w:tc>
          <w:tcPr>
            <w:tcW w:w="900" w:type="dxa"/>
          </w:tcPr>
          <w:p>
            <w:pPr>
              <w:pStyle w:val="TableParagraph"/>
              <w:ind w:right="80"/>
              <w:rPr>
                <w:sz w:val="16"/>
              </w:rPr>
            </w:pPr>
            <w:r>
              <w:rPr>
                <w:sz w:val="16"/>
              </w:rPr>
              <w:t>0.02</w:t>
            </w:r>
          </w:p>
        </w:tc>
      </w:tr>
      <w:tr>
        <w:trPr>
          <w:trHeight w:val="196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spacing w:line="176" w:lineRule="exact"/>
              <w:ind w:left="111" w:right="102"/>
              <w:rPr>
                <w:sz w:val="16"/>
              </w:rPr>
            </w:pPr>
            <w:r>
              <w:rPr>
                <w:sz w:val="16"/>
              </w:rPr>
              <w:t>Wch-53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173.83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spacing w:line="176" w:lineRule="exact"/>
              <w:ind w:left="91" w:right="87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spacing w:line="176" w:lineRule="exact"/>
              <w:ind w:left="91" w:right="87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spacing w:line="176" w:lineRule="exact"/>
              <w:ind w:left="91" w:right="87"/>
              <w:rPr>
                <w:sz w:val="16"/>
              </w:rPr>
            </w:pPr>
            <w:r>
              <w:rPr>
                <w:sz w:val="16"/>
              </w:rPr>
              <w:t>0.24</w:t>
            </w:r>
          </w:p>
        </w:tc>
        <w:tc>
          <w:tcPr>
            <w:tcW w:w="1169" w:type="dxa"/>
            <w:shd w:val="clear" w:color="auto" w:fill="D8E1F2"/>
          </w:tcPr>
          <w:p>
            <w:pPr>
              <w:pStyle w:val="TableParagraph"/>
              <w:spacing w:line="176" w:lineRule="exact"/>
              <w:ind w:left="122" w:right="118"/>
              <w:rPr>
                <w:sz w:val="16"/>
              </w:rPr>
            </w:pPr>
            <w:r>
              <w:rPr>
                <w:sz w:val="16"/>
              </w:rPr>
              <w:t>0.24</w:t>
            </w:r>
          </w:p>
        </w:tc>
        <w:tc>
          <w:tcPr>
            <w:tcW w:w="1440" w:type="dxa"/>
            <w:shd w:val="clear" w:color="auto" w:fill="D8E1F2"/>
          </w:tcPr>
          <w:p>
            <w:pPr>
              <w:pStyle w:val="TableParagraph"/>
              <w:spacing w:line="176" w:lineRule="exact"/>
              <w:ind w:left="9"/>
              <w:rPr>
                <w:sz w:val="16"/>
              </w:rPr>
            </w:pPr>
            <w:r>
              <w:rPr>
                <w:w w:val="100"/>
                <w:sz w:val="16"/>
              </w:rPr>
              <w:t>0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0"/>
              <w:rPr>
                <w:sz w:val="16"/>
              </w:rPr>
            </w:pPr>
            <w:r>
              <w:rPr>
                <w:sz w:val="16"/>
              </w:rPr>
              <w:t>0.03</w:t>
            </w:r>
          </w:p>
        </w:tc>
      </w:tr>
      <w:tr>
        <w:trPr>
          <w:trHeight w:val="194" w:hRule="atLeast"/>
        </w:trPr>
        <w:tc>
          <w:tcPr>
            <w:tcW w:w="806" w:type="dxa"/>
          </w:tcPr>
          <w:p>
            <w:pPr>
              <w:pStyle w:val="TableParagraph"/>
              <w:ind w:left="111" w:right="102"/>
              <w:rPr>
                <w:sz w:val="16"/>
              </w:rPr>
            </w:pPr>
            <w:r>
              <w:rPr>
                <w:sz w:val="16"/>
              </w:rPr>
              <w:t>Wch-54</w:t>
            </w:r>
          </w:p>
        </w:tc>
        <w:tc>
          <w:tcPr>
            <w:tcW w:w="900" w:type="dxa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174.42</w:t>
            </w:r>
          </w:p>
        </w:tc>
        <w:tc>
          <w:tcPr>
            <w:tcW w:w="1260" w:type="dxa"/>
          </w:tcPr>
          <w:p>
            <w:pPr>
              <w:pStyle w:val="TableParagraph"/>
              <w:ind w:left="91" w:right="87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60" w:type="dxa"/>
          </w:tcPr>
          <w:p>
            <w:pPr>
              <w:pStyle w:val="TableParagraph"/>
              <w:ind w:left="91" w:right="87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60" w:type="dxa"/>
          </w:tcPr>
          <w:p>
            <w:pPr>
              <w:pStyle w:val="TableParagraph"/>
              <w:ind w:left="91" w:right="87"/>
              <w:rPr>
                <w:sz w:val="16"/>
              </w:rPr>
            </w:pPr>
            <w:r>
              <w:rPr>
                <w:sz w:val="16"/>
              </w:rPr>
              <w:t>0.23</w:t>
            </w:r>
          </w:p>
        </w:tc>
        <w:tc>
          <w:tcPr>
            <w:tcW w:w="1169" w:type="dxa"/>
          </w:tcPr>
          <w:p>
            <w:pPr>
              <w:pStyle w:val="TableParagraph"/>
              <w:ind w:left="122" w:right="118"/>
              <w:rPr>
                <w:sz w:val="16"/>
              </w:rPr>
            </w:pPr>
            <w:r>
              <w:rPr>
                <w:sz w:val="16"/>
              </w:rPr>
              <w:t>0.23</w:t>
            </w:r>
          </w:p>
        </w:tc>
        <w:tc>
          <w:tcPr>
            <w:tcW w:w="1440" w:type="dxa"/>
          </w:tcPr>
          <w:p>
            <w:pPr>
              <w:pStyle w:val="TableParagraph"/>
              <w:ind w:left="9"/>
              <w:rPr>
                <w:sz w:val="16"/>
              </w:rPr>
            </w:pPr>
            <w:r>
              <w:rPr>
                <w:w w:val="100"/>
                <w:sz w:val="16"/>
              </w:rPr>
              <w:t>0</w:t>
            </w:r>
          </w:p>
        </w:tc>
        <w:tc>
          <w:tcPr>
            <w:tcW w:w="900" w:type="dxa"/>
          </w:tcPr>
          <w:p>
            <w:pPr>
              <w:pStyle w:val="TableParagraph"/>
              <w:ind w:right="80"/>
              <w:rPr>
                <w:sz w:val="16"/>
              </w:rPr>
            </w:pPr>
            <w:r>
              <w:rPr>
                <w:sz w:val="16"/>
              </w:rPr>
              <w:t>0.04</w:t>
            </w:r>
          </w:p>
        </w:tc>
      </w:tr>
      <w:tr>
        <w:trPr>
          <w:trHeight w:val="196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spacing w:line="176" w:lineRule="exact"/>
              <w:ind w:left="111" w:right="102"/>
              <w:rPr>
                <w:sz w:val="16"/>
              </w:rPr>
            </w:pPr>
            <w:r>
              <w:rPr>
                <w:sz w:val="16"/>
              </w:rPr>
              <w:t>Wch-32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181.92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spacing w:line="176" w:lineRule="exact"/>
              <w:ind w:left="91" w:right="87"/>
              <w:rPr>
                <w:sz w:val="16"/>
              </w:rPr>
            </w:pPr>
            <w:r>
              <w:rPr>
                <w:sz w:val="16"/>
              </w:rPr>
              <w:t>1.05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spacing w:line="176" w:lineRule="exact"/>
              <w:ind w:left="91" w:right="87"/>
              <w:rPr>
                <w:sz w:val="16"/>
              </w:rPr>
            </w:pPr>
            <w:r>
              <w:rPr>
                <w:sz w:val="16"/>
              </w:rPr>
              <w:t>0.85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spacing w:line="176" w:lineRule="exact"/>
              <w:ind w:left="91" w:right="87"/>
              <w:rPr>
                <w:sz w:val="16"/>
              </w:rPr>
            </w:pPr>
            <w:r>
              <w:rPr>
                <w:sz w:val="16"/>
              </w:rPr>
              <w:t>0.28</w:t>
            </w:r>
          </w:p>
        </w:tc>
        <w:tc>
          <w:tcPr>
            <w:tcW w:w="1169" w:type="dxa"/>
            <w:shd w:val="clear" w:color="auto" w:fill="D8E1F2"/>
          </w:tcPr>
          <w:p>
            <w:pPr>
              <w:pStyle w:val="TableParagraph"/>
              <w:spacing w:line="176" w:lineRule="exact"/>
              <w:ind w:left="122" w:right="118"/>
              <w:rPr>
                <w:sz w:val="16"/>
              </w:rPr>
            </w:pPr>
            <w:r>
              <w:rPr>
                <w:sz w:val="16"/>
              </w:rPr>
              <w:t>2.17</w:t>
            </w:r>
          </w:p>
        </w:tc>
        <w:tc>
          <w:tcPr>
            <w:tcW w:w="1440" w:type="dxa"/>
            <w:shd w:val="clear" w:color="auto" w:fill="D8E1F2"/>
          </w:tcPr>
          <w:p>
            <w:pPr>
              <w:pStyle w:val="TableParagraph"/>
              <w:spacing w:line="176" w:lineRule="exact"/>
              <w:ind w:left="94" w:right="83"/>
              <w:rPr>
                <w:sz w:val="16"/>
              </w:rPr>
            </w:pPr>
            <w:r>
              <w:rPr>
                <w:sz w:val="16"/>
              </w:rPr>
              <w:t>1.08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0"/>
              <w:rPr>
                <w:sz w:val="16"/>
              </w:rPr>
            </w:pPr>
            <w:r>
              <w:rPr>
                <w:sz w:val="16"/>
              </w:rPr>
              <w:t>0.13</w:t>
            </w:r>
          </w:p>
        </w:tc>
      </w:tr>
      <w:tr>
        <w:trPr>
          <w:trHeight w:val="194" w:hRule="atLeast"/>
        </w:trPr>
        <w:tc>
          <w:tcPr>
            <w:tcW w:w="806" w:type="dxa"/>
          </w:tcPr>
          <w:p>
            <w:pPr>
              <w:pStyle w:val="TableParagraph"/>
              <w:ind w:left="111" w:right="102"/>
              <w:rPr>
                <w:sz w:val="16"/>
              </w:rPr>
            </w:pPr>
            <w:r>
              <w:rPr>
                <w:sz w:val="16"/>
              </w:rPr>
              <w:t>Wch-33</w:t>
            </w:r>
          </w:p>
        </w:tc>
        <w:tc>
          <w:tcPr>
            <w:tcW w:w="900" w:type="dxa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185.92</w:t>
            </w:r>
          </w:p>
        </w:tc>
        <w:tc>
          <w:tcPr>
            <w:tcW w:w="1260" w:type="dxa"/>
          </w:tcPr>
          <w:p>
            <w:pPr>
              <w:pStyle w:val="TableParagraph"/>
              <w:ind w:left="91" w:right="87"/>
              <w:rPr>
                <w:sz w:val="16"/>
              </w:rPr>
            </w:pPr>
            <w:r>
              <w:rPr>
                <w:sz w:val="16"/>
              </w:rPr>
              <w:t>0.61</w:t>
            </w:r>
          </w:p>
        </w:tc>
        <w:tc>
          <w:tcPr>
            <w:tcW w:w="1260" w:type="dxa"/>
          </w:tcPr>
          <w:p>
            <w:pPr>
              <w:pStyle w:val="TableParagraph"/>
              <w:ind w:left="91" w:right="87"/>
              <w:rPr>
                <w:sz w:val="16"/>
              </w:rPr>
            </w:pPr>
            <w:r>
              <w:rPr>
                <w:sz w:val="16"/>
              </w:rPr>
              <w:t>0.45</w:t>
            </w:r>
          </w:p>
        </w:tc>
        <w:tc>
          <w:tcPr>
            <w:tcW w:w="1260" w:type="dxa"/>
          </w:tcPr>
          <w:p>
            <w:pPr>
              <w:pStyle w:val="TableParagraph"/>
              <w:ind w:left="91" w:right="87"/>
              <w:rPr>
                <w:sz w:val="16"/>
              </w:rPr>
            </w:pPr>
            <w:r>
              <w:rPr>
                <w:sz w:val="16"/>
              </w:rPr>
              <w:t>0.38</w:t>
            </w:r>
          </w:p>
        </w:tc>
        <w:tc>
          <w:tcPr>
            <w:tcW w:w="1169" w:type="dxa"/>
          </w:tcPr>
          <w:p>
            <w:pPr>
              <w:pStyle w:val="TableParagraph"/>
              <w:ind w:left="122" w:right="118"/>
              <w:rPr>
                <w:sz w:val="16"/>
              </w:rPr>
            </w:pPr>
            <w:r>
              <w:rPr>
                <w:sz w:val="16"/>
              </w:rPr>
              <w:t>1.44</w:t>
            </w:r>
          </w:p>
        </w:tc>
        <w:tc>
          <w:tcPr>
            <w:tcW w:w="1440" w:type="dxa"/>
          </w:tcPr>
          <w:p>
            <w:pPr>
              <w:pStyle w:val="TableParagraph"/>
              <w:ind w:left="94" w:right="83"/>
              <w:rPr>
                <w:sz w:val="16"/>
              </w:rPr>
            </w:pPr>
            <w:r>
              <w:rPr>
                <w:sz w:val="16"/>
              </w:rPr>
              <w:t>1.38</w:t>
            </w:r>
          </w:p>
        </w:tc>
        <w:tc>
          <w:tcPr>
            <w:tcW w:w="900" w:type="dxa"/>
          </w:tcPr>
          <w:p>
            <w:pPr>
              <w:pStyle w:val="TableParagraph"/>
              <w:ind w:right="80"/>
              <w:rPr>
                <w:sz w:val="16"/>
              </w:rPr>
            </w:pPr>
            <w:r>
              <w:rPr>
                <w:sz w:val="16"/>
              </w:rPr>
              <w:t>0.12</w:t>
            </w:r>
          </w:p>
        </w:tc>
      </w:tr>
      <w:tr>
        <w:trPr>
          <w:trHeight w:val="196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spacing w:line="176" w:lineRule="exact"/>
              <w:ind w:left="111" w:right="102"/>
              <w:rPr>
                <w:sz w:val="16"/>
              </w:rPr>
            </w:pPr>
            <w:r>
              <w:rPr>
                <w:sz w:val="16"/>
              </w:rPr>
              <w:t>Wch-34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186.42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spacing w:line="176" w:lineRule="exact"/>
              <w:ind w:left="91" w:right="87"/>
              <w:rPr>
                <w:sz w:val="16"/>
              </w:rPr>
            </w:pPr>
            <w:r>
              <w:rPr>
                <w:sz w:val="16"/>
              </w:rPr>
              <w:t>0.56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spacing w:line="176" w:lineRule="exact"/>
              <w:ind w:left="91" w:right="87"/>
              <w:rPr>
                <w:sz w:val="16"/>
              </w:rPr>
            </w:pPr>
            <w:r>
              <w:rPr>
                <w:sz w:val="16"/>
              </w:rPr>
              <w:t>0.80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spacing w:line="176" w:lineRule="exact"/>
              <w:ind w:left="91" w:right="87"/>
              <w:rPr>
                <w:sz w:val="16"/>
              </w:rPr>
            </w:pPr>
            <w:r>
              <w:rPr>
                <w:sz w:val="16"/>
              </w:rPr>
              <w:t>0.19</w:t>
            </w:r>
          </w:p>
        </w:tc>
        <w:tc>
          <w:tcPr>
            <w:tcW w:w="1169" w:type="dxa"/>
            <w:shd w:val="clear" w:color="auto" w:fill="D8E1F2"/>
          </w:tcPr>
          <w:p>
            <w:pPr>
              <w:pStyle w:val="TableParagraph"/>
              <w:spacing w:line="176" w:lineRule="exact"/>
              <w:ind w:left="122" w:right="118"/>
              <w:rPr>
                <w:sz w:val="16"/>
              </w:rPr>
            </w:pPr>
            <w:r>
              <w:rPr>
                <w:sz w:val="16"/>
              </w:rPr>
              <w:t>1.55</w:t>
            </w:r>
          </w:p>
        </w:tc>
        <w:tc>
          <w:tcPr>
            <w:tcW w:w="1440" w:type="dxa"/>
            <w:shd w:val="clear" w:color="auto" w:fill="D8E1F2"/>
          </w:tcPr>
          <w:p>
            <w:pPr>
              <w:pStyle w:val="TableParagraph"/>
              <w:spacing w:line="176" w:lineRule="exact"/>
              <w:ind w:left="94" w:right="83"/>
              <w:rPr>
                <w:sz w:val="16"/>
              </w:rPr>
            </w:pPr>
            <w:r>
              <w:rPr>
                <w:sz w:val="16"/>
              </w:rPr>
              <w:t>1.77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6" w:lineRule="exact"/>
              <w:ind w:right="80"/>
              <w:rPr>
                <w:sz w:val="16"/>
              </w:rPr>
            </w:pPr>
            <w:r>
              <w:rPr>
                <w:sz w:val="16"/>
              </w:rPr>
              <w:t>0.12</w:t>
            </w:r>
          </w:p>
        </w:tc>
      </w:tr>
      <w:tr>
        <w:trPr>
          <w:trHeight w:val="194" w:hRule="atLeast"/>
        </w:trPr>
        <w:tc>
          <w:tcPr>
            <w:tcW w:w="806" w:type="dxa"/>
          </w:tcPr>
          <w:p>
            <w:pPr>
              <w:pStyle w:val="TableParagraph"/>
              <w:ind w:left="111" w:right="102"/>
              <w:rPr>
                <w:sz w:val="16"/>
              </w:rPr>
            </w:pPr>
            <w:r>
              <w:rPr>
                <w:sz w:val="16"/>
              </w:rPr>
              <w:t>Wch-35</w:t>
            </w:r>
          </w:p>
        </w:tc>
        <w:tc>
          <w:tcPr>
            <w:tcW w:w="900" w:type="dxa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187.75</w:t>
            </w:r>
          </w:p>
        </w:tc>
        <w:tc>
          <w:tcPr>
            <w:tcW w:w="1260" w:type="dxa"/>
          </w:tcPr>
          <w:p>
            <w:pPr>
              <w:pStyle w:val="TableParagraph"/>
              <w:ind w:left="91" w:right="87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60" w:type="dxa"/>
          </w:tcPr>
          <w:p>
            <w:pPr>
              <w:pStyle w:val="TableParagraph"/>
              <w:ind w:left="91" w:right="87"/>
              <w:rPr>
                <w:sz w:val="16"/>
              </w:rPr>
            </w:pPr>
            <w:r>
              <w:rPr>
                <w:sz w:val="16"/>
              </w:rPr>
              <w:t>0.11</w:t>
            </w:r>
          </w:p>
        </w:tc>
        <w:tc>
          <w:tcPr>
            <w:tcW w:w="1260" w:type="dxa"/>
          </w:tcPr>
          <w:p>
            <w:pPr>
              <w:pStyle w:val="TableParagraph"/>
              <w:ind w:left="91" w:right="87"/>
              <w:rPr>
                <w:sz w:val="16"/>
              </w:rPr>
            </w:pPr>
            <w:r>
              <w:rPr>
                <w:sz w:val="16"/>
              </w:rPr>
              <w:t>0.53</w:t>
            </w:r>
          </w:p>
        </w:tc>
        <w:tc>
          <w:tcPr>
            <w:tcW w:w="1169" w:type="dxa"/>
          </w:tcPr>
          <w:p>
            <w:pPr>
              <w:pStyle w:val="TableParagraph"/>
              <w:ind w:left="122" w:right="118"/>
              <w:rPr>
                <w:sz w:val="16"/>
              </w:rPr>
            </w:pPr>
            <w:r>
              <w:rPr>
                <w:sz w:val="16"/>
              </w:rPr>
              <w:t>0.64</w:t>
            </w:r>
          </w:p>
        </w:tc>
        <w:tc>
          <w:tcPr>
            <w:tcW w:w="1440" w:type="dxa"/>
          </w:tcPr>
          <w:p>
            <w:pPr>
              <w:pStyle w:val="TableParagraph"/>
              <w:ind w:left="9"/>
              <w:rPr>
                <w:sz w:val="16"/>
              </w:rPr>
            </w:pPr>
            <w:r>
              <w:rPr>
                <w:w w:val="100"/>
                <w:sz w:val="16"/>
              </w:rPr>
              <w:t>0</w:t>
            </w:r>
          </w:p>
        </w:tc>
        <w:tc>
          <w:tcPr>
            <w:tcW w:w="900" w:type="dxa"/>
          </w:tcPr>
          <w:p>
            <w:pPr>
              <w:pStyle w:val="TableParagraph"/>
              <w:ind w:right="80"/>
              <w:rPr>
                <w:sz w:val="16"/>
              </w:rPr>
            </w:pPr>
            <w:r>
              <w:rPr>
                <w:sz w:val="16"/>
              </w:rPr>
              <w:t>0.06</w:t>
            </w:r>
          </w:p>
        </w:tc>
      </w:tr>
      <w:tr>
        <w:trPr>
          <w:trHeight w:val="196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111" w:right="102"/>
              <w:rPr>
                <w:sz w:val="16"/>
              </w:rPr>
            </w:pPr>
            <w:r>
              <w:rPr>
                <w:sz w:val="16"/>
              </w:rPr>
              <w:t>Wch-36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right="84"/>
              <w:rPr>
                <w:sz w:val="16"/>
              </w:rPr>
            </w:pPr>
            <w:r>
              <w:rPr>
                <w:sz w:val="16"/>
              </w:rPr>
              <w:t>191.08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91" w:right="87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91" w:right="87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91" w:right="87"/>
              <w:rPr>
                <w:sz w:val="16"/>
              </w:rPr>
            </w:pPr>
            <w:r>
              <w:rPr>
                <w:sz w:val="16"/>
              </w:rPr>
              <w:t>0.59</w:t>
            </w:r>
          </w:p>
        </w:tc>
        <w:tc>
          <w:tcPr>
            <w:tcW w:w="1169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122" w:right="118"/>
              <w:rPr>
                <w:sz w:val="16"/>
              </w:rPr>
            </w:pPr>
            <w:r>
              <w:rPr>
                <w:sz w:val="16"/>
              </w:rPr>
              <w:t>0.59</w:t>
            </w:r>
          </w:p>
        </w:tc>
        <w:tc>
          <w:tcPr>
            <w:tcW w:w="1440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9"/>
              <w:rPr>
                <w:sz w:val="16"/>
              </w:rPr>
            </w:pPr>
            <w:r>
              <w:rPr>
                <w:w w:val="100"/>
                <w:sz w:val="16"/>
              </w:rPr>
              <w:t>0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right="80"/>
              <w:rPr>
                <w:sz w:val="16"/>
              </w:rPr>
            </w:pPr>
            <w:r>
              <w:rPr>
                <w:sz w:val="16"/>
              </w:rPr>
              <w:t>0.05</w:t>
            </w:r>
          </w:p>
        </w:tc>
      </w:tr>
      <w:tr>
        <w:trPr>
          <w:trHeight w:val="193" w:hRule="atLeast"/>
        </w:trPr>
        <w:tc>
          <w:tcPr>
            <w:tcW w:w="806" w:type="dxa"/>
          </w:tcPr>
          <w:p>
            <w:pPr>
              <w:pStyle w:val="TableParagraph"/>
              <w:ind w:left="111" w:right="102"/>
              <w:rPr>
                <w:sz w:val="16"/>
              </w:rPr>
            </w:pPr>
            <w:r>
              <w:rPr>
                <w:sz w:val="16"/>
              </w:rPr>
              <w:t>Wch-55</w:t>
            </w:r>
          </w:p>
        </w:tc>
        <w:tc>
          <w:tcPr>
            <w:tcW w:w="900" w:type="dxa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191.33</w:t>
            </w:r>
          </w:p>
        </w:tc>
        <w:tc>
          <w:tcPr>
            <w:tcW w:w="1260" w:type="dxa"/>
          </w:tcPr>
          <w:p>
            <w:pPr>
              <w:pStyle w:val="TableParagraph"/>
              <w:ind w:left="91" w:right="87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60" w:type="dxa"/>
          </w:tcPr>
          <w:p>
            <w:pPr>
              <w:pStyle w:val="TableParagraph"/>
              <w:ind w:left="91" w:right="87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60" w:type="dxa"/>
          </w:tcPr>
          <w:p>
            <w:pPr>
              <w:pStyle w:val="TableParagraph"/>
              <w:ind w:left="91" w:right="87"/>
              <w:rPr>
                <w:sz w:val="16"/>
              </w:rPr>
            </w:pPr>
            <w:r>
              <w:rPr>
                <w:sz w:val="16"/>
              </w:rPr>
              <w:t>0.16</w:t>
            </w:r>
          </w:p>
        </w:tc>
        <w:tc>
          <w:tcPr>
            <w:tcW w:w="1169" w:type="dxa"/>
          </w:tcPr>
          <w:p>
            <w:pPr>
              <w:pStyle w:val="TableParagraph"/>
              <w:ind w:left="122" w:right="118"/>
              <w:rPr>
                <w:sz w:val="16"/>
              </w:rPr>
            </w:pPr>
            <w:r>
              <w:rPr>
                <w:sz w:val="16"/>
              </w:rPr>
              <w:t>0.16</w:t>
            </w:r>
          </w:p>
        </w:tc>
        <w:tc>
          <w:tcPr>
            <w:tcW w:w="1440" w:type="dxa"/>
          </w:tcPr>
          <w:p>
            <w:pPr>
              <w:pStyle w:val="TableParagraph"/>
              <w:ind w:left="9"/>
              <w:rPr>
                <w:sz w:val="16"/>
              </w:rPr>
            </w:pPr>
            <w:r>
              <w:rPr>
                <w:w w:val="100"/>
                <w:sz w:val="16"/>
              </w:rPr>
              <w:t>0</w:t>
            </w:r>
          </w:p>
        </w:tc>
        <w:tc>
          <w:tcPr>
            <w:tcW w:w="900" w:type="dxa"/>
          </w:tcPr>
          <w:p>
            <w:pPr>
              <w:pStyle w:val="TableParagraph"/>
              <w:ind w:right="80"/>
              <w:rPr>
                <w:sz w:val="16"/>
              </w:rPr>
            </w:pPr>
            <w:r>
              <w:rPr>
                <w:sz w:val="16"/>
              </w:rPr>
              <w:t>0.02</w:t>
            </w:r>
          </w:p>
        </w:tc>
      </w:tr>
      <w:tr>
        <w:trPr>
          <w:trHeight w:val="196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111" w:right="102"/>
              <w:rPr>
                <w:sz w:val="16"/>
              </w:rPr>
            </w:pPr>
            <w:r>
              <w:rPr>
                <w:sz w:val="16"/>
              </w:rPr>
              <w:t>Wch-37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right="84"/>
              <w:rPr>
                <w:sz w:val="16"/>
              </w:rPr>
            </w:pPr>
            <w:r>
              <w:rPr>
                <w:sz w:val="16"/>
              </w:rPr>
              <w:t>192.75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91" w:right="87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91" w:right="87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91" w:right="87"/>
              <w:rPr>
                <w:sz w:val="16"/>
              </w:rPr>
            </w:pPr>
            <w:r>
              <w:rPr>
                <w:sz w:val="16"/>
              </w:rPr>
              <w:t>0.63</w:t>
            </w:r>
          </w:p>
        </w:tc>
        <w:tc>
          <w:tcPr>
            <w:tcW w:w="1169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122" w:right="118"/>
              <w:rPr>
                <w:sz w:val="16"/>
              </w:rPr>
            </w:pPr>
            <w:r>
              <w:rPr>
                <w:sz w:val="16"/>
              </w:rPr>
              <w:t>0.63</w:t>
            </w:r>
          </w:p>
        </w:tc>
        <w:tc>
          <w:tcPr>
            <w:tcW w:w="1440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left="9"/>
              <w:rPr>
                <w:sz w:val="16"/>
              </w:rPr>
            </w:pPr>
            <w:r>
              <w:rPr>
                <w:w w:val="100"/>
                <w:sz w:val="16"/>
              </w:rPr>
              <w:t>0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spacing w:line="175" w:lineRule="exact" w:before="1"/>
              <w:ind w:right="80"/>
              <w:rPr>
                <w:sz w:val="16"/>
              </w:rPr>
            </w:pPr>
            <w:r>
              <w:rPr>
                <w:sz w:val="16"/>
              </w:rPr>
              <w:t>0.06</w:t>
            </w: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6" w:lineRule="exact"/>
              <w:ind w:left="111" w:right="102"/>
              <w:rPr>
                <w:sz w:val="16"/>
              </w:rPr>
            </w:pPr>
            <w:r>
              <w:rPr>
                <w:sz w:val="16"/>
              </w:rPr>
              <w:t>Wch-38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193.75</w:t>
            </w:r>
          </w:p>
        </w:tc>
        <w:tc>
          <w:tcPr>
            <w:tcW w:w="1260" w:type="dxa"/>
          </w:tcPr>
          <w:p>
            <w:pPr>
              <w:pStyle w:val="TableParagraph"/>
              <w:spacing w:line="176" w:lineRule="exact"/>
              <w:ind w:left="91" w:right="87"/>
              <w:rPr>
                <w:sz w:val="16"/>
              </w:rPr>
            </w:pPr>
            <w:r>
              <w:rPr>
                <w:sz w:val="16"/>
              </w:rPr>
              <w:t>0.10</w:t>
            </w:r>
          </w:p>
        </w:tc>
        <w:tc>
          <w:tcPr>
            <w:tcW w:w="1260" w:type="dxa"/>
          </w:tcPr>
          <w:p>
            <w:pPr>
              <w:pStyle w:val="TableParagraph"/>
              <w:spacing w:line="176" w:lineRule="exact"/>
              <w:ind w:left="91" w:right="87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60" w:type="dxa"/>
          </w:tcPr>
          <w:p>
            <w:pPr>
              <w:pStyle w:val="TableParagraph"/>
              <w:spacing w:line="176" w:lineRule="exact"/>
              <w:ind w:left="91" w:right="87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169" w:type="dxa"/>
          </w:tcPr>
          <w:p>
            <w:pPr>
              <w:pStyle w:val="TableParagraph"/>
              <w:spacing w:line="176" w:lineRule="exact"/>
              <w:ind w:left="122" w:right="118"/>
              <w:rPr>
                <w:sz w:val="16"/>
              </w:rPr>
            </w:pPr>
            <w:r>
              <w:rPr>
                <w:sz w:val="16"/>
              </w:rPr>
              <w:t>0.10</w:t>
            </w:r>
          </w:p>
        </w:tc>
        <w:tc>
          <w:tcPr>
            <w:tcW w:w="1440" w:type="dxa"/>
          </w:tcPr>
          <w:p>
            <w:pPr>
              <w:pStyle w:val="TableParagraph"/>
              <w:spacing w:line="176" w:lineRule="exact"/>
              <w:ind w:left="9"/>
              <w:rPr>
                <w:sz w:val="16"/>
              </w:rPr>
            </w:pPr>
            <w:r>
              <w:rPr>
                <w:w w:val="100"/>
                <w:sz w:val="16"/>
              </w:rPr>
              <w:t>0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80"/>
              <w:rPr>
                <w:sz w:val="16"/>
              </w:rPr>
            </w:pPr>
            <w:r>
              <w:rPr>
                <w:sz w:val="16"/>
              </w:rPr>
              <w:t>0.03</w:t>
            </w:r>
          </w:p>
        </w:tc>
      </w:tr>
      <w:tr>
        <w:trPr>
          <w:trHeight w:val="194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ind w:left="111" w:right="102"/>
              <w:rPr>
                <w:sz w:val="16"/>
              </w:rPr>
            </w:pPr>
            <w:r>
              <w:rPr>
                <w:sz w:val="16"/>
              </w:rPr>
              <w:t>Wch-39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195.42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ind w:left="91" w:right="87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ind w:left="91" w:right="87"/>
              <w:rPr>
                <w:sz w:val="16"/>
              </w:rPr>
            </w:pPr>
            <w:r>
              <w:rPr>
                <w:sz w:val="16"/>
              </w:rPr>
              <w:t>0.15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ind w:left="91" w:right="87"/>
              <w:rPr>
                <w:sz w:val="16"/>
              </w:rPr>
            </w:pPr>
            <w:r>
              <w:rPr>
                <w:sz w:val="16"/>
              </w:rPr>
              <w:t>0.11</w:t>
            </w:r>
          </w:p>
        </w:tc>
        <w:tc>
          <w:tcPr>
            <w:tcW w:w="1169" w:type="dxa"/>
            <w:shd w:val="clear" w:color="auto" w:fill="D8E1F2"/>
          </w:tcPr>
          <w:p>
            <w:pPr>
              <w:pStyle w:val="TableParagraph"/>
              <w:ind w:left="122" w:right="118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1440" w:type="dxa"/>
            <w:shd w:val="clear" w:color="auto" w:fill="D8E1F2"/>
          </w:tcPr>
          <w:p>
            <w:pPr>
              <w:pStyle w:val="TableParagraph"/>
              <w:ind w:left="9"/>
              <w:rPr>
                <w:sz w:val="16"/>
              </w:rPr>
            </w:pPr>
            <w:r>
              <w:rPr>
                <w:w w:val="100"/>
                <w:sz w:val="16"/>
              </w:rPr>
              <w:t>0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80"/>
              <w:rPr>
                <w:sz w:val="16"/>
              </w:rPr>
            </w:pPr>
            <w:r>
              <w:rPr>
                <w:sz w:val="16"/>
              </w:rPr>
              <w:t>0.04</w:t>
            </w: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6" w:lineRule="exact"/>
              <w:ind w:left="111" w:right="102"/>
              <w:rPr>
                <w:sz w:val="16"/>
              </w:rPr>
            </w:pPr>
            <w:r>
              <w:rPr>
                <w:sz w:val="16"/>
              </w:rPr>
              <w:t>Wch-56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203.08</w:t>
            </w:r>
          </w:p>
        </w:tc>
        <w:tc>
          <w:tcPr>
            <w:tcW w:w="1260" w:type="dxa"/>
          </w:tcPr>
          <w:p>
            <w:pPr>
              <w:pStyle w:val="TableParagraph"/>
              <w:spacing w:line="176" w:lineRule="exact"/>
              <w:ind w:left="91" w:right="87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60" w:type="dxa"/>
          </w:tcPr>
          <w:p>
            <w:pPr>
              <w:pStyle w:val="TableParagraph"/>
              <w:spacing w:line="176" w:lineRule="exact"/>
              <w:ind w:left="91" w:right="87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60" w:type="dxa"/>
          </w:tcPr>
          <w:p>
            <w:pPr>
              <w:pStyle w:val="TableParagraph"/>
              <w:spacing w:line="176" w:lineRule="exact"/>
              <w:ind w:left="91" w:right="87"/>
              <w:rPr>
                <w:sz w:val="16"/>
              </w:rPr>
            </w:pPr>
            <w:r>
              <w:rPr>
                <w:sz w:val="16"/>
              </w:rPr>
              <w:t>0.71</w:t>
            </w:r>
          </w:p>
        </w:tc>
        <w:tc>
          <w:tcPr>
            <w:tcW w:w="1169" w:type="dxa"/>
          </w:tcPr>
          <w:p>
            <w:pPr>
              <w:pStyle w:val="TableParagraph"/>
              <w:spacing w:line="176" w:lineRule="exact"/>
              <w:ind w:left="122" w:right="118"/>
              <w:rPr>
                <w:sz w:val="16"/>
              </w:rPr>
            </w:pPr>
            <w:r>
              <w:rPr>
                <w:sz w:val="16"/>
              </w:rPr>
              <w:t>0.71</w:t>
            </w:r>
          </w:p>
        </w:tc>
        <w:tc>
          <w:tcPr>
            <w:tcW w:w="1440" w:type="dxa"/>
          </w:tcPr>
          <w:p>
            <w:pPr>
              <w:pStyle w:val="TableParagraph"/>
              <w:spacing w:line="176" w:lineRule="exact"/>
              <w:ind w:left="9"/>
              <w:rPr>
                <w:sz w:val="16"/>
              </w:rPr>
            </w:pPr>
            <w:r>
              <w:rPr>
                <w:w w:val="100"/>
                <w:sz w:val="16"/>
              </w:rPr>
              <w:t>0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80"/>
              <w:rPr>
                <w:sz w:val="16"/>
              </w:rPr>
            </w:pPr>
            <w:r>
              <w:rPr>
                <w:sz w:val="16"/>
              </w:rPr>
              <w:t>0.07</w:t>
            </w:r>
          </w:p>
        </w:tc>
      </w:tr>
      <w:tr>
        <w:trPr>
          <w:trHeight w:val="194" w:hRule="atLeast"/>
        </w:trPr>
        <w:tc>
          <w:tcPr>
            <w:tcW w:w="806" w:type="dxa"/>
            <w:shd w:val="clear" w:color="auto" w:fill="D8E1F2"/>
          </w:tcPr>
          <w:p>
            <w:pPr>
              <w:pStyle w:val="TableParagraph"/>
              <w:ind w:left="111" w:right="102"/>
              <w:rPr>
                <w:sz w:val="16"/>
              </w:rPr>
            </w:pPr>
            <w:r>
              <w:rPr>
                <w:sz w:val="16"/>
              </w:rPr>
              <w:t>Wch-57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207.00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ind w:left="91" w:right="87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ind w:left="91" w:right="87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60" w:type="dxa"/>
            <w:shd w:val="clear" w:color="auto" w:fill="D8E1F2"/>
          </w:tcPr>
          <w:p>
            <w:pPr>
              <w:pStyle w:val="TableParagraph"/>
              <w:ind w:left="91" w:right="87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169" w:type="dxa"/>
            <w:shd w:val="clear" w:color="auto" w:fill="D8E1F2"/>
          </w:tcPr>
          <w:p>
            <w:pPr>
              <w:pStyle w:val="TableParagraph"/>
              <w:ind w:left="122" w:right="118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440" w:type="dxa"/>
            <w:shd w:val="clear" w:color="auto" w:fill="D8E1F2"/>
          </w:tcPr>
          <w:p>
            <w:pPr>
              <w:pStyle w:val="TableParagraph"/>
              <w:ind w:left="9"/>
              <w:rPr>
                <w:sz w:val="16"/>
              </w:rPr>
            </w:pPr>
            <w:r>
              <w:rPr>
                <w:w w:val="100"/>
                <w:sz w:val="16"/>
              </w:rPr>
              <w:t>0</w:t>
            </w:r>
          </w:p>
        </w:tc>
        <w:tc>
          <w:tcPr>
            <w:tcW w:w="900" w:type="dxa"/>
            <w:shd w:val="clear" w:color="auto" w:fill="D8E1F2"/>
          </w:tcPr>
          <w:p>
            <w:pPr>
              <w:pStyle w:val="TableParagraph"/>
              <w:ind w:left="7"/>
              <w:rPr>
                <w:sz w:val="16"/>
              </w:rPr>
            </w:pPr>
            <w:r>
              <w:rPr>
                <w:w w:val="100"/>
                <w:sz w:val="16"/>
              </w:rPr>
              <w:t>0</w:t>
            </w:r>
          </w:p>
        </w:tc>
      </w:tr>
      <w:tr>
        <w:trPr>
          <w:trHeight w:val="196" w:hRule="atLeast"/>
        </w:trPr>
        <w:tc>
          <w:tcPr>
            <w:tcW w:w="806" w:type="dxa"/>
          </w:tcPr>
          <w:p>
            <w:pPr>
              <w:pStyle w:val="TableParagraph"/>
              <w:spacing w:line="176" w:lineRule="exact"/>
              <w:ind w:left="111" w:right="102"/>
              <w:rPr>
                <w:sz w:val="16"/>
              </w:rPr>
            </w:pPr>
            <w:r>
              <w:rPr>
                <w:sz w:val="16"/>
              </w:rPr>
              <w:t>Wch-58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right="84"/>
              <w:rPr>
                <w:sz w:val="16"/>
              </w:rPr>
            </w:pPr>
            <w:r>
              <w:rPr>
                <w:sz w:val="16"/>
              </w:rPr>
              <w:t>209.92</w:t>
            </w:r>
          </w:p>
        </w:tc>
        <w:tc>
          <w:tcPr>
            <w:tcW w:w="1260" w:type="dxa"/>
          </w:tcPr>
          <w:p>
            <w:pPr>
              <w:pStyle w:val="TableParagraph"/>
              <w:spacing w:line="176" w:lineRule="exact"/>
              <w:ind w:left="91" w:right="87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60" w:type="dxa"/>
          </w:tcPr>
          <w:p>
            <w:pPr>
              <w:pStyle w:val="TableParagraph"/>
              <w:spacing w:line="176" w:lineRule="exact"/>
              <w:ind w:left="91" w:right="87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260" w:type="dxa"/>
          </w:tcPr>
          <w:p>
            <w:pPr>
              <w:pStyle w:val="TableParagraph"/>
              <w:spacing w:line="176" w:lineRule="exact"/>
              <w:ind w:left="91" w:right="87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169" w:type="dxa"/>
          </w:tcPr>
          <w:p>
            <w:pPr>
              <w:pStyle w:val="TableParagraph"/>
              <w:spacing w:line="176" w:lineRule="exact"/>
              <w:ind w:left="122" w:right="118"/>
              <w:rPr>
                <w:sz w:val="16"/>
              </w:rPr>
            </w:pPr>
            <w:r>
              <w:rPr>
                <w:sz w:val="16"/>
              </w:rPr>
              <w:t>0.00</w:t>
            </w:r>
          </w:p>
        </w:tc>
        <w:tc>
          <w:tcPr>
            <w:tcW w:w="1440" w:type="dxa"/>
          </w:tcPr>
          <w:p>
            <w:pPr>
              <w:pStyle w:val="TableParagraph"/>
              <w:spacing w:line="176" w:lineRule="exact"/>
              <w:ind w:left="9"/>
              <w:rPr>
                <w:sz w:val="16"/>
              </w:rPr>
            </w:pPr>
            <w:r>
              <w:rPr>
                <w:w w:val="100"/>
                <w:sz w:val="16"/>
              </w:rPr>
              <w:t>0</w:t>
            </w:r>
          </w:p>
        </w:tc>
        <w:tc>
          <w:tcPr>
            <w:tcW w:w="900" w:type="dxa"/>
          </w:tcPr>
          <w:p>
            <w:pPr>
              <w:pStyle w:val="TableParagraph"/>
              <w:spacing w:line="176" w:lineRule="exact"/>
              <w:ind w:left="7"/>
              <w:rPr>
                <w:sz w:val="16"/>
              </w:rPr>
            </w:pPr>
            <w:r>
              <w:rPr>
                <w:w w:val="100"/>
                <w:sz w:val="16"/>
              </w:rPr>
              <w:t>0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9"/>
        </w:rPr>
      </w:pPr>
    </w:p>
    <w:p>
      <w:pPr>
        <w:spacing w:before="0"/>
        <w:ind w:left="120" w:right="917" w:firstLine="0"/>
        <w:jc w:val="left"/>
        <w:rPr>
          <w:i/>
          <w:sz w:val="22"/>
        </w:rPr>
      </w:pPr>
      <w:r>
        <w:rPr>
          <w:sz w:val="22"/>
        </w:rPr>
        <w:t>Table</w:t>
      </w:r>
      <w:r>
        <w:rPr>
          <w:spacing w:val="-1"/>
          <w:sz w:val="22"/>
        </w:rPr>
        <w:t> </w:t>
      </w:r>
      <w:r>
        <w:rPr>
          <w:sz w:val="22"/>
        </w:rPr>
        <w:t>8.</w:t>
      </w:r>
      <w:r>
        <w:rPr>
          <w:spacing w:val="-4"/>
          <w:sz w:val="22"/>
        </w:rPr>
        <w:t> </w:t>
      </w:r>
      <w:r>
        <w:rPr>
          <w:sz w:val="22"/>
        </w:rPr>
        <w:t>δ</w:t>
      </w:r>
      <w:r>
        <w:rPr>
          <w:sz w:val="22"/>
          <w:vertAlign w:val="superscript"/>
        </w:rPr>
        <w:t>13</w:t>
      </w:r>
      <w:r>
        <w:rPr>
          <w:sz w:val="22"/>
          <w:vertAlign w:val="baseline"/>
        </w:rPr>
        <w:t>C whole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organic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carbon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values. Samples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are marked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if</w:t>
      </w:r>
      <w:r>
        <w:rPr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they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came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from previous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studies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or</w:t>
      </w:r>
      <w:r>
        <w:rPr>
          <w:spacing w:val="-47"/>
          <w:sz w:val="22"/>
          <w:vertAlign w:val="baseline"/>
        </w:rPr>
        <w:t> </w:t>
      </w:r>
      <w:r>
        <w:rPr>
          <w:sz w:val="22"/>
          <w:vertAlign w:val="baseline"/>
        </w:rPr>
        <w:t>this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study’s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samples</w:t>
      </w:r>
      <w:r>
        <w:rPr>
          <w:spacing w:val="2"/>
          <w:sz w:val="22"/>
          <w:vertAlign w:val="baseline"/>
        </w:rPr>
        <w:t> </w:t>
      </w:r>
      <w:r>
        <w:rPr>
          <w:i/>
          <w:color w:val="445469"/>
          <w:sz w:val="22"/>
          <w:vertAlign w:val="baseline"/>
        </w:rPr>
        <w:t>(Molinares-Blanco,</w:t>
      </w:r>
      <w:r>
        <w:rPr>
          <w:i/>
          <w:color w:val="445469"/>
          <w:spacing w:val="-4"/>
          <w:sz w:val="22"/>
          <w:vertAlign w:val="baseline"/>
        </w:rPr>
        <w:t> </w:t>
      </w:r>
      <w:r>
        <w:rPr>
          <w:i/>
          <w:color w:val="445469"/>
          <w:sz w:val="22"/>
          <w:vertAlign w:val="baseline"/>
        </w:rPr>
        <w:t>2019)</w:t>
      </w:r>
    </w:p>
    <w:p>
      <w:pPr>
        <w:pStyle w:val="BodyText"/>
        <w:spacing w:before="5"/>
        <w:rPr>
          <w:i/>
          <w:sz w:val="16"/>
        </w:rPr>
      </w:pPr>
    </w:p>
    <w:tbl>
      <w:tblPr>
        <w:tblW w:w="0" w:type="auto"/>
        <w:jc w:val="left"/>
        <w:tblInd w:w="2698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35"/>
        <w:gridCol w:w="1440"/>
        <w:gridCol w:w="1344"/>
      </w:tblGrid>
      <w:tr>
        <w:trPr>
          <w:trHeight w:val="216" w:hRule="atLeast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4472C3"/>
          </w:tcPr>
          <w:p>
            <w:pPr>
              <w:pStyle w:val="TableParagraph"/>
              <w:spacing w:line="185" w:lineRule="exact" w:before="11"/>
              <w:ind w:left="457" w:right="447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Sample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4472C3"/>
          </w:tcPr>
          <w:p>
            <w:pPr>
              <w:pStyle w:val="TableParagraph"/>
              <w:spacing w:line="185" w:lineRule="exact" w:before="11"/>
              <w:ind w:left="379" w:right="371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Depth</w:t>
            </w:r>
            <w:r>
              <w:rPr>
                <w:b/>
                <w:color w:val="FFFFFF"/>
                <w:spacing w:val="-2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(ft)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4472C3"/>
          </w:tcPr>
          <w:p>
            <w:pPr>
              <w:pStyle w:val="TableParagraph"/>
              <w:spacing w:line="186" w:lineRule="exact" w:before="10"/>
              <w:ind w:left="520" w:right="512"/>
              <w:rPr>
                <w:b/>
                <w:sz w:val="16"/>
              </w:rPr>
            </w:pPr>
            <w:r>
              <w:rPr>
                <w:b/>
                <w:color w:val="FFFFFF"/>
                <w:position w:val="-4"/>
                <w:sz w:val="16"/>
              </w:rPr>
              <w:t>δ</w:t>
            </w:r>
            <w:r>
              <w:rPr>
                <w:b/>
                <w:color w:val="FFFFFF"/>
                <w:sz w:val="10"/>
              </w:rPr>
              <w:t>13</w:t>
            </w:r>
            <w:r>
              <w:rPr>
                <w:b/>
                <w:color w:val="FFFFFF"/>
                <w:position w:val="-4"/>
                <w:sz w:val="16"/>
              </w:rPr>
              <w:t>C</w:t>
            </w:r>
          </w:p>
        </w:tc>
      </w:tr>
      <w:tr>
        <w:trPr>
          <w:trHeight w:val="196" w:hRule="atLeast"/>
        </w:trPr>
        <w:tc>
          <w:tcPr>
            <w:tcW w:w="1435" w:type="dxa"/>
            <w:tcBorders>
              <w:top w:val="nil"/>
            </w:tcBorders>
            <w:shd w:val="clear" w:color="auto" w:fill="D8E2F2"/>
          </w:tcPr>
          <w:p>
            <w:pPr>
              <w:pStyle w:val="TableParagraph"/>
              <w:spacing w:line="177" w:lineRule="exact"/>
              <w:ind w:left="139" w:right="134"/>
              <w:rPr>
                <w:sz w:val="16"/>
              </w:rPr>
            </w:pPr>
            <w:r>
              <w:rPr>
                <w:sz w:val="16"/>
              </w:rPr>
              <w:t>Molinares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(2019)</w:t>
            </w:r>
          </w:p>
        </w:tc>
        <w:tc>
          <w:tcPr>
            <w:tcW w:w="1440" w:type="dxa"/>
            <w:tcBorders>
              <w:top w:val="nil"/>
            </w:tcBorders>
            <w:shd w:val="clear" w:color="auto" w:fill="D8E2F2"/>
          </w:tcPr>
          <w:p>
            <w:pPr>
              <w:pStyle w:val="TableParagraph"/>
              <w:spacing w:line="177" w:lineRule="exact"/>
              <w:ind w:left="94" w:right="83"/>
              <w:rPr>
                <w:sz w:val="16"/>
              </w:rPr>
            </w:pPr>
            <w:r>
              <w:rPr>
                <w:sz w:val="16"/>
              </w:rPr>
              <w:t>70.60</w:t>
            </w:r>
          </w:p>
        </w:tc>
        <w:tc>
          <w:tcPr>
            <w:tcW w:w="1344" w:type="dxa"/>
            <w:tcBorders>
              <w:top w:val="nil"/>
            </w:tcBorders>
            <w:shd w:val="clear" w:color="auto" w:fill="D8E2F2"/>
          </w:tcPr>
          <w:p>
            <w:pPr>
              <w:pStyle w:val="TableParagraph"/>
              <w:spacing w:line="177" w:lineRule="exact"/>
              <w:ind w:left="446" w:right="434"/>
              <w:rPr>
                <w:sz w:val="16"/>
              </w:rPr>
            </w:pPr>
            <w:r>
              <w:rPr>
                <w:sz w:val="16"/>
              </w:rPr>
              <w:t>-29.72</w:t>
            </w:r>
          </w:p>
        </w:tc>
      </w:tr>
      <w:tr>
        <w:trPr>
          <w:trHeight w:val="193" w:hRule="atLeast"/>
        </w:trPr>
        <w:tc>
          <w:tcPr>
            <w:tcW w:w="1435" w:type="dxa"/>
          </w:tcPr>
          <w:p>
            <w:pPr>
              <w:pStyle w:val="TableParagraph"/>
              <w:ind w:left="139" w:right="134"/>
              <w:rPr>
                <w:sz w:val="16"/>
              </w:rPr>
            </w:pPr>
            <w:r>
              <w:rPr>
                <w:sz w:val="16"/>
              </w:rPr>
              <w:t>Molinares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(2019)</w:t>
            </w:r>
          </w:p>
        </w:tc>
        <w:tc>
          <w:tcPr>
            <w:tcW w:w="1440" w:type="dxa"/>
          </w:tcPr>
          <w:p>
            <w:pPr>
              <w:pStyle w:val="TableParagraph"/>
              <w:ind w:left="94" w:right="83"/>
              <w:rPr>
                <w:sz w:val="16"/>
              </w:rPr>
            </w:pPr>
            <w:r>
              <w:rPr>
                <w:sz w:val="16"/>
              </w:rPr>
              <w:t>73.60</w:t>
            </w:r>
          </w:p>
        </w:tc>
        <w:tc>
          <w:tcPr>
            <w:tcW w:w="1344" w:type="dxa"/>
          </w:tcPr>
          <w:p>
            <w:pPr>
              <w:pStyle w:val="TableParagraph"/>
              <w:ind w:left="446" w:right="434"/>
              <w:rPr>
                <w:sz w:val="16"/>
              </w:rPr>
            </w:pPr>
            <w:r>
              <w:rPr>
                <w:sz w:val="16"/>
              </w:rPr>
              <w:t>-28.81</w:t>
            </w:r>
          </w:p>
        </w:tc>
      </w:tr>
      <w:tr>
        <w:trPr>
          <w:trHeight w:val="196" w:hRule="atLeast"/>
        </w:trPr>
        <w:tc>
          <w:tcPr>
            <w:tcW w:w="1435" w:type="dxa"/>
            <w:shd w:val="clear" w:color="auto" w:fill="D8E2F2"/>
          </w:tcPr>
          <w:p>
            <w:pPr>
              <w:pStyle w:val="TableParagraph"/>
              <w:spacing w:line="176" w:lineRule="exact"/>
              <w:ind w:left="140" w:right="131"/>
              <w:rPr>
                <w:sz w:val="16"/>
              </w:rPr>
            </w:pPr>
            <w:r>
              <w:rPr>
                <w:sz w:val="16"/>
              </w:rPr>
              <w:t>Wch-1</w:t>
            </w:r>
          </w:p>
        </w:tc>
        <w:tc>
          <w:tcPr>
            <w:tcW w:w="1440" w:type="dxa"/>
            <w:shd w:val="clear" w:color="auto" w:fill="D8E2F2"/>
          </w:tcPr>
          <w:p>
            <w:pPr>
              <w:pStyle w:val="TableParagraph"/>
              <w:spacing w:line="176" w:lineRule="exact"/>
              <w:ind w:left="94" w:right="83"/>
              <w:rPr>
                <w:sz w:val="16"/>
              </w:rPr>
            </w:pPr>
            <w:r>
              <w:rPr>
                <w:sz w:val="16"/>
              </w:rPr>
              <w:t>74.00</w:t>
            </w:r>
          </w:p>
        </w:tc>
        <w:tc>
          <w:tcPr>
            <w:tcW w:w="1344" w:type="dxa"/>
            <w:shd w:val="clear" w:color="auto" w:fill="D8E2F2"/>
          </w:tcPr>
          <w:p>
            <w:pPr>
              <w:pStyle w:val="TableParagraph"/>
              <w:spacing w:line="176" w:lineRule="exact"/>
              <w:ind w:left="446" w:right="434"/>
              <w:rPr>
                <w:sz w:val="16"/>
              </w:rPr>
            </w:pPr>
            <w:r>
              <w:rPr>
                <w:sz w:val="16"/>
              </w:rPr>
              <w:t>-29.04</w:t>
            </w:r>
          </w:p>
        </w:tc>
      </w:tr>
      <w:tr>
        <w:trPr>
          <w:trHeight w:val="194" w:hRule="atLeast"/>
        </w:trPr>
        <w:tc>
          <w:tcPr>
            <w:tcW w:w="1435" w:type="dxa"/>
          </w:tcPr>
          <w:p>
            <w:pPr>
              <w:pStyle w:val="TableParagraph"/>
              <w:ind w:left="140" w:right="131"/>
              <w:rPr>
                <w:sz w:val="16"/>
              </w:rPr>
            </w:pPr>
            <w:r>
              <w:rPr>
                <w:sz w:val="16"/>
              </w:rPr>
              <w:t>Wch-2</w:t>
            </w:r>
          </w:p>
        </w:tc>
        <w:tc>
          <w:tcPr>
            <w:tcW w:w="1440" w:type="dxa"/>
          </w:tcPr>
          <w:p>
            <w:pPr>
              <w:pStyle w:val="TableParagraph"/>
              <w:ind w:left="94" w:right="83"/>
              <w:rPr>
                <w:sz w:val="16"/>
              </w:rPr>
            </w:pPr>
            <w:r>
              <w:rPr>
                <w:sz w:val="16"/>
              </w:rPr>
              <w:t>75.50</w:t>
            </w:r>
          </w:p>
        </w:tc>
        <w:tc>
          <w:tcPr>
            <w:tcW w:w="1344" w:type="dxa"/>
          </w:tcPr>
          <w:p>
            <w:pPr>
              <w:pStyle w:val="TableParagraph"/>
              <w:ind w:left="446" w:right="434"/>
              <w:rPr>
                <w:sz w:val="16"/>
              </w:rPr>
            </w:pPr>
            <w:r>
              <w:rPr>
                <w:sz w:val="16"/>
              </w:rPr>
              <w:t>-30.36</w:t>
            </w:r>
          </w:p>
        </w:tc>
      </w:tr>
      <w:tr>
        <w:trPr>
          <w:trHeight w:val="196" w:hRule="atLeast"/>
        </w:trPr>
        <w:tc>
          <w:tcPr>
            <w:tcW w:w="1435" w:type="dxa"/>
            <w:shd w:val="clear" w:color="auto" w:fill="D8E2F2"/>
          </w:tcPr>
          <w:p>
            <w:pPr>
              <w:pStyle w:val="TableParagraph"/>
              <w:spacing w:line="176" w:lineRule="exact"/>
              <w:ind w:left="140" w:right="131"/>
              <w:rPr>
                <w:sz w:val="16"/>
              </w:rPr>
            </w:pPr>
            <w:r>
              <w:rPr>
                <w:sz w:val="16"/>
              </w:rPr>
              <w:t>Wch-3</w:t>
            </w:r>
          </w:p>
        </w:tc>
        <w:tc>
          <w:tcPr>
            <w:tcW w:w="1440" w:type="dxa"/>
            <w:shd w:val="clear" w:color="auto" w:fill="D8E2F2"/>
          </w:tcPr>
          <w:p>
            <w:pPr>
              <w:pStyle w:val="TableParagraph"/>
              <w:spacing w:line="176" w:lineRule="exact"/>
              <w:ind w:left="94" w:right="83"/>
              <w:rPr>
                <w:sz w:val="16"/>
              </w:rPr>
            </w:pPr>
            <w:r>
              <w:rPr>
                <w:sz w:val="16"/>
              </w:rPr>
              <w:t>77.80</w:t>
            </w:r>
          </w:p>
        </w:tc>
        <w:tc>
          <w:tcPr>
            <w:tcW w:w="1344" w:type="dxa"/>
            <w:shd w:val="clear" w:color="auto" w:fill="D8E2F2"/>
          </w:tcPr>
          <w:p>
            <w:pPr>
              <w:pStyle w:val="TableParagraph"/>
              <w:spacing w:line="176" w:lineRule="exact"/>
              <w:ind w:left="446" w:right="434"/>
              <w:rPr>
                <w:sz w:val="16"/>
              </w:rPr>
            </w:pPr>
            <w:r>
              <w:rPr>
                <w:sz w:val="16"/>
              </w:rPr>
              <w:t>-30.28</w:t>
            </w:r>
          </w:p>
        </w:tc>
      </w:tr>
      <w:tr>
        <w:trPr>
          <w:trHeight w:val="194" w:hRule="atLeast"/>
        </w:trPr>
        <w:tc>
          <w:tcPr>
            <w:tcW w:w="1435" w:type="dxa"/>
          </w:tcPr>
          <w:p>
            <w:pPr>
              <w:pStyle w:val="TableParagraph"/>
              <w:ind w:left="139" w:right="134"/>
              <w:rPr>
                <w:sz w:val="16"/>
              </w:rPr>
            </w:pPr>
            <w:r>
              <w:rPr>
                <w:sz w:val="16"/>
              </w:rPr>
              <w:t>Molinares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(2019)</w:t>
            </w:r>
          </w:p>
        </w:tc>
        <w:tc>
          <w:tcPr>
            <w:tcW w:w="1440" w:type="dxa"/>
          </w:tcPr>
          <w:p>
            <w:pPr>
              <w:pStyle w:val="TableParagraph"/>
              <w:ind w:left="94" w:right="83"/>
              <w:rPr>
                <w:sz w:val="16"/>
              </w:rPr>
            </w:pPr>
            <w:r>
              <w:rPr>
                <w:sz w:val="16"/>
              </w:rPr>
              <w:t>79.60</w:t>
            </w:r>
          </w:p>
        </w:tc>
        <w:tc>
          <w:tcPr>
            <w:tcW w:w="1344" w:type="dxa"/>
          </w:tcPr>
          <w:p>
            <w:pPr>
              <w:pStyle w:val="TableParagraph"/>
              <w:ind w:left="446" w:right="434"/>
              <w:rPr>
                <w:sz w:val="16"/>
              </w:rPr>
            </w:pPr>
            <w:r>
              <w:rPr>
                <w:sz w:val="16"/>
              </w:rPr>
              <w:t>-29.12</w:t>
            </w:r>
          </w:p>
        </w:tc>
      </w:tr>
      <w:tr>
        <w:trPr>
          <w:trHeight w:val="196" w:hRule="atLeast"/>
        </w:trPr>
        <w:tc>
          <w:tcPr>
            <w:tcW w:w="1435" w:type="dxa"/>
            <w:shd w:val="clear" w:color="auto" w:fill="D8E2F2"/>
          </w:tcPr>
          <w:p>
            <w:pPr>
              <w:pStyle w:val="TableParagraph"/>
              <w:spacing w:line="176" w:lineRule="exact"/>
              <w:ind w:left="139" w:right="134"/>
              <w:rPr>
                <w:sz w:val="16"/>
              </w:rPr>
            </w:pPr>
            <w:r>
              <w:rPr>
                <w:sz w:val="16"/>
              </w:rPr>
              <w:t>Molinares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(2019)</w:t>
            </w:r>
          </w:p>
        </w:tc>
        <w:tc>
          <w:tcPr>
            <w:tcW w:w="1440" w:type="dxa"/>
            <w:shd w:val="clear" w:color="auto" w:fill="D8E2F2"/>
          </w:tcPr>
          <w:p>
            <w:pPr>
              <w:pStyle w:val="TableParagraph"/>
              <w:spacing w:line="176" w:lineRule="exact"/>
              <w:ind w:left="94" w:right="83"/>
              <w:rPr>
                <w:sz w:val="16"/>
              </w:rPr>
            </w:pPr>
            <w:r>
              <w:rPr>
                <w:sz w:val="16"/>
              </w:rPr>
              <w:t>83.01</w:t>
            </w:r>
          </w:p>
        </w:tc>
        <w:tc>
          <w:tcPr>
            <w:tcW w:w="1344" w:type="dxa"/>
            <w:shd w:val="clear" w:color="auto" w:fill="D8E2F2"/>
          </w:tcPr>
          <w:p>
            <w:pPr>
              <w:pStyle w:val="TableParagraph"/>
              <w:spacing w:line="176" w:lineRule="exact"/>
              <w:ind w:left="446" w:right="434"/>
              <w:rPr>
                <w:sz w:val="16"/>
              </w:rPr>
            </w:pPr>
            <w:r>
              <w:rPr>
                <w:sz w:val="16"/>
              </w:rPr>
              <w:t>-29.78</w:t>
            </w:r>
          </w:p>
        </w:tc>
      </w:tr>
      <w:tr>
        <w:trPr>
          <w:trHeight w:val="193" w:hRule="atLeast"/>
        </w:trPr>
        <w:tc>
          <w:tcPr>
            <w:tcW w:w="1435" w:type="dxa"/>
          </w:tcPr>
          <w:p>
            <w:pPr>
              <w:pStyle w:val="TableParagraph"/>
              <w:ind w:left="139" w:right="134"/>
              <w:rPr>
                <w:sz w:val="16"/>
              </w:rPr>
            </w:pPr>
            <w:r>
              <w:rPr>
                <w:sz w:val="16"/>
              </w:rPr>
              <w:t>Molinares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(2019)</w:t>
            </w:r>
          </w:p>
        </w:tc>
        <w:tc>
          <w:tcPr>
            <w:tcW w:w="1440" w:type="dxa"/>
          </w:tcPr>
          <w:p>
            <w:pPr>
              <w:pStyle w:val="TableParagraph"/>
              <w:ind w:left="94" w:right="83"/>
              <w:rPr>
                <w:sz w:val="16"/>
              </w:rPr>
            </w:pPr>
            <w:r>
              <w:rPr>
                <w:sz w:val="16"/>
              </w:rPr>
              <w:t>86.20</w:t>
            </w:r>
          </w:p>
        </w:tc>
        <w:tc>
          <w:tcPr>
            <w:tcW w:w="1344" w:type="dxa"/>
          </w:tcPr>
          <w:p>
            <w:pPr>
              <w:pStyle w:val="TableParagraph"/>
              <w:ind w:left="446" w:right="434"/>
              <w:rPr>
                <w:sz w:val="16"/>
              </w:rPr>
            </w:pPr>
            <w:r>
              <w:rPr>
                <w:sz w:val="16"/>
              </w:rPr>
              <w:t>-29.78</w:t>
            </w:r>
          </w:p>
        </w:tc>
      </w:tr>
      <w:tr>
        <w:trPr>
          <w:trHeight w:val="196" w:hRule="atLeast"/>
        </w:trPr>
        <w:tc>
          <w:tcPr>
            <w:tcW w:w="1435" w:type="dxa"/>
            <w:shd w:val="clear" w:color="auto" w:fill="D8E2F2"/>
          </w:tcPr>
          <w:p>
            <w:pPr>
              <w:pStyle w:val="TableParagraph"/>
              <w:spacing w:line="175" w:lineRule="exact" w:before="1"/>
              <w:ind w:left="139" w:right="134"/>
              <w:rPr>
                <w:sz w:val="16"/>
              </w:rPr>
            </w:pPr>
            <w:r>
              <w:rPr>
                <w:sz w:val="16"/>
              </w:rPr>
              <w:t>Molinares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(2019)</w:t>
            </w:r>
          </w:p>
        </w:tc>
        <w:tc>
          <w:tcPr>
            <w:tcW w:w="1440" w:type="dxa"/>
            <w:shd w:val="clear" w:color="auto" w:fill="D8E2F2"/>
          </w:tcPr>
          <w:p>
            <w:pPr>
              <w:pStyle w:val="TableParagraph"/>
              <w:spacing w:line="175" w:lineRule="exact" w:before="1"/>
              <w:ind w:left="94" w:right="83"/>
              <w:rPr>
                <w:sz w:val="16"/>
              </w:rPr>
            </w:pPr>
            <w:r>
              <w:rPr>
                <w:sz w:val="16"/>
              </w:rPr>
              <w:t>89.01</w:t>
            </w:r>
          </w:p>
        </w:tc>
        <w:tc>
          <w:tcPr>
            <w:tcW w:w="1344" w:type="dxa"/>
            <w:shd w:val="clear" w:color="auto" w:fill="D8E2F2"/>
          </w:tcPr>
          <w:p>
            <w:pPr>
              <w:pStyle w:val="TableParagraph"/>
              <w:spacing w:line="175" w:lineRule="exact" w:before="1"/>
              <w:ind w:left="446" w:right="434"/>
              <w:rPr>
                <w:sz w:val="16"/>
              </w:rPr>
            </w:pPr>
            <w:r>
              <w:rPr>
                <w:sz w:val="16"/>
              </w:rPr>
              <w:t>-28.82</w:t>
            </w:r>
          </w:p>
        </w:tc>
      </w:tr>
      <w:tr>
        <w:trPr>
          <w:trHeight w:val="193" w:hRule="atLeast"/>
        </w:trPr>
        <w:tc>
          <w:tcPr>
            <w:tcW w:w="1435" w:type="dxa"/>
          </w:tcPr>
          <w:p>
            <w:pPr>
              <w:pStyle w:val="TableParagraph"/>
              <w:ind w:left="139" w:right="134"/>
              <w:rPr>
                <w:sz w:val="16"/>
              </w:rPr>
            </w:pPr>
            <w:r>
              <w:rPr>
                <w:sz w:val="16"/>
              </w:rPr>
              <w:t>Molinares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(2019)</w:t>
            </w:r>
          </w:p>
        </w:tc>
        <w:tc>
          <w:tcPr>
            <w:tcW w:w="1440" w:type="dxa"/>
          </w:tcPr>
          <w:p>
            <w:pPr>
              <w:pStyle w:val="TableParagraph"/>
              <w:ind w:left="94" w:right="83"/>
              <w:rPr>
                <w:sz w:val="16"/>
              </w:rPr>
            </w:pPr>
            <w:r>
              <w:rPr>
                <w:sz w:val="16"/>
              </w:rPr>
              <w:t>93.60</w:t>
            </w:r>
          </w:p>
        </w:tc>
        <w:tc>
          <w:tcPr>
            <w:tcW w:w="1344" w:type="dxa"/>
          </w:tcPr>
          <w:p>
            <w:pPr>
              <w:pStyle w:val="TableParagraph"/>
              <w:ind w:left="446" w:right="434"/>
              <w:rPr>
                <w:sz w:val="16"/>
              </w:rPr>
            </w:pPr>
            <w:r>
              <w:rPr>
                <w:sz w:val="16"/>
              </w:rPr>
              <w:t>-28.65</w:t>
            </w:r>
          </w:p>
        </w:tc>
      </w:tr>
      <w:tr>
        <w:trPr>
          <w:trHeight w:val="196" w:hRule="atLeast"/>
        </w:trPr>
        <w:tc>
          <w:tcPr>
            <w:tcW w:w="1435" w:type="dxa"/>
            <w:shd w:val="clear" w:color="auto" w:fill="D8E2F2"/>
          </w:tcPr>
          <w:p>
            <w:pPr>
              <w:pStyle w:val="TableParagraph"/>
              <w:spacing w:line="175" w:lineRule="exact" w:before="1"/>
              <w:ind w:left="139" w:right="134"/>
              <w:rPr>
                <w:sz w:val="16"/>
              </w:rPr>
            </w:pPr>
            <w:r>
              <w:rPr>
                <w:sz w:val="16"/>
              </w:rPr>
              <w:t>Molinares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(2019)</w:t>
            </w:r>
          </w:p>
        </w:tc>
        <w:tc>
          <w:tcPr>
            <w:tcW w:w="1440" w:type="dxa"/>
            <w:shd w:val="clear" w:color="auto" w:fill="D8E2F2"/>
          </w:tcPr>
          <w:p>
            <w:pPr>
              <w:pStyle w:val="TableParagraph"/>
              <w:spacing w:line="175" w:lineRule="exact" w:before="1"/>
              <w:ind w:left="94" w:right="83"/>
              <w:rPr>
                <w:sz w:val="16"/>
              </w:rPr>
            </w:pPr>
            <w:r>
              <w:rPr>
                <w:sz w:val="16"/>
              </w:rPr>
              <w:t>98.00</w:t>
            </w:r>
          </w:p>
        </w:tc>
        <w:tc>
          <w:tcPr>
            <w:tcW w:w="1344" w:type="dxa"/>
            <w:shd w:val="clear" w:color="auto" w:fill="D8E2F2"/>
          </w:tcPr>
          <w:p>
            <w:pPr>
              <w:pStyle w:val="TableParagraph"/>
              <w:spacing w:line="175" w:lineRule="exact" w:before="1"/>
              <w:ind w:left="446" w:right="434"/>
              <w:rPr>
                <w:sz w:val="16"/>
              </w:rPr>
            </w:pPr>
            <w:r>
              <w:rPr>
                <w:sz w:val="16"/>
              </w:rPr>
              <w:t>-27.94</w:t>
            </w:r>
          </w:p>
        </w:tc>
      </w:tr>
      <w:tr>
        <w:trPr>
          <w:trHeight w:val="196" w:hRule="atLeast"/>
        </w:trPr>
        <w:tc>
          <w:tcPr>
            <w:tcW w:w="1435" w:type="dxa"/>
          </w:tcPr>
          <w:p>
            <w:pPr>
              <w:pStyle w:val="TableParagraph"/>
              <w:spacing w:line="176" w:lineRule="exact"/>
              <w:ind w:left="139" w:right="134"/>
              <w:rPr>
                <w:sz w:val="16"/>
              </w:rPr>
            </w:pPr>
            <w:r>
              <w:rPr>
                <w:sz w:val="16"/>
              </w:rPr>
              <w:t>Molinares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(2019)</w:t>
            </w:r>
          </w:p>
        </w:tc>
        <w:tc>
          <w:tcPr>
            <w:tcW w:w="1440" w:type="dxa"/>
          </w:tcPr>
          <w:p>
            <w:pPr>
              <w:pStyle w:val="TableParagraph"/>
              <w:spacing w:line="176" w:lineRule="exact"/>
              <w:ind w:left="93" w:right="83"/>
              <w:rPr>
                <w:sz w:val="16"/>
              </w:rPr>
            </w:pPr>
            <w:r>
              <w:rPr>
                <w:sz w:val="16"/>
              </w:rPr>
              <w:t>104.20</w:t>
            </w:r>
          </w:p>
        </w:tc>
        <w:tc>
          <w:tcPr>
            <w:tcW w:w="1344" w:type="dxa"/>
          </w:tcPr>
          <w:p>
            <w:pPr>
              <w:pStyle w:val="TableParagraph"/>
              <w:spacing w:line="176" w:lineRule="exact"/>
              <w:ind w:left="446" w:right="434"/>
              <w:rPr>
                <w:sz w:val="16"/>
              </w:rPr>
            </w:pPr>
            <w:r>
              <w:rPr>
                <w:sz w:val="16"/>
              </w:rPr>
              <w:t>-29.04</w:t>
            </w:r>
          </w:p>
        </w:tc>
      </w:tr>
      <w:tr>
        <w:trPr>
          <w:trHeight w:val="193" w:hRule="atLeast"/>
        </w:trPr>
        <w:tc>
          <w:tcPr>
            <w:tcW w:w="1435" w:type="dxa"/>
            <w:shd w:val="clear" w:color="auto" w:fill="D8E2F2"/>
          </w:tcPr>
          <w:p>
            <w:pPr>
              <w:pStyle w:val="TableParagraph"/>
              <w:ind w:left="140" w:right="131"/>
              <w:rPr>
                <w:sz w:val="16"/>
              </w:rPr>
            </w:pPr>
            <w:r>
              <w:rPr>
                <w:sz w:val="16"/>
              </w:rPr>
              <w:t>Wch-41</w:t>
            </w:r>
          </w:p>
        </w:tc>
        <w:tc>
          <w:tcPr>
            <w:tcW w:w="1440" w:type="dxa"/>
            <w:shd w:val="clear" w:color="auto" w:fill="D8E2F2"/>
          </w:tcPr>
          <w:p>
            <w:pPr>
              <w:pStyle w:val="TableParagraph"/>
              <w:ind w:left="93" w:right="83"/>
              <w:rPr>
                <w:sz w:val="16"/>
              </w:rPr>
            </w:pPr>
            <w:r>
              <w:rPr>
                <w:sz w:val="16"/>
              </w:rPr>
              <w:t>109.17</w:t>
            </w:r>
          </w:p>
        </w:tc>
        <w:tc>
          <w:tcPr>
            <w:tcW w:w="1344" w:type="dxa"/>
            <w:shd w:val="clear" w:color="auto" w:fill="D8E2F2"/>
          </w:tcPr>
          <w:p>
            <w:pPr>
              <w:pStyle w:val="TableParagraph"/>
              <w:ind w:left="446" w:right="434"/>
              <w:rPr>
                <w:sz w:val="16"/>
              </w:rPr>
            </w:pPr>
            <w:r>
              <w:rPr>
                <w:sz w:val="16"/>
              </w:rPr>
              <w:t>-29.08</w:t>
            </w:r>
          </w:p>
        </w:tc>
      </w:tr>
      <w:tr>
        <w:trPr>
          <w:trHeight w:val="196" w:hRule="atLeast"/>
        </w:trPr>
        <w:tc>
          <w:tcPr>
            <w:tcW w:w="1435" w:type="dxa"/>
          </w:tcPr>
          <w:p>
            <w:pPr>
              <w:pStyle w:val="TableParagraph"/>
              <w:spacing w:line="176" w:lineRule="exact"/>
              <w:ind w:left="139" w:right="134"/>
              <w:rPr>
                <w:sz w:val="16"/>
              </w:rPr>
            </w:pPr>
            <w:r>
              <w:rPr>
                <w:sz w:val="16"/>
              </w:rPr>
              <w:t>Molinares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(2019)</w:t>
            </w:r>
          </w:p>
        </w:tc>
        <w:tc>
          <w:tcPr>
            <w:tcW w:w="1440" w:type="dxa"/>
          </w:tcPr>
          <w:p>
            <w:pPr>
              <w:pStyle w:val="TableParagraph"/>
              <w:spacing w:line="176" w:lineRule="exact"/>
              <w:ind w:left="93" w:right="83"/>
              <w:rPr>
                <w:sz w:val="16"/>
              </w:rPr>
            </w:pPr>
            <w:r>
              <w:rPr>
                <w:sz w:val="16"/>
              </w:rPr>
              <w:t>109.40</w:t>
            </w:r>
          </w:p>
        </w:tc>
        <w:tc>
          <w:tcPr>
            <w:tcW w:w="1344" w:type="dxa"/>
          </w:tcPr>
          <w:p>
            <w:pPr>
              <w:pStyle w:val="TableParagraph"/>
              <w:spacing w:line="176" w:lineRule="exact"/>
              <w:ind w:left="446" w:right="434"/>
              <w:rPr>
                <w:sz w:val="16"/>
              </w:rPr>
            </w:pPr>
            <w:r>
              <w:rPr>
                <w:sz w:val="16"/>
              </w:rPr>
              <w:t>-28.71</w:t>
            </w:r>
          </w:p>
        </w:tc>
      </w:tr>
      <w:tr>
        <w:trPr>
          <w:trHeight w:val="194" w:hRule="atLeast"/>
        </w:trPr>
        <w:tc>
          <w:tcPr>
            <w:tcW w:w="1435" w:type="dxa"/>
            <w:shd w:val="clear" w:color="auto" w:fill="D8E2F2"/>
          </w:tcPr>
          <w:p>
            <w:pPr>
              <w:pStyle w:val="TableParagraph"/>
              <w:ind w:left="139" w:right="134"/>
              <w:rPr>
                <w:sz w:val="16"/>
              </w:rPr>
            </w:pPr>
            <w:r>
              <w:rPr>
                <w:sz w:val="16"/>
              </w:rPr>
              <w:t>Molinares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(2019)</w:t>
            </w:r>
          </w:p>
        </w:tc>
        <w:tc>
          <w:tcPr>
            <w:tcW w:w="1440" w:type="dxa"/>
            <w:shd w:val="clear" w:color="auto" w:fill="D8E2F2"/>
          </w:tcPr>
          <w:p>
            <w:pPr>
              <w:pStyle w:val="TableParagraph"/>
              <w:ind w:left="93" w:right="83"/>
              <w:rPr>
                <w:sz w:val="16"/>
              </w:rPr>
            </w:pPr>
            <w:r>
              <w:rPr>
                <w:sz w:val="16"/>
              </w:rPr>
              <w:t>111.90</w:t>
            </w:r>
          </w:p>
        </w:tc>
        <w:tc>
          <w:tcPr>
            <w:tcW w:w="1344" w:type="dxa"/>
            <w:shd w:val="clear" w:color="auto" w:fill="D8E2F2"/>
          </w:tcPr>
          <w:p>
            <w:pPr>
              <w:pStyle w:val="TableParagraph"/>
              <w:ind w:left="446" w:right="434"/>
              <w:rPr>
                <w:sz w:val="16"/>
              </w:rPr>
            </w:pPr>
            <w:r>
              <w:rPr>
                <w:sz w:val="16"/>
              </w:rPr>
              <w:t>-29.27</w:t>
            </w:r>
          </w:p>
        </w:tc>
      </w:tr>
      <w:tr>
        <w:trPr>
          <w:trHeight w:val="196" w:hRule="atLeast"/>
        </w:trPr>
        <w:tc>
          <w:tcPr>
            <w:tcW w:w="1435" w:type="dxa"/>
          </w:tcPr>
          <w:p>
            <w:pPr>
              <w:pStyle w:val="TableParagraph"/>
              <w:spacing w:line="176" w:lineRule="exact"/>
              <w:ind w:left="139" w:right="134"/>
              <w:rPr>
                <w:sz w:val="16"/>
              </w:rPr>
            </w:pPr>
            <w:r>
              <w:rPr>
                <w:sz w:val="16"/>
              </w:rPr>
              <w:t>Molinares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(2019)</w:t>
            </w:r>
          </w:p>
        </w:tc>
        <w:tc>
          <w:tcPr>
            <w:tcW w:w="1440" w:type="dxa"/>
          </w:tcPr>
          <w:p>
            <w:pPr>
              <w:pStyle w:val="TableParagraph"/>
              <w:spacing w:line="176" w:lineRule="exact"/>
              <w:ind w:left="93" w:right="83"/>
              <w:rPr>
                <w:sz w:val="16"/>
              </w:rPr>
            </w:pPr>
            <w:r>
              <w:rPr>
                <w:sz w:val="16"/>
              </w:rPr>
              <w:t>114.80</w:t>
            </w:r>
          </w:p>
        </w:tc>
        <w:tc>
          <w:tcPr>
            <w:tcW w:w="1344" w:type="dxa"/>
          </w:tcPr>
          <w:p>
            <w:pPr>
              <w:pStyle w:val="TableParagraph"/>
              <w:spacing w:line="176" w:lineRule="exact"/>
              <w:ind w:left="446" w:right="434"/>
              <w:rPr>
                <w:sz w:val="16"/>
              </w:rPr>
            </w:pPr>
            <w:r>
              <w:rPr>
                <w:sz w:val="16"/>
              </w:rPr>
              <w:t>-29.29</w:t>
            </w:r>
          </w:p>
        </w:tc>
      </w:tr>
      <w:tr>
        <w:trPr>
          <w:trHeight w:val="194" w:hRule="atLeast"/>
        </w:trPr>
        <w:tc>
          <w:tcPr>
            <w:tcW w:w="1435" w:type="dxa"/>
            <w:shd w:val="clear" w:color="auto" w:fill="D8E2F2"/>
          </w:tcPr>
          <w:p>
            <w:pPr>
              <w:pStyle w:val="TableParagraph"/>
              <w:ind w:left="139" w:right="134"/>
              <w:rPr>
                <w:sz w:val="16"/>
              </w:rPr>
            </w:pPr>
            <w:r>
              <w:rPr>
                <w:sz w:val="16"/>
              </w:rPr>
              <w:t>Molinares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(2019)</w:t>
            </w:r>
          </w:p>
        </w:tc>
        <w:tc>
          <w:tcPr>
            <w:tcW w:w="1440" w:type="dxa"/>
            <w:shd w:val="clear" w:color="auto" w:fill="D8E2F2"/>
          </w:tcPr>
          <w:p>
            <w:pPr>
              <w:pStyle w:val="TableParagraph"/>
              <w:ind w:left="93" w:right="83"/>
              <w:rPr>
                <w:sz w:val="16"/>
              </w:rPr>
            </w:pPr>
            <w:r>
              <w:rPr>
                <w:sz w:val="16"/>
              </w:rPr>
              <w:t>119.30</w:t>
            </w:r>
          </w:p>
        </w:tc>
        <w:tc>
          <w:tcPr>
            <w:tcW w:w="1344" w:type="dxa"/>
            <w:shd w:val="clear" w:color="auto" w:fill="D8E2F2"/>
          </w:tcPr>
          <w:p>
            <w:pPr>
              <w:pStyle w:val="TableParagraph"/>
              <w:ind w:left="446" w:right="434"/>
              <w:rPr>
                <w:sz w:val="16"/>
              </w:rPr>
            </w:pPr>
            <w:r>
              <w:rPr>
                <w:sz w:val="16"/>
              </w:rPr>
              <w:t>-29.64</w:t>
            </w:r>
          </w:p>
        </w:tc>
      </w:tr>
      <w:tr>
        <w:trPr>
          <w:trHeight w:val="196" w:hRule="atLeast"/>
        </w:trPr>
        <w:tc>
          <w:tcPr>
            <w:tcW w:w="1435" w:type="dxa"/>
          </w:tcPr>
          <w:p>
            <w:pPr>
              <w:pStyle w:val="TableParagraph"/>
              <w:spacing w:line="176" w:lineRule="exact"/>
              <w:ind w:left="139" w:right="134"/>
              <w:rPr>
                <w:sz w:val="16"/>
              </w:rPr>
            </w:pPr>
            <w:r>
              <w:rPr>
                <w:sz w:val="16"/>
              </w:rPr>
              <w:t>Molinares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(2019)</w:t>
            </w:r>
          </w:p>
        </w:tc>
        <w:tc>
          <w:tcPr>
            <w:tcW w:w="1440" w:type="dxa"/>
          </w:tcPr>
          <w:p>
            <w:pPr>
              <w:pStyle w:val="TableParagraph"/>
              <w:spacing w:line="176" w:lineRule="exact"/>
              <w:ind w:left="93" w:right="83"/>
              <w:rPr>
                <w:sz w:val="16"/>
              </w:rPr>
            </w:pPr>
            <w:r>
              <w:rPr>
                <w:sz w:val="16"/>
              </w:rPr>
              <w:t>120.59</w:t>
            </w:r>
          </w:p>
        </w:tc>
        <w:tc>
          <w:tcPr>
            <w:tcW w:w="1344" w:type="dxa"/>
          </w:tcPr>
          <w:p>
            <w:pPr>
              <w:pStyle w:val="TableParagraph"/>
              <w:spacing w:line="176" w:lineRule="exact"/>
              <w:ind w:left="446" w:right="434"/>
              <w:rPr>
                <w:sz w:val="16"/>
              </w:rPr>
            </w:pPr>
            <w:r>
              <w:rPr>
                <w:sz w:val="16"/>
              </w:rPr>
              <w:t>-29.91</w:t>
            </w:r>
          </w:p>
        </w:tc>
      </w:tr>
      <w:tr>
        <w:trPr>
          <w:trHeight w:val="193" w:hRule="atLeast"/>
        </w:trPr>
        <w:tc>
          <w:tcPr>
            <w:tcW w:w="1435" w:type="dxa"/>
            <w:shd w:val="clear" w:color="auto" w:fill="D8E2F2"/>
          </w:tcPr>
          <w:p>
            <w:pPr>
              <w:pStyle w:val="TableParagraph"/>
              <w:ind w:left="139" w:right="134"/>
              <w:rPr>
                <w:sz w:val="16"/>
              </w:rPr>
            </w:pPr>
            <w:r>
              <w:rPr>
                <w:sz w:val="16"/>
              </w:rPr>
              <w:t>Molinares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(2019)</w:t>
            </w:r>
          </w:p>
        </w:tc>
        <w:tc>
          <w:tcPr>
            <w:tcW w:w="1440" w:type="dxa"/>
            <w:shd w:val="clear" w:color="auto" w:fill="D8E2F2"/>
          </w:tcPr>
          <w:p>
            <w:pPr>
              <w:pStyle w:val="TableParagraph"/>
              <w:ind w:left="93" w:right="83"/>
              <w:rPr>
                <w:sz w:val="16"/>
              </w:rPr>
            </w:pPr>
            <w:r>
              <w:rPr>
                <w:sz w:val="16"/>
              </w:rPr>
              <w:t>122.05</w:t>
            </w:r>
          </w:p>
        </w:tc>
        <w:tc>
          <w:tcPr>
            <w:tcW w:w="1344" w:type="dxa"/>
            <w:shd w:val="clear" w:color="auto" w:fill="D8E2F2"/>
          </w:tcPr>
          <w:p>
            <w:pPr>
              <w:pStyle w:val="TableParagraph"/>
              <w:ind w:left="446" w:right="434"/>
              <w:rPr>
                <w:sz w:val="16"/>
              </w:rPr>
            </w:pPr>
            <w:r>
              <w:rPr>
                <w:sz w:val="16"/>
              </w:rPr>
              <w:t>-29.16</w:t>
            </w:r>
          </w:p>
        </w:tc>
      </w:tr>
      <w:tr>
        <w:trPr>
          <w:trHeight w:val="196" w:hRule="atLeast"/>
        </w:trPr>
        <w:tc>
          <w:tcPr>
            <w:tcW w:w="1435" w:type="dxa"/>
          </w:tcPr>
          <w:p>
            <w:pPr>
              <w:pStyle w:val="TableParagraph"/>
              <w:spacing w:line="175" w:lineRule="exact" w:before="1"/>
              <w:ind w:left="139" w:right="134"/>
              <w:rPr>
                <w:sz w:val="16"/>
              </w:rPr>
            </w:pPr>
            <w:r>
              <w:rPr>
                <w:sz w:val="16"/>
              </w:rPr>
              <w:t>Molinares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(2019)</w:t>
            </w:r>
          </w:p>
        </w:tc>
        <w:tc>
          <w:tcPr>
            <w:tcW w:w="1440" w:type="dxa"/>
          </w:tcPr>
          <w:p>
            <w:pPr>
              <w:pStyle w:val="TableParagraph"/>
              <w:spacing w:line="175" w:lineRule="exact" w:before="1"/>
              <w:ind w:left="93" w:right="83"/>
              <w:rPr>
                <w:sz w:val="16"/>
              </w:rPr>
            </w:pPr>
            <w:r>
              <w:rPr>
                <w:sz w:val="16"/>
              </w:rPr>
              <w:t>124.60</w:t>
            </w:r>
          </w:p>
        </w:tc>
        <w:tc>
          <w:tcPr>
            <w:tcW w:w="1344" w:type="dxa"/>
          </w:tcPr>
          <w:p>
            <w:pPr>
              <w:pStyle w:val="TableParagraph"/>
              <w:spacing w:line="175" w:lineRule="exact" w:before="1"/>
              <w:ind w:left="446" w:right="434"/>
              <w:rPr>
                <w:sz w:val="16"/>
              </w:rPr>
            </w:pPr>
            <w:r>
              <w:rPr>
                <w:sz w:val="16"/>
              </w:rPr>
              <w:t>-29.42</w:t>
            </w:r>
          </w:p>
        </w:tc>
      </w:tr>
      <w:tr>
        <w:trPr>
          <w:trHeight w:val="193" w:hRule="atLeast"/>
        </w:trPr>
        <w:tc>
          <w:tcPr>
            <w:tcW w:w="1435" w:type="dxa"/>
            <w:shd w:val="clear" w:color="auto" w:fill="D8E2F2"/>
          </w:tcPr>
          <w:p>
            <w:pPr>
              <w:pStyle w:val="TableParagraph"/>
              <w:ind w:left="140" w:right="131"/>
              <w:rPr>
                <w:sz w:val="16"/>
              </w:rPr>
            </w:pPr>
            <w:r>
              <w:rPr>
                <w:sz w:val="16"/>
              </w:rPr>
              <w:t>Wch-43</w:t>
            </w:r>
          </w:p>
        </w:tc>
        <w:tc>
          <w:tcPr>
            <w:tcW w:w="1440" w:type="dxa"/>
            <w:shd w:val="clear" w:color="auto" w:fill="D8E2F2"/>
          </w:tcPr>
          <w:p>
            <w:pPr>
              <w:pStyle w:val="TableParagraph"/>
              <w:ind w:left="93" w:right="83"/>
              <w:rPr>
                <w:sz w:val="16"/>
              </w:rPr>
            </w:pPr>
            <w:r>
              <w:rPr>
                <w:sz w:val="16"/>
              </w:rPr>
              <w:t>126.17</w:t>
            </w:r>
          </w:p>
        </w:tc>
        <w:tc>
          <w:tcPr>
            <w:tcW w:w="1344" w:type="dxa"/>
            <w:shd w:val="clear" w:color="auto" w:fill="D8E2F2"/>
          </w:tcPr>
          <w:p>
            <w:pPr>
              <w:pStyle w:val="TableParagraph"/>
              <w:ind w:left="446" w:right="434"/>
              <w:rPr>
                <w:sz w:val="16"/>
              </w:rPr>
            </w:pPr>
            <w:r>
              <w:rPr>
                <w:sz w:val="16"/>
              </w:rPr>
              <w:t>-27.00</w:t>
            </w:r>
          </w:p>
        </w:tc>
      </w:tr>
      <w:tr>
        <w:trPr>
          <w:trHeight w:val="196" w:hRule="atLeast"/>
        </w:trPr>
        <w:tc>
          <w:tcPr>
            <w:tcW w:w="1435" w:type="dxa"/>
          </w:tcPr>
          <w:p>
            <w:pPr>
              <w:pStyle w:val="TableParagraph"/>
              <w:spacing w:line="175" w:lineRule="exact" w:before="1"/>
              <w:ind w:left="139" w:right="134"/>
              <w:rPr>
                <w:sz w:val="16"/>
              </w:rPr>
            </w:pPr>
            <w:r>
              <w:rPr>
                <w:sz w:val="16"/>
              </w:rPr>
              <w:t>Molinares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(2019)</w:t>
            </w:r>
          </w:p>
        </w:tc>
        <w:tc>
          <w:tcPr>
            <w:tcW w:w="1440" w:type="dxa"/>
          </w:tcPr>
          <w:p>
            <w:pPr>
              <w:pStyle w:val="TableParagraph"/>
              <w:spacing w:line="175" w:lineRule="exact" w:before="1"/>
              <w:ind w:left="93" w:right="83"/>
              <w:rPr>
                <w:sz w:val="16"/>
              </w:rPr>
            </w:pPr>
            <w:r>
              <w:rPr>
                <w:sz w:val="16"/>
              </w:rPr>
              <w:t>129.10</w:t>
            </w:r>
          </w:p>
        </w:tc>
        <w:tc>
          <w:tcPr>
            <w:tcW w:w="1344" w:type="dxa"/>
          </w:tcPr>
          <w:p>
            <w:pPr>
              <w:pStyle w:val="TableParagraph"/>
              <w:spacing w:line="175" w:lineRule="exact" w:before="1"/>
              <w:ind w:left="446" w:right="434"/>
              <w:rPr>
                <w:sz w:val="16"/>
              </w:rPr>
            </w:pPr>
            <w:r>
              <w:rPr>
                <w:sz w:val="16"/>
              </w:rPr>
              <w:t>-29.08</w:t>
            </w:r>
          </w:p>
        </w:tc>
      </w:tr>
      <w:tr>
        <w:trPr>
          <w:trHeight w:val="196" w:hRule="atLeast"/>
        </w:trPr>
        <w:tc>
          <w:tcPr>
            <w:tcW w:w="1435" w:type="dxa"/>
            <w:shd w:val="clear" w:color="auto" w:fill="D8E2F2"/>
          </w:tcPr>
          <w:p>
            <w:pPr>
              <w:pStyle w:val="TableParagraph"/>
              <w:spacing w:line="176" w:lineRule="exact"/>
              <w:ind w:left="140" w:right="131"/>
              <w:rPr>
                <w:sz w:val="16"/>
              </w:rPr>
            </w:pPr>
            <w:r>
              <w:rPr>
                <w:sz w:val="16"/>
              </w:rPr>
              <w:t>Wch-20</w:t>
            </w:r>
          </w:p>
        </w:tc>
        <w:tc>
          <w:tcPr>
            <w:tcW w:w="1440" w:type="dxa"/>
            <w:shd w:val="clear" w:color="auto" w:fill="D8E2F2"/>
          </w:tcPr>
          <w:p>
            <w:pPr>
              <w:pStyle w:val="TableParagraph"/>
              <w:spacing w:line="176" w:lineRule="exact"/>
              <w:ind w:left="93" w:right="83"/>
              <w:rPr>
                <w:sz w:val="16"/>
              </w:rPr>
            </w:pPr>
            <w:r>
              <w:rPr>
                <w:sz w:val="16"/>
              </w:rPr>
              <w:t>130.00</w:t>
            </w:r>
          </w:p>
        </w:tc>
        <w:tc>
          <w:tcPr>
            <w:tcW w:w="1344" w:type="dxa"/>
            <w:shd w:val="clear" w:color="auto" w:fill="D8E2F2"/>
          </w:tcPr>
          <w:p>
            <w:pPr>
              <w:pStyle w:val="TableParagraph"/>
              <w:spacing w:line="176" w:lineRule="exact"/>
              <w:ind w:left="446" w:right="434"/>
              <w:rPr>
                <w:sz w:val="16"/>
              </w:rPr>
            </w:pPr>
            <w:r>
              <w:rPr>
                <w:sz w:val="16"/>
              </w:rPr>
              <w:t>-29.28</w:t>
            </w:r>
          </w:p>
        </w:tc>
      </w:tr>
      <w:tr>
        <w:trPr>
          <w:trHeight w:val="194" w:hRule="atLeast"/>
        </w:trPr>
        <w:tc>
          <w:tcPr>
            <w:tcW w:w="1435" w:type="dxa"/>
          </w:tcPr>
          <w:p>
            <w:pPr>
              <w:pStyle w:val="TableParagraph"/>
              <w:ind w:left="139" w:right="134"/>
              <w:rPr>
                <w:sz w:val="16"/>
              </w:rPr>
            </w:pPr>
            <w:r>
              <w:rPr>
                <w:sz w:val="16"/>
              </w:rPr>
              <w:t>Molinares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(2019)</w:t>
            </w:r>
          </w:p>
        </w:tc>
        <w:tc>
          <w:tcPr>
            <w:tcW w:w="1440" w:type="dxa"/>
          </w:tcPr>
          <w:p>
            <w:pPr>
              <w:pStyle w:val="TableParagraph"/>
              <w:ind w:left="93" w:right="83"/>
              <w:rPr>
                <w:sz w:val="16"/>
              </w:rPr>
            </w:pPr>
            <w:r>
              <w:rPr>
                <w:sz w:val="16"/>
              </w:rPr>
              <w:t>132.10</w:t>
            </w:r>
          </w:p>
        </w:tc>
        <w:tc>
          <w:tcPr>
            <w:tcW w:w="1344" w:type="dxa"/>
          </w:tcPr>
          <w:p>
            <w:pPr>
              <w:pStyle w:val="TableParagraph"/>
              <w:ind w:left="446" w:right="434"/>
              <w:rPr>
                <w:sz w:val="16"/>
              </w:rPr>
            </w:pPr>
            <w:r>
              <w:rPr>
                <w:sz w:val="16"/>
              </w:rPr>
              <w:t>-28.30</w:t>
            </w:r>
          </w:p>
        </w:tc>
      </w:tr>
      <w:tr>
        <w:trPr>
          <w:trHeight w:val="196" w:hRule="atLeast"/>
        </w:trPr>
        <w:tc>
          <w:tcPr>
            <w:tcW w:w="1435" w:type="dxa"/>
            <w:shd w:val="clear" w:color="auto" w:fill="D8E2F2"/>
          </w:tcPr>
          <w:p>
            <w:pPr>
              <w:pStyle w:val="TableParagraph"/>
              <w:spacing w:line="176" w:lineRule="exact"/>
              <w:ind w:left="140" w:right="131"/>
              <w:rPr>
                <w:sz w:val="16"/>
              </w:rPr>
            </w:pPr>
            <w:r>
              <w:rPr>
                <w:sz w:val="16"/>
              </w:rPr>
              <w:t>Wch-21</w:t>
            </w:r>
          </w:p>
        </w:tc>
        <w:tc>
          <w:tcPr>
            <w:tcW w:w="1440" w:type="dxa"/>
            <w:shd w:val="clear" w:color="auto" w:fill="D8E2F2"/>
          </w:tcPr>
          <w:p>
            <w:pPr>
              <w:pStyle w:val="TableParagraph"/>
              <w:spacing w:line="176" w:lineRule="exact"/>
              <w:ind w:left="93" w:right="83"/>
              <w:rPr>
                <w:sz w:val="16"/>
              </w:rPr>
            </w:pPr>
            <w:r>
              <w:rPr>
                <w:sz w:val="16"/>
              </w:rPr>
              <w:t>133.50</w:t>
            </w:r>
          </w:p>
        </w:tc>
        <w:tc>
          <w:tcPr>
            <w:tcW w:w="1344" w:type="dxa"/>
            <w:shd w:val="clear" w:color="auto" w:fill="D8E2F2"/>
          </w:tcPr>
          <w:p>
            <w:pPr>
              <w:pStyle w:val="TableParagraph"/>
              <w:spacing w:line="176" w:lineRule="exact"/>
              <w:ind w:left="446" w:right="434"/>
              <w:rPr>
                <w:sz w:val="16"/>
              </w:rPr>
            </w:pPr>
            <w:r>
              <w:rPr>
                <w:sz w:val="16"/>
              </w:rPr>
              <w:t>-29.23</w:t>
            </w:r>
          </w:p>
        </w:tc>
      </w:tr>
      <w:tr>
        <w:trPr>
          <w:trHeight w:val="194" w:hRule="atLeast"/>
        </w:trPr>
        <w:tc>
          <w:tcPr>
            <w:tcW w:w="1435" w:type="dxa"/>
          </w:tcPr>
          <w:p>
            <w:pPr>
              <w:pStyle w:val="TableParagraph"/>
              <w:ind w:left="139" w:right="134"/>
              <w:rPr>
                <w:sz w:val="16"/>
              </w:rPr>
            </w:pPr>
            <w:r>
              <w:rPr>
                <w:sz w:val="16"/>
              </w:rPr>
              <w:t>Molinares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(2019)</w:t>
            </w:r>
          </w:p>
        </w:tc>
        <w:tc>
          <w:tcPr>
            <w:tcW w:w="1440" w:type="dxa"/>
          </w:tcPr>
          <w:p>
            <w:pPr>
              <w:pStyle w:val="TableParagraph"/>
              <w:ind w:left="93" w:right="83"/>
              <w:rPr>
                <w:sz w:val="16"/>
              </w:rPr>
            </w:pPr>
            <w:r>
              <w:rPr>
                <w:sz w:val="16"/>
              </w:rPr>
              <w:t>134.30</w:t>
            </w:r>
          </w:p>
        </w:tc>
        <w:tc>
          <w:tcPr>
            <w:tcW w:w="1344" w:type="dxa"/>
          </w:tcPr>
          <w:p>
            <w:pPr>
              <w:pStyle w:val="TableParagraph"/>
              <w:ind w:left="446" w:right="434"/>
              <w:rPr>
                <w:sz w:val="16"/>
              </w:rPr>
            </w:pPr>
            <w:r>
              <w:rPr>
                <w:sz w:val="16"/>
              </w:rPr>
              <w:t>-28.65</w:t>
            </w:r>
          </w:p>
        </w:tc>
      </w:tr>
      <w:tr>
        <w:trPr>
          <w:trHeight w:val="196" w:hRule="atLeast"/>
        </w:trPr>
        <w:tc>
          <w:tcPr>
            <w:tcW w:w="1435" w:type="dxa"/>
            <w:shd w:val="clear" w:color="auto" w:fill="D8E2F2"/>
          </w:tcPr>
          <w:p>
            <w:pPr>
              <w:pStyle w:val="TableParagraph"/>
              <w:spacing w:line="176" w:lineRule="exact"/>
              <w:ind w:left="140" w:right="131"/>
              <w:rPr>
                <w:sz w:val="16"/>
              </w:rPr>
            </w:pPr>
            <w:r>
              <w:rPr>
                <w:sz w:val="16"/>
              </w:rPr>
              <w:t>Wch-22</w:t>
            </w:r>
          </w:p>
        </w:tc>
        <w:tc>
          <w:tcPr>
            <w:tcW w:w="1440" w:type="dxa"/>
            <w:shd w:val="clear" w:color="auto" w:fill="D8E2F2"/>
          </w:tcPr>
          <w:p>
            <w:pPr>
              <w:pStyle w:val="TableParagraph"/>
              <w:spacing w:line="176" w:lineRule="exact"/>
              <w:ind w:left="93" w:right="83"/>
              <w:rPr>
                <w:sz w:val="16"/>
              </w:rPr>
            </w:pPr>
            <w:r>
              <w:rPr>
                <w:sz w:val="16"/>
              </w:rPr>
              <w:t>136.00</w:t>
            </w:r>
          </w:p>
        </w:tc>
        <w:tc>
          <w:tcPr>
            <w:tcW w:w="1344" w:type="dxa"/>
            <w:shd w:val="clear" w:color="auto" w:fill="D8E2F2"/>
          </w:tcPr>
          <w:p>
            <w:pPr>
              <w:pStyle w:val="TableParagraph"/>
              <w:spacing w:line="176" w:lineRule="exact"/>
              <w:ind w:left="446" w:right="434"/>
              <w:rPr>
                <w:sz w:val="16"/>
              </w:rPr>
            </w:pPr>
            <w:r>
              <w:rPr>
                <w:sz w:val="16"/>
              </w:rPr>
              <w:t>-29.44</w:t>
            </w:r>
          </w:p>
        </w:tc>
      </w:tr>
      <w:tr>
        <w:trPr>
          <w:trHeight w:val="194" w:hRule="atLeast"/>
        </w:trPr>
        <w:tc>
          <w:tcPr>
            <w:tcW w:w="1435" w:type="dxa"/>
          </w:tcPr>
          <w:p>
            <w:pPr>
              <w:pStyle w:val="TableParagraph"/>
              <w:ind w:left="139" w:right="134"/>
              <w:rPr>
                <w:sz w:val="16"/>
              </w:rPr>
            </w:pPr>
            <w:r>
              <w:rPr>
                <w:sz w:val="16"/>
              </w:rPr>
              <w:t>Molinares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(2019)</w:t>
            </w:r>
          </w:p>
        </w:tc>
        <w:tc>
          <w:tcPr>
            <w:tcW w:w="1440" w:type="dxa"/>
          </w:tcPr>
          <w:p>
            <w:pPr>
              <w:pStyle w:val="TableParagraph"/>
              <w:ind w:left="93" w:right="83"/>
              <w:rPr>
                <w:sz w:val="16"/>
              </w:rPr>
            </w:pPr>
            <w:r>
              <w:rPr>
                <w:sz w:val="16"/>
              </w:rPr>
              <w:t>136.01</w:t>
            </w:r>
          </w:p>
        </w:tc>
        <w:tc>
          <w:tcPr>
            <w:tcW w:w="1344" w:type="dxa"/>
          </w:tcPr>
          <w:p>
            <w:pPr>
              <w:pStyle w:val="TableParagraph"/>
              <w:ind w:left="446" w:right="434"/>
              <w:rPr>
                <w:sz w:val="16"/>
              </w:rPr>
            </w:pPr>
            <w:r>
              <w:rPr>
                <w:sz w:val="16"/>
              </w:rPr>
              <w:t>-28.97</w:t>
            </w:r>
          </w:p>
        </w:tc>
      </w:tr>
      <w:tr>
        <w:trPr>
          <w:trHeight w:val="196" w:hRule="atLeast"/>
        </w:trPr>
        <w:tc>
          <w:tcPr>
            <w:tcW w:w="1435" w:type="dxa"/>
            <w:shd w:val="clear" w:color="auto" w:fill="D8E2F2"/>
          </w:tcPr>
          <w:p>
            <w:pPr>
              <w:pStyle w:val="TableParagraph"/>
              <w:spacing w:line="176" w:lineRule="exact"/>
              <w:ind w:left="139" w:right="134"/>
              <w:rPr>
                <w:sz w:val="16"/>
              </w:rPr>
            </w:pPr>
            <w:r>
              <w:rPr>
                <w:sz w:val="16"/>
              </w:rPr>
              <w:t>Molinares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(2019)</w:t>
            </w:r>
          </w:p>
        </w:tc>
        <w:tc>
          <w:tcPr>
            <w:tcW w:w="1440" w:type="dxa"/>
            <w:shd w:val="clear" w:color="auto" w:fill="D8E2F2"/>
          </w:tcPr>
          <w:p>
            <w:pPr>
              <w:pStyle w:val="TableParagraph"/>
              <w:spacing w:line="176" w:lineRule="exact"/>
              <w:ind w:left="93" w:right="83"/>
              <w:rPr>
                <w:sz w:val="16"/>
              </w:rPr>
            </w:pPr>
            <w:r>
              <w:rPr>
                <w:sz w:val="16"/>
              </w:rPr>
              <w:t>137.40</w:t>
            </w:r>
          </w:p>
        </w:tc>
        <w:tc>
          <w:tcPr>
            <w:tcW w:w="1344" w:type="dxa"/>
            <w:shd w:val="clear" w:color="auto" w:fill="D8E2F2"/>
          </w:tcPr>
          <w:p>
            <w:pPr>
              <w:pStyle w:val="TableParagraph"/>
              <w:spacing w:line="176" w:lineRule="exact"/>
              <w:ind w:left="446" w:right="434"/>
              <w:rPr>
                <w:sz w:val="16"/>
              </w:rPr>
            </w:pPr>
            <w:r>
              <w:rPr>
                <w:sz w:val="16"/>
              </w:rPr>
              <w:t>-28.88</w:t>
            </w:r>
          </w:p>
        </w:tc>
      </w:tr>
    </w:tbl>
    <w:p>
      <w:pPr>
        <w:spacing w:after="0" w:line="176" w:lineRule="exact"/>
        <w:rPr>
          <w:sz w:val="16"/>
        </w:rPr>
        <w:sectPr>
          <w:footerReference w:type="default" r:id="rId77"/>
          <w:pgSz w:w="12240" w:h="15840"/>
          <w:pgMar w:footer="1014" w:header="0" w:top="1440" w:bottom="1200" w:left="1320" w:right="820"/>
        </w:sectPr>
      </w:pPr>
    </w:p>
    <w:tbl>
      <w:tblPr>
        <w:tblW w:w="0" w:type="auto"/>
        <w:jc w:val="left"/>
        <w:tblInd w:w="2695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35"/>
        <w:gridCol w:w="1440"/>
        <w:gridCol w:w="1344"/>
      </w:tblGrid>
      <w:tr>
        <w:trPr>
          <w:trHeight w:val="196" w:hRule="atLeast"/>
        </w:trPr>
        <w:tc>
          <w:tcPr>
            <w:tcW w:w="1435" w:type="dxa"/>
          </w:tcPr>
          <w:p>
            <w:pPr>
              <w:pStyle w:val="TableParagraph"/>
              <w:spacing w:line="176" w:lineRule="exact"/>
              <w:ind w:left="139" w:right="134"/>
              <w:rPr>
                <w:sz w:val="16"/>
              </w:rPr>
            </w:pPr>
            <w:r>
              <w:rPr>
                <w:sz w:val="16"/>
              </w:rPr>
              <w:t>Molinares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(2019)</w:t>
            </w:r>
          </w:p>
        </w:tc>
        <w:tc>
          <w:tcPr>
            <w:tcW w:w="1440" w:type="dxa"/>
          </w:tcPr>
          <w:p>
            <w:pPr>
              <w:pStyle w:val="TableParagraph"/>
              <w:spacing w:line="176" w:lineRule="exact"/>
              <w:ind w:left="93" w:right="83"/>
              <w:rPr>
                <w:sz w:val="16"/>
              </w:rPr>
            </w:pPr>
            <w:r>
              <w:rPr>
                <w:sz w:val="16"/>
              </w:rPr>
              <w:t>139.80</w:t>
            </w:r>
          </w:p>
        </w:tc>
        <w:tc>
          <w:tcPr>
            <w:tcW w:w="1344" w:type="dxa"/>
          </w:tcPr>
          <w:p>
            <w:pPr>
              <w:pStyle w:val="TableParagraph"/>
              <w:spacing w:line="176" w:lineRule="exact"/>
              <w:ind w:left="446" w:right="434"/>
              <w:rPr>
                <w:sz w:val="16"/>
              </w:rPr>
            </w:pPr>
            <w:r>
              <w:rPr>
                <w:sz w:val="16"/>
              </w:rPr>
              <w:t>-29.06</w:t>
            </w:r>
          </w:p>
        </w:tc>
      </w:tr>
      <w:tr>
        <w:trPr>
          <w:trHeight w:val="193" w:hRule="atLeast"/>
        </w:trPr>
        <w:tc>
          <w:tcPr>
            <w:tcW w:w="1435" w:type="dxa"/>
            <w:shd w:val="clear" w:color="auto" w:fill="D8E2F2"/>
          </w:tcPr>
          <w:p>
            <w:pPr>
              <w:pStyle w:val="TableParagraph"/>
              <w:ind w:left="139" w:right="134"/>
              <w:rPr>
                <w:sz w:val="16"/>
              </w:rPr>
            </w:pPr>
            <w:r>
              <w:rPr>
                <w:sz w:val="16"/>
              </w:rPr>
              <w:t>Molinares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(2019)</w:t>
            </w:r>
          </w:p>
        </w:tc>
        <w:tc>
          <w:tcPr>
            <w:tcW w:w="1440" w:type="dxa"/>
            <w:shd w:val="clear" w:color="auto" w:fill="D8E2F2"/>
          </w:tcPr>
          <w:p>
            <w:pPr>
              <w:pStyle w:val="TableParagraph"/>
              <w:ind w:left="93" w:right="83"/>
              <w:rPr>
                <w:sz w:val="16"/>
              </w:rPr>
            </w:pPr>
            <w:r>
              <w:rPr>
                <w:sz w:val="16"/>
              </w:rPr>
              <w:t>143.80</w:t>
            </w:r>
          </w:p>
        </w:tc>
        <w:tc>
          <w:tcPr>
            <w:tcW w:w="1344" w:type="dxa"/>
            <w:shd w:val="clear" w:color="auto" w:fill="D8E2F2"/>
          </w:tcPr>
          <w:p>
            <w:pPr>
              <w:pStyle w:val="TableParagraph"/>
              <w:ind w:left="446" w:right="434"/>
              <w:rPr>
                <w:sz w:val="16"/>
              </w:rPr>
            </w:pPr>
            <w:r>
              <w:rPr>
                <w:sz w:val="16"/>
              </w:rPr>
              <w:t>-28.71</w:t>
            </w:r>
          </w:p>
        </w:tc>
      </w:tr>
      <w:tr>
        <w:trPr>
          <w:trHeight w:val="196" w:hRule="atLeast"/>
        </w:trPr>
        <w:tc>
          <w:tcPr>
            <w:tcW w:w="1435" w:type="dxa"/>
          </w:tcPr>
          <w:p>
            <w:pPr>
              <w:pStyle w:val="TableParagraph"/>
              <w:spacing w:line="176" w:lineRule="exact"/>
              <w:ind w:left="140" w:right="131"/>
              <w:rPr>
                <w:sz w:val="16"/>
              </w:rPr>
            </w:pPr>
            <w:r>
              <w:rPr>
                <w:sz w:val="16"/>
              </w:rPr>
              <w:t>Wch-45</w:t>
            </w:r>
          </w:p>
        </w:tc>
        <w:tc>
          <w:tcPr>
            <w:tcW w:w="1440" w:type="dxa"/>
          </w:tcPr>
          <w:p>
            <w:pPr>
              <w:pStyle w:val="TableParagraph"/>
              <w:spacing w:line="176" w:lineRule="exact"/>
              <w:ind w:left="93" w:right="83"/>
              <w:rPr>
                <w:sz w:val="16"/>
              </w:rPr>
            </w:pPr>
            <w:r>
              <w:rPr>
                <w:sz w:val="16"/>
              </w:rPr>
              <w:t>145.17</w:t>
            </w:r>
          </w:p>
        </w:tc>
        <w:tc>
          <w:tcPr>
            <w:tcW w:w="1344" w:type="dxa"/>
          </w:tcPr>
          <w:p>
            <w:pPr>
              <w:pStyle w:val="TableParagraph"/>
              <w:spacing w:line="176" w:lineRule="exact"/>
              <w:ind w:left="446" w:right="434"/>
              <w:rPr>
                <w:sz w:val="16"/>
              </w:rPr>
            </w:pPr>
            <w:r>
              <w:rPr>
                <w:sz w:val="16"/>
              </w:rPr>
              <w:t>-28.87</w:t>
            </w:r>
          </w:p>
        </w:tc>
      </w:tr>
      <w:tr>
        <w:trPr>
          <w:trHeight w:val="194" w:hRule="atLeast"/>
        </w:trPr>
        <w:tc>
          <w:tcPr>
            <w:tcW w:w="1435" w:type="dxa"/>
            <w:shd w:val="clear" w:color="auto" w:fill="D8E2F2"/>
          </w:tcPr>
          <w:p>
            <w:pPr>
              <w:pStyle w:val="TableParagraph"/>
              <w:ind w:left="139" w:right="134"/>
              <w:rPr>
                <w:sz w:val="16"/>
              </w:rPr>
            </w:pPr>
            <w:r>
              <w:rPr>
                <w:sz w:val="16"/>
              </w:rPr>
              <w:t>Molinares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(2019)</w:t>
            </w:r>
          </w:p>
        </w:tc>
        <w:tc>
          <w:tcPr>
            <w:tcW w:w="1440" w:type="dxa"/>
            <w:shd w:val="clear" w:color="auto" w:fill="D8E2F2"/>
          </w:tcPr>
          <w:p>
            <w:pPr>
              <w:pStyle w:val="TableParagraph"/>
              <w:ind w:left="93" w:right="83"/>
              <w:rPr>
                <w:sz w:val="16"/>
              </w:rPr>
            </w:pPr>
            <w:r>
              <w:rPr>
                <w:sz w:val="16"/>
              </w:rPr>
              <w:t>147.10</w:t>
            </w:r>
          </w:p>
        </w:tc>
        <w:tc>
          <w:tcPr>
            <w:tcW w:w="1344" w:type="dxa"/>
            <w:shd w:val="clear" w:color="auto" w:fill="D8E2F2"/>
          </w:tcPr>
          <w:p>
            <w:pPr>
              <w:pStyle w:val="TableParagraph"/>
              <w:ind w:left="446" w:right="434"/>
              <w:rPr>
                <w:sz w:val="16"/>
              </w:rPr>
            </w:pPr>
            <w:r>
              <w:rPr>
                <w:sz w:val="16"/>
              </w:rPr>
              <w:t>-28.94</w:t>
            </w:r>
          </w:p>
        </w:tc>
      </w:tr>
      <w:tr>
        <w:trPr>
          <w:trHeight w:val="196" w:hRule="atLeast"/>
        </w:trPr>
        <w:tc>
          <w:tcPr>
            <w:tcW w:w="1435" w:type="dxa"/>
          </w:tcPr>
          <w:p>
            <w:pPr>
              <w:pStyle w:val="TableParagraph"/>
              <w:spacing w:line="176" w:lineRule="exact"/>
              <w:ind w:left="139" w:right="134"/>
              <w:rPr>
                <w:sz w:val="16"/>
              </w:rPr>
            </w:pPr>
            <w:r>
              <w:rPr>
                <w:sz w:val="16"/>
              </w:rPr>
              <w:t>Molinares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(2019)</w:t>
            </w:r>
          </w:p>
        </w:tc>
        <w:tc>
          <w:tcPr>
            <w:tcW w:w="1440" w:type="dxa"/>
          </w:tcPr>
          <w:p>
            <w:pPr>
              <w:pStyle w:val="TableParagraph"/>
              <w:spacing w:line="176" w:lineRule="exact"/>
              <w:ind w:left="93" w:right="83"/>
              <w:rPr>
                <w:sz w:val="16"/>
              </w:rPr>
            </w:pPr>
            <w:r>
              <w:rPr>
                <w:sz w:val="16"/>
              </w:rPr>
              <w:t>151.01</w:t>
            </w:r>
          </w:p>
        </w:tc>
        <w:tc>
          <w:tcPr>
            <w:tcW w:w="1344" w:type="dxa"/>
          </w:tcPr>
          <w:p>
            <w:pPr>
              <w:pStyle w:val="TableParagraph"/>
              <w:spacing w:line="176" w:lineRule="exact"/>
              <w:ind w:left="446" w:right="434"/>
              <w:rPr>
                <w:sz w:val="16"/>
              </w:rPr>
            </w:pPr>
            <w:r>
              <w:rPr>
                <w:sz w:val="16"/>
              </w:rPr>
              <w:t>-29.15</w:t>
            </w:r>
          </w:p>
        </w:tc>
      </w:tr>
      <w:tr>
        <w:trPr>
          <w:trHeight w:val="194" w:hRule="atLeast"/>
        </w:trPr>
        <w:tc>
          <w:tcPr>
            <w:tcW w:w="1435" w:type="dxa"/>
            <w:shd w:val="clear" w:color="auto" w:fill="D8E2F2"/>
          </w:tcPr>
          <w:p>
            <w:pPr>
              <w:pStyle w:val="TableParagraph"/>
              <w:ind w:left="139" w:right="134"/>
              <w:rPr>
                <w:sz w:val="16"/>
              </w:rPr>
            </w:pPr>
            <w:r>
              <w:rPr>
                <w:sz w:val="16"/>
              </w:rPr>
              <w:t>Molinares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(2019)</w:t>
            </w:r>
          </w:p>
        </w:tc>
        <w:tc>
          <w:tcPr>
            <w:tcW w:w="1440" w:type="dxa"/>
            <w:shd w:val="clear" w:color="auto" w:fill="D8E2F2"/>
          </w:tcPr>
          <w:p>
            <w:pPr>
              <w:pStyle w:val="TableParagraph"/>
              <w:ind w:left="93" w:right="83"/>
              <w:rPr>
                <w:sz w:val="16"/>
              </w:rPr>
            </w:pPr>
            <w:r>
              <w:rPr>
                <w:sz w:val="16"/>
              </w:rPr>
              <w:t>153.20</w:t>
            </w:r>
          </w:p>
        </w:tc>
        <w:tc>
          <w:tcPr>
            <w:tcW w:w="1344" w:type="dxa"/>
            <w:shd w:val="clear" w:color="auto" w:fill="D8E2F2"/>
          </w:tcPr>
          <w:p>
            <w:pPr>
              <w:pStyle w:val="TableParagraph"/>
              <w:ind w:left="446" w:right="434"/>
              <w:rPr>
                <w:sz w:val="16"/>
              </w:rPr>
            </w:pPr>
            <w:r>
              <w:rPr>
                <w:sz w:val="16"/>
              </w:rPr>
              <w:t>-28.90</w:t>
            </w:r>
          </w:p>
        </w:tc>
      </w:tr>
      <w:tr>
        <w:trPr>
          <w:trHeight w:val="196" w:hRule="atLeast"/>
        </w:trPr>
        <w:tc>
          <w:tcPr>
            <w:tcW w:w="1435" w:type="dxa"/>
          </w:tcPr>
          <w:p>
            <w:pPr>
              <w:pStyle w:val="TableParagraph"/>
              <w:spacing w:line="176" w:lineRule="exact"/>
              <w:ind w:left="139" w:right="134"/>
              <w:rPr>
                <w:sz w:val="16"/>
              </w:rPr>
            </w:pPr>
            <w:r>
              <w:rPr>
                <w:sz w:val="16"/>
              </w:rPr>
              <w:t>Molinares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(2019)</w:t>
            </w:r>
          </w:p>
        </w:tc>
        <w:tc>
          <w:tcPr>
            <w:tcW w:w="1440" w:type="dxa"/>
          </w:tcPr>
          <w:p>
            <w:pPr>
              <w:pStyle w:val="TableParagraph"/>
              <w:spacing w:line="176" w:lineRule="exact"/>
              <w:ind w:left="93" w:right="83"/>
              <w:rPr>
                <w:sz w:val="16"/>
              </w:rPr>
            </w:pPr>
            <w:r>
              <w:rPr>
                <w:sz w:val="16"/>
              </w:rPr>
              <w:t>156.30</w:t>
            </w:r>
          </w:p>
        </w:tc>
        <w:tc>
          <w:tcPr>
            <w:tcW w:w="1344" w:type="dxa"/>
          </w:tcPr>
          <w:p>
            <w:pPr>
              <w:pStyle w:val="TableParagraph"/>
              <w:spacing w:line="176" w:lineRule="exact"/>
              <w:ind w:left="446" w:right="434"/>
              <w:rPr>
                <w:sz w:val="16"/>
              </w:rPr>
            </w:pPr>
            <w:r>
              <w:rPr>
                <w:sz w:val="16"/>
              </w:rPr>
              <w:t>-28.74</w:t>
            </w:r>
          </w:p>
        </w:tc>
      </w:tr>
      <w:tr>
        <w:trPr>
          <w:trHeight w:val="194" w:hRule="atLeast"/>
        </w:trPr>
        <w:tc>
          <w:tcPr>
            <w:tcW w:w="1435" w:type="dxa"/>
            <w:shd w:val="clear" w:color="auto" w:fill="D8E2F2"/>
          </w:tcPr>
          <w:p>
            <w:pPr>
              <w:pStyle w:val="TableParagraph"/>
              <w:ind w:left="139" w:right="134"/>
              <w:rPr>
                <w:sz w:val="16"/>
              </w:rPr>
            </w:pPr>
            <w:r>
              <w:rPr>
                <w:sz w:val="16"/>
              </w:rPr>
              <w:t>Molinares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(2019)</w:t>
            </w:r>
          </w:p>
        </w:tc>
        <w:tc>
          <w:tcPr>
            <w:tcW w:w="1440" w:type="dxa"/>
            <w:shd w:val="clear" w:color="auto" w:fill="D8E2F2"/>
          </w:tcPr>
          <w:p>
            <w:pPr>
              <w:pStyle w:val="TableParagraph"/>
              <w:ind w:left="93" w:right="83"/>
              <w:rPr>
                <w:sz w:val="16"/>
              </w:rPr>
            </w:pPr>
            <w:r>
              <w:rPr>
                <w:sz w:val="16"/>
              </w:rPr>
              <w:t>160.50</w:t>
            </w:r>
          </w:p>
        </w:tc>
        <w:tc>
          <w:tcPr>
            <w:tcW w:w="1344" w:type="dxa"/>
            <w:shd w:val="clear" w:color="auto" w:fill="D8E2F2"/>
          </w:tcPr>
          <w:p>
            <w:pPr>
              <w:pStyle w:val="TableParagraph"/>
              <w:ind w:left="446" w:right="434"/>
              <w:rPr>
                <w:sz w:val="16"/>
              </w:rPr>
            </w:pPr>
            <w:r>
              <w:rPr>
                <w:sz w:val="16"/>
              </w:rPr>
              <w:t>-29.62</w:t>
            </w:r>
          </w:p>
        </w:tc>
      </w:tr>
      <w:tr>
        <w:trPr>
          <w:trHeight w:val="196" w:hRule="atLeast"/>
        </w:trPr>
        <w:tc>
          <w:tcPr>
            <w:tcW w:w="1435" w:type="dxa"/>
          </w:tcPr>
          <w:p>
            <w:pPr>
              <w:pStyle w:val="TableParagraph"/>
              <w:spacing w:line="175" w:lineRule="exact" w:before="1"/>
              <w:ind w:left="140" w:right="131"/>
              <w:rPr>
                <w:sz w:val="16"/>
              </w:rPr>
            </w:pPr>
            <w:r>
              <w:rPr>
                <w:sz w:val="16"/>
              </w:rPr>
              <w:t>Wch-48</w:t>
            </w:r>
          </w:p>
        </w:tc>
        <w:tc>
          <w:tcPr>
            <w:tcW w:w="1440" w:type="dxa"/>
          </w:tcPr>
          <w:p>
            <w:pPr>
              <w:pStyle w:val="TableParagraph"/>
              <w:spacing w:line="175" w:lineRule="exact" w:before="1"/>
              <w:ind w:left="93" w:right="83"/>
              <w:rPr>
                <w:sz w:val="16"/>
              </w:rPr>
            </w:pPr>
            <w:r>
              <w:rPr>
                <w:sz w:val="16"/>
              </w:rPr>
              <w:t>160.83</w:t>
            </w:r>
          </w:p>
        </w:tc>
        <w:tc>
          <w:tcPr>
            <w:tcW w:w="1344" w:type="dxa"/>
          </w:tcPr>
          <w:p>
            <w:pPr>
              <w:pStyle w:val="TableParagraph"/>
              <w:spacing w:line="175" w:lineRule="exact" w:before="1"/>
              <w:ind w:left="446" w:right="434"/>
              <w:rPr>
                <w:sz w:val="16"/>
              </w:rPr>
            </w:pPr>
            <w:r>
              <w:rPr>
                <w:sz w:val="16"/>
              </w:rPr>
              <w:t>-29.36</w:t>
            </w:r>
          </w:p>
        </w:tc>
      </w:tr>
      <w:tr>
        <w:trPr>
          <w:trHeight w:val="194" w:hRule="atLeast"/>
        </w:trPr>
        <w:tc>
          <w:tcPr>
            <w:tcW w:w="1435" w:type="dxa"/>
            <w:shd w:val="clear" w:color="auto" w:fill="D8E2F2"/>
          </w:tcPr>
          <w:p>
            <w:pPr>
              <w:pStyle w:val="TableParagraph"/>
              <w:ind w:left="139" w:right="134"/>
              <w:rPr>
                <w:sz w:val="16"/>
              </w:rPr>
            </w:pPr>
            <w:r>
              <w:rPr>
                <w:sz w:val="16"/>
              </w:rPr>
              <w:t>Molinares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(2019)</w:t>
            </w:r>
          </w:p>
        </w:tc>
        <w:tc>
          <w:tcPr>
            <w:tcW w:w="1440" w:type="dxa"/>
            <w:shd w:val="clear" w:color="auto" w:fill="D8E2F2"/>
          </w:tcPr>
          <w:p>
            <w:pPr>
              <w:pStyle w:val="TableParagraph"/>
              <w:ind w:left="93" w:right="83"/>
              <w:rPr>
                <w:sz w:val="16"/>
              </w:rPr>
            </w:pPr>
            <w:r>
              <w:rPr>
                <w:sz w:val="16"/>
              </w:rPr>
              <w:t>163.20</w:t>
            </w:r>
          </w:p>
        </w:tc>
        <w:tc>
          <w:tcPr>
            <w:tcW w:w="1344" w:type="dxa"/>
            <w:shd w:val="clear" w:color="auto" w:fill="D8E2F2"/>
          </w:tcPr>
          <w:p>
            <w:pPr>
              <w:pStyle w:val="TableParagraph"/>
              <w:ind w:left="446" w:right="434"/>
              <w:rPr>
                <w:sz w:val="16"/>
              </w:rPr>
            </w:pPr>
            <w:r>
              <w:rPr>
                <w:sz w:val="16"/>
              </w:rPr>
              <w:t>-29.39</w:t>
            </w:r>
          </w:p>
        </w:tc>
      </w:tr>
      <w:tr>
        <w:trPr>
          <w:trHeight w:val="196" w:hRule="atLeast"/>
        </w:trPr>
        <w:tc>
          <w:tcPr>
            <w:tcW w:w="1435" w:type="dxa"/>
          </w:tcPr>
          <w:p>
            <w:pPr>
              <w:pStyle w:val="TableParagraph"/>
              <w:spacing w:line="175" w:lineRule="exact" w:before="1"/>
              <w:ind w:left="139" w:right="134"/>
              <w:rPr>
                <w:sz w:val="16"/>
              </w:rPr>
            </w:pPr>
            <w:r>
              <w:rPr>
                <w:sz w:val="16"/>
              </w:rPr>
              <w:t>Molinares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(2019)</w:t>
            </w:r>
          </w:p>
        </w:tc>
        <w:tc>
          <w:tcPr>
            <w:tcW w:w="1440" w:type="dxa"/>
          </w:tcPr>
          <w:p>
            <w:pPr>
              <w:pStyle w:val="TableParagraph"/>
              <w:spacing w:line="175" w:lineRule="exact" w:before="1"/>
              <w:ind w:left="93" w:right="83"/>
              <w:rPr>
                <w:sz w:val="16"/>
              </w:rPr>
            </w:pPr>
            <w:r>
              <w:rPr>
                <w:sz w:val="16"/>
              </w:rPr>
              <w:t>165.20</w:t>
            </w:r>
          </w:p>
        </w:tc>
        <w:tc>
          <w:tcPr>
            <w:tcW w:w="1344" w:type="dxa"/>
          </w:tcPr>
          <w:p>
            <w:pPr>
              <w:pStyle w:val="TableParagraph"/>
              <w:spacing w:line="175" w:lineRule="exact" w:before="1"/>
              <w:ind w:left="446" w:right="434"/>
              <w:rPr>
                <w:sz w:val="16"/>
              </w:rPr>
            </w:pPr>
            <w:r>
              <w:rPr>
                <w:sz w:val="16"/>
              </w:rPr>
              <w:t>-30.15</w:t>
            </w:r>
          </w:p>
        </w:tc>
      </w:tr>
      <w:tr>
        <w:trPr>
          <w:trHeight w:val="196" w:hRule="atLeast"/>
        </w:trPr>
        <w:tc>
          <w:tcPr>
            <w:tcW w:w="1435" w:type="dxa"/>
            <w:shd w:val="clear" w:color="auto" w:fill="D8E2F2"/>
          </w:tcPr>
          <w:p>
            <w:pPr>
              <w:pStyle w:val="TableParagraph"/>
              <w:spacing w:line="176" w:lineRule="exact"/>
              <w:ind w:left="140" w:right="131"/>
              <w:rPr>
                <w:sz w:val="16"/>
              </w:rPr>
            </w:pPr>
            <w:r>
              <w:rPr>
                <w:sz w:val="16"/>
              </w:rPr>
              <w:t>Wch-54</w:t>
            </w:r>
          </w:p>
        </w:tc>
        <w:tc>
          <w:tcPr>
            <w:tcW w:w="1440" w:type="dxa"/>
            <w:shd w:val="clear" w:color="auto" w:fill="D8E2F2"/>
          </w:tcPr>
          <w:p>
            <w:pPr>
              <w:pStyle w:val="TableParagraph"/>
              <w:spacing w:line="176" w:lineRule="exact"/>
              <w:ind w:left="93" w:right="83"/>
              <w:rPr>
                <w:sz w:val="16"/>
              </w:rPr>
            </w:pPr>
            <w:r>
              <w:rPr>
                <w:sz w:val="16"/>
              </w:rPr>
              <w:t>174.42</w:t>
            </w:r>
          </w:p>
        </w:tc>
        <w:tc>
          <w:tcPr>
            <w:tcW w:w="1344" w:type="dxa"/>
            <w:shd w:val="clear" w:color="auto" w:fill="D8E2F2"/>
          </w:tcPr>
          <w:p>
            <w:pPr>
              <w:pStyle w:val="TableParagraph"/>
              <w:spacing w:line="176" w:lineRule="exact"/>
              <w:ind w:left="446" w:right="434"/>
              <w:rPr>
                <w:sz w:val="16"/>
              </w:rPr>
            </w:pPr>
            <w:r>
              <w:rPr>
                <w:sz w:val="16"/>
              </w:rPr>
              <w:t>-29.03</w:t>
            </w:r>
          </w:p>
        </w:tc>
      </w:tr>
      <w:tr>
        <w:trPr>
          <w:trHeight w:val="194" w:hRule="atLeast"/>
        </w:trPr>
        <w:tc>
          <w:tcPr>
            <w:tcW w:w="1435" w:type="dxa"/>
          </w:tcPr>
          <w:p>
            <w:pPr>
              <w:pStyle w:val="TableParagraph"/>
              <w:ind w:left="140" w:right="134"/>
              <w:rPr>
                <w:sz w:val="16"/>
              </w:rPr>
            </w:pPr>
            <w:r>
              <w:rPr>
                <w:sz w:val="16"/>
              </w:rPr>
              <w:t>Molinares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(2019)</w:t>
            </w:r>
          </w:p>
        </w:tc>
        <w:tc>
          <w:tcPr>
            <w:tcW w:w="1440" w:type="dxa"/>
          </w:tcPr>
          <w:p>
            <w:pPr>
              <w:pStyle w:val="TableParagraph"/>
              <w:ind w:left="93" w:right="83"/>
              <w:rPr>
                <w:sz w:val="16"/>
              </w:rPr>
            </w:pPr>
            <w:r>
              <w:rPr>
                <w:sz w:val="16"/>
              </w:rPr>
              <w:t>181.00</w:t>
            </w:r>
          </w:p>
        </w:tc>
        <w:tc>
          <w:tcPr>
            <w:tcW w:w="1344" w:type="dxa"/>
          </w:tcPr>
          <w:p>
            <w:pPr>
              <w:pStyle w:val="TableParagraph"/>
              <w:ind w:left="446" w:right="434"/>
              <w:rPr>
                <w:sz w:val="16"/>
              </w:rPr>
            </w:pPr>
            <w:r>
              <w:rPr>
                <w:sz w:val="16"/>
              </w:rPr>
              <w:t>-29.67</w:t>
            </w:r>
          </w:p>
        </w:tc>
      </w:tr>
      <w:tr>
        <w:trPr>
          <w:trHeight w:val="196" w:hRule="atLeast"/>
        </w:trPr>
        <w:tc>
          <w:tcPr>
            <w:tcW w:w="1435" w:type="dxa"/>
            <w:shd w:val="clear" w:color="auto" w:fill="D8E2F2"/>
          </w:tcPr>
          <w:p>
            <w:pPr>
              <w:pStyle w:val="TableParagraph"/>
              <w:spacing w:line="176" w:lineRule="exact"/>
              <w:ind w:left="140" w:right="131"/>
              <w:rPr>
                <w:sz w:val="16"/>
              </w:rPr>
            </w:pPr>
            <w:r>
              <w:rPr>
                <w:sz w:val="16"/>
              </w:rPr>
              <w:t>Wch-32</w:t>
            </w:r>
          </w:p>
        </w:tc>
        <w:tc>
          <w:tcPr>
            <w:tcW w:w="1440" w:type="dxa"/>
            <w:shd w:val="clear" w:color="auto" w:fill="D8E2F2"/>
          </w:tcPr>
          <w:p>
            <w:pPr>
              <w:pStyle w:val="TableParagraph"/>
              <w:spacing w:line="176" w:lineRule="exact"/>
              <w:ind w:left="93" w:right="83"/>
              <w:rPr>
                <w:sz w:val="16"/>
              </w:rPr>
            </w:pPr>
            <w:r>
              <w:rPr>
                <w:sz w:val="16"/>
              </w:rPr>
              <w:t>181.92</w:t>
            </w:r>
          </w:p>
        </w:tc>
        <w:tc>
          <w:tcPr>
            <w:tcW w:w="1344" w:type="dxa"/>
            <w:shd w:val="clear" w:color="auto" w:fill="D8E2F2"/>
          </w:tcPr>
          <w:p>
            <w:pPr>
              <w:pStyle w:val="TableParagraph"/>
              <w:spacing w:line="176" w:lineRule="exact"/>
              <w:ind w:left="446" w:right="434"/>
              <w:rPr>
                <w:sz w:val="16"/>
              </w:rPr>
            </w:pPr>
            <w:r>
              <w:rPr>
                <w:sz w:val="16"/>
              </w:rPr>
              <w:t>-28.50</w:t>
            </w:r>
          </w:p>
        </w:tc>
      </w:tr>
      <w:tr>
        <w:trPr>
          <w:trHeight w:val="194" w:hRule="atLeast"/>
        </w:trPr>
        <w:tc>
          <w:tcPr>
            <w:tcW w:w="1435" w:type="dxa"/>
          </w:tcPr>
          <w:p>
            <w:pPr>
              <w:pStyle w:val="TableParagraph"/>
              <w:ind w:left="139" w:right="134"/>
              <w:rPr>
                <w:sz w:val="16"/>
              </w:rPr>
            </w:pPr>
            <w:r>
              <w:rPr>
                <w:sz w:val="16"/>
              </w:rPr>
              <w:t>Molinares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(2019)</w:t>
            </w:r>
          </w:p>
        </w:tc>
        <w:tc>
          <w:tcPr>
            <w:tcW w:w="1440" w:type="dxa"/>
          </w:tcPr>
          <w:p>
            <w:pPr>
              <w:pStyle w:val="TableParagraph"/>
              <w:ind w:left="93" w:right="83"/>
              <w:rPr>
                <w:sz w:val="16"/>
              </w:rPr>
            </w:pPr>
            <w:r>
              <w:rPr>
                <w:sz w:val="16"/>
              </w:rPr>
              <w:t>191.20</w:t>
            </w:r>
          </w:p>
        </w:tc>
        <w:tc>
          <w:tcPr>
            <w:tcW w:w="1344" w:type="dxa"/>
          </w:tcPr>
          <w:p>
            <w:pPr>
              <w:pStyle w:val="TableParagraph"/>
              <w:ind w:left="446" w:right="434"/>
              <w:rPr>
                <w:sz w:val="16"/>
              </w:rPr>
            </w:pPr>
            <w:r>
              <w:rPr>
                <w:sz w:val="16"/>
              </w:rPr>
              <w:t>-28.76</w:t>
            </w:r>
          </w:p>
        </w:tc>
      </w:tr>
      <w:tr>
        <w:trPr>
          <w:trHeight w:val="196" w:hRule="atLeast"/>
        </w:trPr>
        <w:tc>
          <w:tcPr>
            <w:tcW w:w="1435" w:type="dxa"/>
            <w:shd w:val="clear" w:color="auto" w:fill="D8E2F2"/>
          </w:tcPr>
          <w:p>
            <w:pPr>
              <w:pStyle w:val="TableParagraph"/>
              <w:spacing w:line="176" w:lineRule="exact"/>
              <w:ind w:left="140" w:right="131"/>
              <w:rPr>
                <w:sz w:val="16"/>
              </w:rPr>
            </w:pPr>
            <w:r>
              <w:rPr>
                <w:sz w:val="16"/>
              </w:rPr>
              <w:t>Wch-55</w:t>
            </w:r>
          </w:p>
        </w:tc>
        <w:tc>
          <w:tcPr>
            <w:tcW w:w="1440" w:type="dxa"/>
            <w:shd w:val="clear" w:color="auto" w:fill="D8E2F2"/>
          </w:tcPr>
          <w:p>
            <w:pPr>
              <w:pStyle w:val="TableParagraph"/>
              <w:spacing w:line="176" w:lineRule="exact"/>
              <w:ind w:left="93" w:right="83"/>
              <w:rPr>
                <w:sz w:val="16"/>
              </w:rPr>
            </w:pPr>
            <w:r>
              <w:rPr>
                <w:sz w:val="16"/>
              </w:rPr>
              <w:t>191.33</w:t>
            </w:r>
          </w:p>
        </w:tc>
        <w:tc>
          <w:tcPr>
            <w:tcW w:w="1344" w:type="dxa"/>
            <w:shd w:val="clear" w:color="auto" w:fill="D8E2F2"/>
          </w:tcPr>
          <w:p>
            <w:pPr>
              <w:pStyle w:val="TableParagraph"/>
              <w:spacing w:line="176" w:lineRule="exact"/>
              <w:ind w:left="446" w:right="434"/>
              <w:rPr>
                <w:sz w:val="16"/>
              </w:rPr>
            </w:pPr>
            <w:r>
              <w:rPr>
                <w:sz w:val="16"/>
              </w:rPr>
              <w:t>-28.57</w:t>
            </w:r>
          </w:p>
        </w:tc>
      </w:tr>
      <w:tr>
        <w:trPr>
          <w:trHeight w:val="194" w:hRule="atLeast"/>
        </w:trPr>
        <w:tc>
          <w:tcPr>
            <w:tcW w:w="1435" w:type="dxa"/>
          </w:tcPr>
          <w:p>
            <w:pPr>
              <w:pStyle w:val="TableParagraph"/>
              <w:ind w:left="139" w:right="134"/>
              <w:rPr>
                <w:sz w:val="16"/>
              </w:rPr>
            </w:pPr>
            <w:r>
              <w:rPr>
                <w:sz w:val="16"/>
              </w:rPr>
              <w:t>Molinares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(2019)</w:t>
            </w:r>
          </w:p>
        </w:tc>
        <w:tc>
          <w:tcPr>
            <w:tcW w:w="1440" w:type="dxa"/>
          </w:tcPr>
          <w:p>
            <w:pPr>
              <w:pStyle w:val="TableParagraph"/>
              <w:ind w:left="93" w:right="83"/>
              <w:rPr>
                <w:sz w:val="16"/>
              </w:rPr>
            </w:pPr>
            <w:r>
              <w:rPr>
                <w:sz w:val="16"/>
              </w:rPr>
              <w:t>202.70</w:t>
            </w:r>
          </w:p>
        </w:tc>
        <w:tc>
          <w:tcPr>
            <w:tcW w:w="1344" w:type="dxa"/>
          </w:tcPr>
          <w:p>
            <w:pPr>
              <w:pStyle w:val="TableParagraph"/>
              <w:ind w:left="446" w:right="434"/>
              <w:rPr>
                <w:sz w:val="16"/>
              </w:rPr>
            </w:pPr>
            <w:r>
              <w:rPr>
                <w:sz w:val="16"/>
              </w:rPr>
              <w:t>-29.89</w:t>
            </w:r>
          </w:p>
        </w:tc>
      </w:tr>
      <w:tr>
        <w:trPr>
          <w:trHeight w:val="196" w:hRule="atLeast"/>
        </w:trPr>
        <w:tc>
          <w:tcPr>
            <w:tcW w:w="1435" w:type="dxa"/>
            <w:shd w:val="clear" w:color="auto" w:fill="D8E2F2"/>
          </w:tcPr>
          <w:p>
            <w:pPr>
              <w:pStyle w:val="TableParagraph"/>
              <w:spacing w:line="176" w:lineRule="exact"/>
              <w:ind w:left="140" w:right="131"/>
              <w:rPr>
                <w:sz w:val="16"/>
              </w:rPr>
            </w:pPr>
            <w:r>
              <w:rPr>
                <w:sz w:val="16"/>
              </w:rPr>
              <w:t>Wch-56</w:t>
            </w:r>
          </w:p>
        </w:tc>
        <w:tc>
          <w:tcPr>
            <w:tcW w:w="1440" w:type="dxa"/>
            <w:shd w:val="clear" w:color="auto" w:fill="D8E2F2"/>
          </w:tcPr>
          <w:p>
            <w:pPr>
              <w:pStyle w:val="TableParagraph"/>
              <w:spacing w:line="176" w:lineRule="exact"/>
              <w:ind w:left="93" w:right="83"/>
              <w:rPr>
                <w:sz w:val="16"/>
              </w:rPr>
            </w:pPr>
            <w:r>
              <w:rPr>
                <w:sz w:val="16"/>
              </w:rPr>
              <w:t>203.08</w:t>
            </w:r>
          </w:p>
        </w:tc>
        <w:tc>
          <w:tcPr>
            <w:tcW w:w="1344" w:type="dxa"/>
            <w:shd w:val="clear" w:color="auto" w:fill="D8E2F2"/>
          </w:tcPr>
          <w:p>
            <w:pPr>
              <w:pStyle w:val="TableParagraph"/>
              <w:spacing w:line="176" w:lineRule="exact"/>
              <w:ind w:left="446" w:right="434"/>
              <w:rPr>
                <w:sz w:val="16"/>
              </w:rPr>
            </w:pPr>
            <w:r>
              <w:rPr>
                <w:sz w:val="16"/>
              </w:rPr>
              <w:t>-29.37</w:t>
            </w:r>
          </w:p>
        </w:tc>
      </w:tr>
    </w:tbl>
    <w:p>
      <w:pPr>
        <w:spacing w:after="0" w:line="176" w:lineRule="exact"/>
        <w:rPr>
          <w:sz w:val="16"/>
        </w:rPr>
        <w:sectPr>
          <w:footerReference w:type="default" r:id="rId78"/>
          <w:pgSz w:w="12240" w:h="15840"/>
          <w:pgMar w:footer="934" w:header="0" w:top="1440" w:bottom="1120" w:left="1320" w:right="820"/>
        </w:sectPr>
      </w:pPr>
    </w:p>
    <w:p>
      <w:pPr>
        <w:pStyle w:val="Heading2"/>
        <w:spacing w:before="39"/>
        <w:ind w:left="120" w:firstLine="0"/>
      </w:pPr>
      <w:r>
        <w:rPr/>
        <w:t>APPENDIX</w:t>
      </w:r>
      <w:r>
        <w:rPr>
          <w:spacing w:val="-5"/>
        </w:rPr>
        <w:t> </w:t>
      </w:r>
      <w:r>
        <w:rPr/>
        <w:t>III</w:t>
      </w:r>
      <w:r>
        <w:rPr>
          <w:spacing w:val="-1"/>
        </w:rPr>
        <w:t> </w:t>
      </w:r>
      <w:r>
        <w:rPr/>
        <w:t>Chromatograms</w:t>
      </w:r>
    </w:p>
    <w:p>
      <w:pPr>
        <w:pStyle w:val="BodyText"/>
        <w:spacing w:before="7"/>
        <w:rPr>
          <w:b/>
          <w:sz w:val="12"/>
        </w:rPr>
      </w:pPr>
      <w:r>
        <w:rPr/>
        <w:drawing>
          <wp:anchor distT="0" distB="0" distL="0" distR="0" allowOverlap="1" layoutInCell="1" locked="0" behindDoc="0" simplePos="0" relativeHeight="218">
            <wp:simplePos x="0" y="0"/>
            <wp:positionH relativeFrom="page">
              <wp:posOffset>1853183</wp:posOffset>
            </wp:positionH>
            <wp:positionV relativeFrom="paragraph">
              <wp:posOffset>113303</wp:posOffset>
            </wp:positionV>
            <wp:extent cx="4066032" cy="7397496"/>
            <wp:effectExtent l="0" t="0" r="0" b="0"/>
            <wp:wrapTopAndBottom/>
            <wp:docPr id="75" name="image3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6" name="image38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6032" cy="7397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79"/>
        <w:ind w:left="120" w:right="0" w:firstLine="0"/>
        <w:jc w:val="left"/>
        <w:rPr>
          <w:sz w:val="22"/>
        </w:rPr>
      </w:pPr>
      <w:r>
        <w:rPr>
          <w:sz w:val="22"/>
        </w:rPr>
        <w:t>Figure</w:t>
      </w:r>
      <w:r>
        <w:rPr>
          <w:spacing w:val="-2"/>
          <w:sz w:val="22"/>
        </w:rPr>
        <w:t> </w:t>
      </w:r>
      <w:r>
        <w:rPr>
          <w:sz w:val="22"/>
        </w:rPr>
        <w:t>34.</w:t>
      </w:r>
      <w:r>
        <w:rPr>
          <w:spacing w:val="-3"/>
          <w:sz w:val="22"/>
        </w:rPr>
        <w:t> </w:t>
      </w:r>
      <w:r>
        <w:rPr>
          <w:sz w:val="22"/>
        </w:rPr>
        <w:t>Chromatograms</w:t>
      </w:r>
      <w:r>
        <w:rPr>
          <w:spacing w:val="-5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aromatic</w:t>
      </w:r>
      <w:r>
        <w:rPr>
          <w:spacing w:val="-1"/>
          <w:sz w:val="22"/>
        </w:rPr>
        <w:t> </w:t>
      </w:r>
      <w:r>
        <w:rPr>
          <w:sz w:val="22"/>
        </w:rPr>
        <w:t>carotenoids</w:t>
      </w:r>
      <w:r>
        <w:rPr>
          <w:spacing w:val="-1"/>
          <w:sz w:val="22"/>
        </w:rPr>
        <w:t> </w:t>
      </w:r>
      <w:r>
        <w:rPr>
          <w:sz w:val="22"/>
        </w:rPr>
        <w:t>with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peaks</w:t>
      </w:r>
      <w:r>
        <w:rPr>
          <w:spacing w:val="-1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interest</w:t>
      </w:r>
      <w:r>
        <w:rPr>
          <w:spacing w:val="-5"/>
          <w:sz w:val="22"/>
        </w:rPr>
        <w:t> </w:t>
      </w:r>
      <w:r>
        <w:rPr>
          <w:sz w:val="22"/>
        </w:rPr>
        <w:t>highlighted.</w:t>
      </w:r>
    </w:p>
    <w:p>
      <w:pPr>
        <w:spacing w:after="0"/>
        <w:jc w:val="left"/>
        <w:rPr>
          <w:sz w:val="22"/>
        </w:rPr>
        <w:sectPr>
          <w:footerReference w:type="default" r:id="rId79"/>
          <w:pgSz w:w="12240" w:h="15840"/>
          <w:pgMar w:footer="934" w:header="0" w:top="1400" w:bottom="1120" w:left="1320" w:right="820"/>
        </w:sectPr>
      </w:pPr>
    </w:p>
    <w:p>
      <w:pPr>
        <w:pStyle w:val="BodyText"/>
        <w:ind w:left="1252"/>
        <w:rPr>
          <w:sz w:val="20"/>
        </w:rPr>
      </w:pPr>
      <w:r>
        <w:rPr>
          <w:sz w:val="20"/>
        </w:rPr>
        <w:drawing>
          <wp:inline distT="0" distB="0" distL="0" distR="0">
            <wp:extent cx="4506996" cy="6693408"/>
            <wp:effectExtent l="0" t="0" r="0" b="0"/>
            <wp:docPr id="77" name="image3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8" name="image39.pn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6996" cy="6693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6"/>
        <w:rPr>
          <w:sz w:val="9"/>
        </w:rPr>
      </w:pPr>
    </w:p>
    <w:p>
      <w:pPr>
        <w:spacing w:before="56"/>
        <w:ind w:left="120" w:right="0" w:firstLine="0"/>
        <w:jc w:val="left"/>
        <w:rPr>
          <w:sz w:val="22"/>
        </w:rPr>
      </w:pPr>
      <w:r>
        <w:rPr>
          <w:sz w:val="22"/>
        </w:rPr>
        <w:t>Figure</w:t>
      </w:r>
      <w:r>
        <w:rPr>
          <w:spacing w:val="-2"/>
          <w:sz w:val="22"/>
        </w:rPr>
        <w:t> </w:t>
      </w:r>
      <w:r>
        <w:rPr>
          <w:sz w:val="22"/>
        </w:rPr>
        <w:t>35.</w:t>
      </w:r>
      <w:r>
        <w:rPr>
          <w:spacing w:val="-3"/>
          <w:sz w:val="22"/>
        </w:rPr>
        <w:t> </w:t>
      </w:r>
      <w:r>
        <w:rPr>
          <w:sz w:val="22"/>
        </w:rPr>
        <w:t>Chromatograms</w:t>
      </w:r>
      <w:r>
        <w:rPr>
          <w:spacing w:val="-5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VO-BiCAP</w:t>
      </w:r>
      <w:r>
        <w:rPr>
          <w:spacing w:val="2"/>
          <w:sz w:val="22"/>
        </w:rPr>
        <w:t> </w:t>
      </w:r>
      <w:r>
        <w:rPr>
          <w:sz w:val="22"/>
        </w:rPr>
        <w:t>porphyrins.</w:t>
      </w:r>
      <w:r>
        <w:rPr>
          <w:spacing w:val="-4"/>
          <w:sz w:val="22"/>
        </w:rPr>
        <w:t> </w:t>
      </w:r>
      <w:r>
        <w:rPr>
          <w:sz w:val="22"/>
        </w:rPr>
        <w:t>Peaks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interest</w:t>
      </w:r>
      <w:r>
        <w:rPr>
          <w:spacing w:val="-2"/>
          <w:sz w:val="22"/>
        </w:rPr>
        <w:t> </w:t>
      </w:r>
      <w:r>
        <w:rPr>
          <w:sz w:val="22"/>
        </w:rPr>
        <w:t>are</w:t>
      </w:r>
      <w:r>
        <w:rPr>
          <w:spacing w:val="-2"/>
          <w:sz w:val="22"/>
        </w:rPr>
        <w:t> </w:t>
      </w:r>
      <w:r>
        <w:rPr>
          <w:sz w:val="22"/>
        </w:rPr>
        <w:t>highlighted.</w:t>
      </w:r>
    </w:p>
    <w:p>
      <w:pPr>
        <w:spacing w:after="0"/>
        <w:jc w:val="left"/>
        <w:rPr>
          <w:sz w:val="22"/>
        </w:rPr>
        <w:sectPr>
          <w:footerReference w:type="default" r:id="rId81"/>
          <w:pgSz w:w="12240" w:h="15840"/>
          <w:pgMar w:footer="1014" w:header="0" w:top="1440" w:bottom="1200" w:left="1320" w:right="820"/>
          <w:pgNumType w:start="10"/>
        </w:sectPr>
      </w:pPr>
    </w:p>
    <w:p>
      <w:pPr>
        <w:pStyle w:val="BodyText"/>
        <w:ind w:left="1512"/>
        <w:rPr>
          <w:sz w:val="20"/>
        </w:rPr>
      </w:pPr>
      <w:r>
        <w:rPr>
          <w:sz w:val="20"/>
        </w:rPr>
        <w:drawing>
          <wp:inline distT="0" distB="0" distL="0" distR="0">
            <wp:extent cx="4171725" cy="6169152"/>
            <wp:effectExtent l="0" t="0" r="0" b="0"/>
            <wp:docPr id="79" name="image4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0" name="image40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1725" cy="6169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7"/>
        <w:rPr>
          <w:sz w:val="10"/>
        </w:rPr>
      </w:pPr>
    </w:p>
    <w:p>
      <w:pPr>
        <w:spacing w:before="56"/>
        <w:ind w:left="120" w:right="0" w:firstLine="0"/>
        <w:jc w:val="left"/>
        <w:rPr>
          <w:sz w:val="22"/>
        </w:rPr>
      </w:pPr>
      <w:r>
        <w:rPr>
          <w:sz w:val="22"/>
        </w:rPr>
        <w:t>Figure</w:t>
      </w:r>
      <w:r>
        <w:rPr>
          <w:spacing w:val="-2"/>
          <w:sz w:val="22"/>
        </w:rPr>
        <w:t> </w:t>
      </w:r>
      <w:r>
        <w:rPr>
          <w:sz w:val="22"/>
        </w:rPr>
        <w:t>36.</w:t>
      </w:r>
      <w:r>
        <w:rPr>
          <w:spacing w:val="-3"/>
          <w:sz w:val="22"/>
        </w:rPr>
        <w:t> </w:t>
      </w:r>
      <w:r>
        <w:rPr>
          <w:sz w:val="22"/>
        </w:rPr>
        <w:t>Chromatograms</w:t>
      </w:r>
      <w:r>
        <w:rPr>
          <w:spacing w:val="-6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VO-DPEP</w:t>
      </w:r>
      <w:r>
        <w:rPr>
          <w:spacing w:val="-1"/>
          <w:sz w:val="22"/>
        </w:rPr>
        <w:t> </w:t>
      </w:r>
      <w:r>
        <w:rPr>
          <w:sz w:val="22"/>
        </w:rPr>
        <w:t>porphyrins.</w:t>
      </w:r>
      <w:r>
        <w:rPr>
          <w:spacing w:val="-1"/>
          <w:sz w:val="22"/>
        </w:rPr>
        <w:t> </w:t>
      </w:r>
      <w:r>
        <w:rPr>
          <w:sz w:val="22"/>
        </w:rPr>
        <w:t>Peaks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interested</w:t>
      </w:r>
      <w:r>
        <w:rPr>
          <w:spacing w:val="-2"/>
          <w:sz w:val="22"/>
        </w:rPr>
        <w:t> </w:t>
      </w:r>
      <w:r>
        <w:rPr>
          <w:sz w:val="22"/>
        </w:rPr>
        <w:t>are</w:t>
      </w:r>
      <w:r>
        <w:rPr>
          <w:spacing w:val="-3"/>
          <w:sz w:val="22"/>
        </w:rPr>
        <w:t> </w:t>
      </w:r>
      <w:r>
        <w:rPr>
          <w:sz w:val="22"/>
        </w:rPr>
        <w:t>highlighted.</w:t>
      </w:r>
    </w:p>
    <w:p>
      <w:pPr>
        <w:spacing w:after="0"/>
        <w:jc w:val="left"/>
        <w:rPr>
          <w:sz w:val="22"/>
        </w:rPr>
        <w:sectPr>
          <w:pgSz w:w="12240" w:h="15840"/>
          <w:pgMar w:header="0" w:footer="1014" w:top="1440" w:bottom="1200" w:left="1320" w:right="820"/>
        </w:sectPr>
      </w:pPr>
    </w:p>
    <w:p>
      <w:pPr>
        <w:pStyle w:val="BodyText"/>
        <w:ind w:left="1272"/>
        <w:rPr>
          <w:sz w:val="20"/>
        </w:rPr>
      </w:pPr>
      <w:r>
        <w:rPr>
          <w:sz w:val="20"/>
        </w:rPr>
        <w:drawing>
          <wp:inline distT="0" distB="0" distL="0" distR="0">
            <wp:extent cx="4482590" cy="6729983"/>
            <wp:effectExtent l="0" t="0" r="0" b="0"/>
            <wp:docPr id="81" name="image4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2" name="image41.pn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2590" cy="6729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8"/>
        <w:rPr>
          <w:sz w:val="9"/>
        </w:rPr>
      </w:pPr>
    </w:p>
    <w:p>
      <w:pPr>
        <w:spacing w:before="56"/>
        <w:ind w:left="120" w:right="0" w:firstLine="0"/>
        <w:jc w:val="left"/>
        <w:rPr>
          <w:sz w:val="22"/>
        </w:rPr>
      </w:pPr>
      <w:r>
        <w:rPr>
          <w:sz w:val="22"/>
        </w:rPr>
        <w:t>Figure</w:t>
      </w:r>
      <w:r>
        <w:rPr>
          <w:spacing w:val="-1"/>
          <w:sz w:val="22"/>
        </w:rPr>
        <w:t> </w:t>
      </w:r>
      <w:r>
        <w:rPr>
          <w:sz w:val="22"/>
        </w:rPr>
        <w:t>37.</w:t>
      </w:r>
      <w:r>
        <w:rPr>
          <w:spacing w:val="-3"/>
          <w:sz w:val="22"/>
        </w:rPr>
        <w:t> </w:t>
      </w:r>
      <w:r>
        <w:rPr>
          <w:sz w:val="22"/>
        </w:rPr>
        <w:t>Chromatograms</w:t>
      </w:r>
      <w:r>
        <w:rPr>
          <w:spacing w:val="-5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VO-ETIO porphyrins.</w:t>
      </w:r>
      <w:r>
        <w:rPr>
          <w:spacing w:val="-4"/>
          <w:sz w:val="22"/>
        </w:rPr>
        <w:t> </w:t>
      </w:r>
      <w:r>
        <w:rPr>
          <w:sz w:val="22"/>
        </w:rPr>
        <w:t>Peaks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interested</w:t>
      </w:r>
      <w:r>
        <w:rPr>
          <w:spacing w:val="-3"/>
          <w:sz w:val="22"/>
        </w:rPr>
        <w:t> </w:t>
      </w:r>
      <w:r>
        <w:rPr>
          <w:sz w:val="22"/>
        </w:rPr>
        <w:t>are</w:t>
      </w:r>
      <w:r>
        <w:rPr>
          <w:spacing w:val="-3"/>
          <w:sz w:val="22"/>
        </w:rPr>
        <w:t> </w:t>
      </w:r>
      <w:r>
        <w:rPr>
          <w:sz w:val="22"/>
        </w:rPr>
        <w:t>highlighted.</w:t>
      </w:r>
    </w:p>
    <w:p>
      <w:pPr>
        <w:spacing w:after="0"/>
        <w:jc w:val="left"/>
        <w:rPr>
          <w:sz w:val="22"/>
        </w:rPr>
        <w:sectPr>
          <w:pgSz w:w="12240" w:h="15840"/>
          <w:pgMar w:header="0" w:footer="1014" w:top="1440" w:bottom="1200" w:left="1320" w:right="820"/>
        </w:sectPr>
      </w:pPr>
    </w:p>
    <w:p>
      <w:pPr>
        <w:pStyle w:val="BodyText"/>
        <w:ind w:left="417"/>
        <w:rPr>
          <w:sz w:val="20"/>
        </w:rPr>
      </w:pPr>
      <w:r>
        <w:rPr>
          <w:sz w:val="20"/>
        </w:rPr>
        <w:drawing>
          <wp:inline distT="0" distB="0" distL="0" distR="0">
            <wp:extent cx="5562280" cy="6214872"/>
            <wp:effectExtent l="0" t="0" r="0" b="0"/>
            <wp:docPr id="83" name="image4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4" name="image42.pn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2280" cy="6214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8"/>
        <w:rPr>
          <w:sz w:val="9"/>
        </w:rPr>
      </w:pPr>
    </w:p>
    <w:p>
      <w:pPr>
        <w:spacing w:before="56"/>
        <w:ind w:left="120" w:right="0" w:firstLine="0"/>
        <w:jc w:val="left"/>
        <w:rPr>
          <w:sz w:val="22"/>
        </w:rPr>
      </w:pPr>
      <w:r>
        <w:rPr>
          <w:sz w:val="22"/>
        </w:rPr>
        <w:t>Figure</w:t>
      </w:r>
      <w:r>
        <w:rPr>
          <w:spacing w:val="-1"/>
          <w:sz w:val="22"/>
        </w:rPr>
        <w:t> </w:t>
      </w:r>
      <w:r>
        <w:rPr>
          <w:sz w:val="22"/>
        </w:rPr>
        <w:t>38.</w:t>
      </w:r>
      <w:r>
        <w:rPr>
          <w:spacing w:val="-3"/>
          <w:sz w:val="22"/>
        </w:rPr>
        <w:t> </w:t>
      </w:r>
      <w:r>
        <w:rPr>
          <w:sz w:val="22"/>
        </w:rPr>
        <w:t>Chromatograms</w:t>
      </w:r>
      <w:r>
        <w:rPr>
          <w:spacing w:val="-5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Ni-BiCAP porphyrins.</w:t>
      </w:r>
      <w:r>
        <w:rPr>
          <w:spacing w:val="-4"/>
          <w:sz w:val="22"/>
        </w:rPr>
        <w:t> </w:t>
      </w:r>
      <w:r>
        <w:rPr>
          <w:sz w:val="22"/>
        </w:rPr>
        <w:t>Peaks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interest</w:t>
      </w:r>
      <w:r>
        <w:rPr>
          <w:spacing w:val="-2"/>
          <w:sz w:val="22"/>
        </w:rPr>
        <w:t> </w:t>
      </w:r>
      <w:r>
        <w:rPr>
          <w:sz w:val="22"/>
        </w:rPr>
        <w:t>are</w:t>
      </w:r>
      <w:r>
        <w:rPr>
          <w:spacing w:val="-1"/>
          <w:sz w:val="22"/>
        </w:rPr>
        <w:t> </w:t>
      </w:r>
      <w:r>
        <w:rPr>
          <w:sz w:val="22"/>
        </w:rPr>
        <w:t>highlighted.</w:t>
      </w:r>
    </w:p>
    <w:p>
      <w:pPr>
        <w:spacing w:after="0"/>
        <w:jc w:val="left"/>
        <w:rPr>
          <w:sz w:val="22"/>
        </w:rPr>
        <w:sectPr>
          <w:pgSz w:w="12240" w:h="15840"/>
          <w:pgMar w:header="0" w:footer="1014" w:top="1440" w:bottom="1200" w:left="1320" w:right="820"/>
        </w:sectPr>
      </w:pPr>
    </w:p>
    <w:p>
      <w:pPr>
        <w:pStyle w:val="BodyText"/>
        <w:ind w:left="849"/>
        <w:rPr>
          <w:sz w:val="20"/>
        </w:rPr>
      </w:pPr>
      <w:r>
        <w:rPr>
          <w:sz w:val="20"/>
        </w:rPr>
        <w:drawing>
          <wp:inline distT="0" distB="0" distL="0" distR="0">
            <wp:extent cx="5019712" cy="5657088"/>
            <wp:effectExtent l="0" t="0" r="0" b="0"/>
            <wp:docPr id="85" name="image4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6" name="image43.pn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9712" cy="5657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6"/>
        <w:rPr>
          <w:sz w:val="10"/>
        </w:rPr>
      </w:pPr>
    </w:p>
    <w:p>
      <w:pPr>
        <w:spacing w:before="56"/>
        <w:ind w:left="120" w:right="0" w:firstLine="0"/>
        <w:jc w:val="left"/>
        <w:rPr>
          <w:sz w:val="22"/>
        </w:rPr>
      </w:pPr>
      <w:r>
        <w:rPr>
          <w:color w:val="445469"/>
          <w:sz w:val="22"/>
        </w:rPr>
        <w:t>Figure</w:t>
      </w:r>
      <w:r>
        <w:rPr>
          <w:color w:val="445469"/>
          <w:spacing w:val="-2"/>
          <w:sz w:val="22"/>
        </w:rPr>
        <w:t> </w:t>
      </w:r>
      <w:r>
        <w:rPr>
          <w:color w:val="445469"/>
          <w:sz w:val="22"/>
        </w:rPr>
        <w:t>39.</w:t>
      </w:r>
      <w:r>
        <w:rPr>
          <w:color w:val="445469"/>
          <w:spacing w:val="-2"/>
          <w:sz w:val="22"/>
        </w:rPr>
        <w:t> </w:t>
      </w:r>
      <w:r>
        <w:rPr>
          <w:color w:val="445469"/>
          <w:sz w:val="22"/>
        </w:rPr>
        <w:t>Chromatograms</w:t>
      </w:r>
      <w:r>
        <w:rPr>
          <w:color w:val="445469"/>
          <w:spacing w:val="-5"/>
          <w:sz w:val="22"/>
        </w:rPr>
        <w:t> </w:t>
      </w:r>
      <w:r>
        <w:rPr>
          <w:color w:val="445469"/>
          <w:sz w:val="22"/>
        </w:rPr>
        <w:t>of</w:t>
      </w:r>
      <w:r>
        <w:rPr>
          <w:color w:val="445469"/>
          <w:spacing w:val="-3"/>
          <w:sz w:val="22"/>
        </w:rPr>
        <w:t> </w:t>
      </w:r>
      <w:r>
        <w:rPr>
          <w:color w:val="445469"/>
          <w:sz w:val="22"/>
        </w:rPr>
        <w:t>the</w:t>
      </w:r>
      <w:r>
        <w:rPr>
          <w:color w:val="445469"/>
          <w:spacing w:val="-3"/>
          <w:sz w:val="22"/>
        </w:rPr>
        <w:t> </w:t>
      </w:r>
      <w:r>
        <w:rPr>
          <w:color w:val="445469"/>
          <w:sz w:val="22"/>
        </w:rPr>
        <w:t>Ni-DPEP porphyrins.</w:t>
      </w:r>
      <w:r>
        <w:rPr>
          <w:color w:val="445469"/>
          <w:spacing w:val="-3"/>
          <w:sz w:val="22"/>
        </w:rPr>
        <w:t> </w:t>
      </w:r>
      <w:r>
        <w:rPr>
          <w:color w:val="445469"/>
          <w:sz w:val="22"/>
        </w:rPr>
        <w:t>Peaks</w:t>
      </w:r>
      <w:r>
        <w:rPr>
          <w:color w:val="445469"/>
          <w:spacing w:val="-3"/>
          <w:sz w:val="22"/>
        </w:rPr>
        <w:t> </w:t>
      </w:r>
      <w:r>
        <w:rPr>
          <w:color w:val="445469"/>
          <w:sz w:val="22"/>
        </w:rPr>
        <w:t>of</w:t>
      </w:r>
      <w:r>
        <w:rPr>
          <w:color w:val="445469"/>
          <w:spacing w:val="-1"/>
          <w:sz w:val="22"/>
        </w:rPr>
        <w:t> </w:t>
      </w:r>
      <w:r>
        <w:rPr>
          <w:color w:val="445469"/>
          <w:sz w:val="22"/>
        </w:rPr>
        <w:t>interest</w:t>
      </w:r>
      <w:r>
        <w:rPr>
          <w:color w:val="445469"/>
          <w:spacing w:val="-4"/>
          <w:sz w:val="22"/>
        </w:rPr>
        <w:t> </w:t>
      </w:r>
      <w:r>
        <w:rPr>
          <w:color w:val="445469"/>
          <w:sz w:val="22"/>
        </w:rPr>
        <w:t>are</w:t>
      </w:r>
      <w:r>
        <w:rPr>
          <w:color w:val="445469"/>
          <w:spacing w:val="-1"/>
          <w:sz w:val="22"/>
        </w:rPr>
        <w:t> </w:t>
      </w:r>
      <w:r>
        <w:rPr>
          <w:color w:val="445469"/>
          <w:sz w:val="22"/>
        </w:rPr>
        <w:t>highlighted.</w:t>
      </w:r>
    </w:p>
    <w:p>
      <w:pPr>
        <w:spacing w:after="0"/>
        <w:jc w:val="left"/>
        <w:rPr>
          <w:sz w:val="22"/>
        </w:rPr>
        <w:sectPr>
          <w:pgSz w:w="12240" w:h="15840"/>
          <w:pgMar w:header="0" w:footer="1014" w:top="1440" w:bottom="1200" w:left="1320" w:right="820"/>
        </w:sectPr>
      </w:pPr>
    </w:p>
    <w:p>
      <w:pPr>
        <w:pStyle w:val="BodyText"/>
        <w:ind w:left="1977"/>
        <w:rPr>
          <w:sz w:val="20"/>
        </w:rPr>
      </w:pPr>
      <w:r>
        <w:rPr>
          <w:sz w:val="20"/>
        </w:rPr>
        <w:drawing>
          <wp:inline distT="0" distB="0" distL="0" distR="0">
            <wp:extent cx="3584179" cy="7860792"/>
            <wp:effectExtent l="0" t="0" r="0" b="0"/>
            <wp:docPr id="87" name="image4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8" name="image44.pn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4179" cy="7860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3"/>
        <w:rPr>
          <w:sz w:val="9"/>
        </w:rPr>
      </w:pPr>
    </w:p>
    <w:p>
      <w:pPr>
        <w:spacing w:before="56"/>
        <w:ind w:left="120" w:right="0" w:firstLine="0"/>
        <w:jc w:val="left"/>
        <w:rPr>
          <w:sz w:val="22"/>
        </w:rPr>
      </w:pPr>
      <w:r>
        <w:rPr>
          <w:sz w:val="22"/>
        </w:rPr>
        <w:t>Figure</w:t>
      </w:r>
      <w:r>
        <w:rPr>
          <w:spacing w:val="-1"/>
          <w:sz w:val="22"/>
        </w:rPr>
        <w:t> </w:t>
      </w:r>
      <w:r>
        <w:rPr>
          <w:sz w:val="22"/>
        </w:rPr>
        <w:t>40.</w:t>
      </w:r>
      <w:r>
        <w:rPr>
          <w:spacing w:val="-2"/>
          <w:sz w:val="22"/>
        </w:rPr>
        <w:t> </w:t>
      </w:r>
      <w:r>
        <w:rPr>
          <w:sz w:val="22"/>
        </w:rPr>
        <w:t>Chromatograms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Ni-ETIO</w:t>
      </w:r>
      <w:r>
        <w:rPr>
          <w:spacing w:val="-3"/>
          <w:sz w:val="22"/>
        </w:rPr>
        <w:t> </w:t>
      </w:r>
      <w:r>
        <w:rPr>
          <w:sz w:val="22"/>
        </w:rPr>
        <w:t>porphyrins.</w:t>
      </w:r>
      <w:r>
        <w:rPr>
          <w:spacing w:val="-4"/>
          <w:sz w:val="22"/>
        </w:rPr>
        <w:t> </w:t>
      </w:r>
      <w:r>
        <w:rPr>
          <w:sz w:val="22"/>
        </w:rPr>
        <w:t>Peaks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interest</w:t>
      </w:r>
      <w:r>
        <w:rPr>
          <w:spacing w:val="-4"/>
          <w:sz w:val="22"/>
        </w:rPr>
        <w:t> </w:t>
      </w:r>
      <w:r>
        <w:rPr>
          <w:sz w:val="22"/>
        </w:rPr>
        <w:t>are highlighted.</w:t>
      </w:r>
    </w:p>
    <w:sectPr>
      <w:pgSz w:w="12240" w:h="15840"/>
      <w:pgMar w:header="0" w:footer="1014" w:top="1440" w:bottom="1200" w:left="1320" w:right="8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mbria">
    <w:altName w:val="Cambria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03.480011pt;margin-top:731.295715pt;width:5.1pt;height:11.05pt;mso-position-horizontal-relative:page;mso-position-vertical-relative:page;z-index:-21524480" type="#_x0000_t202" id="docshape1" filled="false" stroked="false">
          <v:textbox inset="0,0,0,0">
            <w:txbxContent>
              <w:p>
                <w:pPr>
                  <w:spacing w:line="220" w:lineRule="exact" w:before="0"/>
                  <w:ind w:left="0" w:right="0" w:firstLine="0"/>
                  <w:jc w:val="left"/>
                  <w:rPr>
                    <w:sz w:val="22"/>
                  </w:rPr>
                </w:pPr>
                <w:r>
                  <w:rPr>
                    <w:sz w:val="22"/>
                  </w:rPr>
                  <w:t>ii</w:t>
                </w:r>
              </w:p>
            </w:txbxContent>
          </v:textbox>
          <w10:wrap type="none"/>
        </v:shape>
      </w:pict>
    </w:r>
    <w:r>
      <w:rPr/>
      <w:pict>
        <v:rect style="position:absolute;margin-left:289.200012pt;margin-top:722.519958pt;width:34.200005pt;height:25.800019pt;mso-position-horizontal-relative:page;mso-position-vertical-relative:page;z-index:-21523968" id="docshape2" filled="true" fillcolor="#ffffff" stroked="false">
          <v:fill type="solid"/>
          <w10:wrap type="none"/>
        </v:rect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00.239990pt;margin-top:730.295715pt;width:12.6pt;height:13.05pt;mso-position-horizontal-relative:page;mso-position-vertical-relative:page;z-index:-21515776" type="#_x0000_t202" id="docshape153" filled="false" stroked="false">
          <v:textbox inset="0,0,0,0">
            <w:txbxContent>
              <w:p>
                <w:pPr>
                  <w:spacing w:line="244" w:lineRule="exact" w:before="0"/>
                  <w:ind w:left="6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w w:val="10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9.360016pt;margin-top:730.295715pt;width:13.2pt;height:13.05pt;mso-position-horizontal-relative:page;mso-position-vertical-relative:page;z-index:-21515264" type="#_x0000_t202" id="docshape154" filled="false" stroked="false">
          <v:textbox inset="0,0,0,0">
            <w:txbxContent>
              <w:p>
                <w:pPr>
                  <w:spacing w:line="244" w:lineRule="exact" w:before="0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sz w:val="22"/>
                  </w:rPr>
                  <w:t>10</w:t>
                </w:r>
              </w:p>
            </w:txbxContent>
          </v:textbox>
          <w10:wrap type="non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9.360016pt;margin-top:730.295715pt;width:16.2pt;height:13.05pt;mso-position-horizontal-relative:page;mso-position-vertical-relative:page;z-index:-21514752" type="#_x0000_t202" id="docshape155" filled="false" stroked="false">
          <v:textbox inset="0,0,0,0">
            <w:txbxContent>
              <w:p>
                <w:pPr>
                  <w:spacing w:line="244" w:lineRule="exact" w:before="0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sz w:val="22"/>
                  </w:rPr>
                  <w:t>1</w:t>
                </w: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9.360016pt;margin-top:730.295715pt;width:13.2pt;height:13.05pt;mso-position-horizontal-relative:page;mso-position-vertical-relative:page;z-index:-21514240" type="#_x0000_t202" id="docshape156" filled="false" stroked="false">
          <v:textbox inset="0,0,0,0">
            <w:txbxContent>
              <w:p>
                <w:pPr>
                  <w:spacing w:line="244" w:lineRule="exact" w:before="0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sz w:val="22"/>
                  </w:rPr>
                  <w:t>20</w:t>
                </w:r>
              </w:p>
            </w:txbxContent>
          </v:textbox>
          <w10:wrap type="non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9.360016pt;margin-top:730.295715pt;width:16.2pt;height:13.05pt;mso-position-horizontal-relative:page;mso-position-vertical-relative:page;z-index:-21513728" type="#_x0000_t202" id="docshape157" filled="false" stroked="false">
          <v:textbox inset="0,0,0,0">
            <w:txbxContent>
              <w:p>
                <w:pPr>
                  <w:spacing w:line="244" w:lineRule="exact" w:before="0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sz w:val="22"/>
                  </w:rPr>
                  <w:t>2</w:t>
                </w: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9.360016pt;margin-top:730.295715pt;width:13.2pt;height:13.05pt;mso-position-horizontal-relative:page;mso-position-vertical-relative:page;z-index:-21513216" type="#_x0000_t202" id="docshape158" filled="false" stroked="false">
          <v:textbox inset="0,0,0,0">
            <w:txbxContent>
              <w:p>
                <w:pPr>
                  <w:spacing w:line="244" w:lineRule="exact" w:before="0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sz w:val="22"/>
                  </w:rPr>
                  <w:t>30</w:t>
                </w:r>
              </w:p>
            </w:txbxContent>
          </v:textbox>
          <w10:wrap type="none"/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9.360016pt;margin-top:730.295715pt;width:16.2pt;height:13.05pt;mso-position-horizontal-relative:page;mso-position-vertical-relative:page;z-index:-21512704" type="#_x0000_t202" id="docshape159" filled="false" stroked="false">
          <v:textbox inset="0,0,0,0">
            <w:txbxContent>
              <w:p>
                <w:pPr>
                  <w:spacing w:line="244" w:lineRule="exact" w:before="0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sz w:val="22"/>
                  </w:rPr>
                  <w:t>3</w:t>
                </w: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9.360016pt;margin-top:730.295715pt;width:13.2pt;height:13.05pt;mso-position-horizontal-relative:page;mso-position-vertical-relative:page;z-index:-21512192" type="#_x0000_t202" id="docshape163" filled="false" stroked="false">
          <v:textbox inset="0,0,0,0">
            <w:txbxContent>
              <w:p>
                <w:pPr>
                  <w:spacing w:line="244" w:lineRule="exact" w:before="0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sz w:val="22"/>
                  </w:rPr>
                  <w:t>40</w:t>
                </w:r>
              </w:p>
            </w:txbxContent>
          </v:textbox>
          <w10:wrap type="none"/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9.360016pt;margin-top:730.295715pt;width:16.2pt;height:13.05pt;mso-position-horizontal-relative:page;mso-position-vertical-relative:page;z-index:-21511680" type="#_x0000_t202" id="docshape164" filled="false" stroked="false">
          <v:textbox inset="0,0,0,0">
            <w:txbxContent>
              <w:p>
                <w:pPr>
                  <w:spacing w:line="244" w:lineRule="exact" w:before="0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sz w:val="22"/>
                  </w:rPr>
                  <w:t>4</w:t>
                </w: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9.360016pt;margin-top:730.295715pt;width:13.2pt;height:13.05pt;mso-position-horizontal-relative:page;mso-position-vertical-relative:page;z-index:-21511168" type="#_x0000_t202" id="docshape165" filled="false" stroked="false">
          <v:textbox inset="0,0,0,0">
            <w:txbxContent>
              <w:p>
                <w:pPr>
                  <w:spacing w:line="244" w:lineRule="exact" w:before="0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sz w:val="22"/>
                  </w:rPr>
                  <w:t>50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01.279999pt;margin-top:730.295715pt;width:9.550pt;height:13.05pt;mso-position-horizontal-relative:page;mso-position-vertical-relative:page;z-index:-21523456" type="#_x0000_t202" id="docshape3" filled="false" stroked="false">
          <v:textbox inset="0,0,0,0">
            <w:txbxContent>
              <w:p>
                <w:pPr>
                  <w:spacing w:line="244" w:lineRule="exact" w:before="0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sz w:val="22"/>
                  </w:rPr>
                  <w:t>iv</w:t>
                </w:r>
              </w:p>
            </w:txbxContent>
          </v:textbox>
          <w10:wrap type="none"/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9.360016pt;margin-top:730.295715pt;width:16.2pt;height:13.05pt;mso-position-horizontal-relative:page;mso-position-vertical-relative:page;z-index:-21510656" type="#_x0000_t202" id="docshape166" filled="false" stroked="false">
          <v:textbox inset="0,0,0,0">
            <w:txbxContent>
              <w:p>
                <w:pPr>
                  <w:spacing w:line="244" w:lineRule="exact" w:before="0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sz w:val="22"/>
                  </w:rPr>
                  <w:t>5</w:t>
                </w: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9.360016pt;margin-top:730.295715pt;width:13.2pt;height:13.05pt;mso-position-horizontal-relative:page;mso-position-vertical-relative:page;z-index:-21510144" type="#_x0000_t202" id="docshape167" filled="false" stroked="false">
          <v:textbox inset="0,0,0,0">
            <w:txbxContent>
              <w:p>
                <w:pPr>
                  <w:spacing w:line="244" w:lineRule="exact" w:before="0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sz w:val="22"/>
                  </w:rPr>
                  <w:t>60</w:t>
                </w:r>
              </w:p>
            </w:txbxContent>
          </v:textbox>
          <w10:wrap type="none"/>
        </v:shape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9.360016pt;margin-top:730.295715pt;width:16.2pt;height:13.05pt;mso-position-horizontal-relative:page;mso-position-vertical-relative:page;z-index:-21509632" type="#_x0000_t202" id="docshape168" filled="false" stroked="false">
          <v:textbox inset="0,0,0,0">
            <w:txbxContent>
              <w:p>
                <w:pPr>
                  <w:spacing w:line="244" w:lineRule="exact" w:before="0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sz w:val="22"/>
                  </w:rPr>
                  <w:t>6</w:t>
                </w: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9.360016pt;margin-top:730.295715pt;width:13.2pt;height:13.05pt;mso-position-horizontal-relative:page;mso-position-vertical-relative:page;z-index:-21509120" type="#_x0000_t202" id="docshape169" filled="false" stroked="false">
          <v:textbox inset="0,0,0,0">
            <w:txbxContent>
              <w:p>
                <w:pPr>
                  <w:spacing w:line="244" w:lineRule="exact" w:before="0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sz w:val="22"/>
                  </w:rPr>
                  <w:t>70</w:t>
                </w:r>
              </w:p>
            </w:txbxContent>
          </v:textbox>
          <w10:wrap type="none"/>
        </v:shape>
      </w:pic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9.360016pt;margin-top:730.295715pt;width:16.2pt;height:13.05pt;mso-position-horizontal-relative:page;mso-position-vertical-relative:page;z-index:-21508608" type="#_x0000_t202" id="docshape170" filled="false" stroked="false">
          <v:textbox inset="0,0,0,0">
            <w:txbxContent>
              <w:p>
                <w:pPr>
                  <w:spacing w:line="244" w:lineRule="exact" w:before="0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sz w:val="22"/>
                  </w:rPr>
                  <w:t>7</w:t>
                </w: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9.360016pt;margin-top:730.295715pt;width:13.2pt;height:13.05pt;mso-position-horizontal-relative:page;mso-position-vertical-relative:page;z-index:-21508096" type="#_x0000_t202" id="docshape171" filled="false" stroked="false">
          <v:textbox inset="0,0,0,0">
            <w:txbxContent>
              <w:p>
                <w:pPr>
                  <w:spacing w:line="244" w:lineRule="exact" w:before="0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sz w:val="22"/>
                  </w:rPr>
                  <w:t>80</w:t>
                </w:r>
              </w:p>
            </w:txbxContent>
          </v:textbox>
          <w10:wrap type="none"/>
        </v:shape>
      </w:pict>
    </w: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9.360016pt;margin-top:730.295715pt;width:16.2pt;height:13.05pt;mso-position-horizontal-relative:page;mso-position-vertical-relative:page;z-index:-21507584" type="#_x0000_t202" id="docshape172" filled="false" stroked="false">
          <v:textbox inset="0,0,0,0">
            <w:txbxContent>
              <w:p>
                <w:pPr>
                  <w:spacing w:line="244" w:lineRule="exact" w:before="0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sz w:val="22"/>
                  </w:rPr>
                  <w:t>8</w:t>
                </w: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9.360016pt;margin-top:730.295715pt;width:13.2pt;height:13.05pt;mso-position-horizontal-relative:page;mso-position-vertical-relative:page;z-index:-21507072" type="#_x0000_t202" id="docshape173" filled="false" stroked="false">
          <v:textbox inset="0,0,0,0">
            <w:txbxContent>
              <w:p>
                <w:pPr>
                  <w:spacing w:line="244" w:lineRule="exact" w:before="0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sz w:val="22"/>
                  </w:rPr>
                  <w:t>90</w:t>
                </w:r>
              </w:p>
            </w:txbxContent>
          </v:textbox>
          <w10:wrap type="none"/>
        </v:shape>
      </w:pict>
    </w: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14"/>
      </w:rPr>
    </w:pPr>
    <w:r>
      <w:rPr/>
      <w:pict>
        <v:shape style="position:absolute;margin-left:299.360016pt;margin-top:730.295715pt;width:16.2pt;height:13.05pt;mso-position-horizontal-relative:page;mso-position-vertical-relative:page;z-index:-21506560" type="#_x0000_t202" id="docshape174" filled="false" stroked="false">
          <v:textbox inset="0,0,0,0">
            <w:txbxContent>
              <w:p>
                <w:pPr>
                  <w:spacing w:line="244" w:lineRule="exact" w:before="0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sz w:val="22"/>
                  </w:rPr>
                  <w:t>9</w:t>
                </w: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6.600006pt;margin-top:730.295715pt;width:18.7pt;height:13.05pt;mso-position-horizontal-relative:page;mso-position-vertical-relative:page;z-index:-21506048" type="#_x0000_t202" id="docshape175" filled="false" stroked="false">
          <v:textbox inset="0,0,0,0">
            <w:txbxContent>
              <w:p>
                <w:pPr>
                  <w:spacing w:line="244" w:lineRule="exact" w:before="0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sz w:val="22"/>
                  </w:rPr>
                  <w:t>100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02.480011pt;margin-top:730.295715pt;width:7pt;height:13.05pt;mso-position-horizontal-relative:page;mso-position-vertical-relative:page;z-index:-21522944" type="#_x0000_t202" id="docshape4" filled="false" stroked="false">
          <v:textbox inset="0,0,0,0">
            <w:txbxContent>
              <w:p>
                <w:pPr>
                  <w:spacing w:line="244" w:lineRule="exact" w:before="0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w w:val="100"/>
                    <w:sz w:val="22"/>
                  </w:rPr>
                  <w:t>v</w:t>
                </w:r>
              </w:p>
            </w:txbxContent>
          </v:textbox>
          <w10:wrap type="none"/>
        </v:shape>
      </w:pict>
    </w: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6.600006pt;margin-top:730.295715pt;width:18.7pt;height:13.05pt;mso-position-horizontal-relative:page;mso-position-vertical-relative:page;z-index:-21505536" type="#_x0000_t202" id="docshape176" filled="false" stroked="false">
          <v:textbox inset="0,0,0,0">
            <w:txbxContent>
              <w:p>
                <w:pPr>
                  <w:spacing w:line="244" w:lineRule="exact" w:before="0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sz w:val="22"/>
                  </w:rPr>
                  <w:t>101</w:t>
                </w:r>
              </w:p>
            </w:txbxContent>
          </v:textbox>
          <w10:wrap type="none"/>
        </v:shape>
      </w:pict>
    </w: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6.600006pt;margin-top:730.295715pt;width:18.7pt;height:13.05pt;mso-position-horizontal-relative:page;mso-position-vertical-relative:page;z-index:-21505024" type="#_x0000_t202" id="docshape177" filled="false" stroked="false">
          <v:textbox inset="0,0,0,0">
            <w:txbxContent>
              <w:p>
                <w:pPr>
                  <w:spacing w:line="244" w:lineRule="exact" w:before="0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sz w:val="22"/>
                  </w:rPr>
                  <w:t>102</w:t>
                </w:r>
              </w:p>
            </w:txbxContent>
          </v:textbox>
          <w10:wrap type="none"/>
        </v:shape>
      </w:pict>
    </w: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6.600006pt;margin-top:730.295715pt;width:18.7pt;height:13.05pt;mso-position-horizontal-relative:page;mso-position-vertical-relative:page;z-index:-21504512" type="#_x0000_t202" id="docshape178" filled="false" stroked="false">
          <v:textbox inset="0,0,0,0">
            <w:txbxContent>
              <w:p>
                <w:pPr>
                  <w:spacing w:line="244" w:lineRule="exact" w:before="0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sz w:val="22"/>
                  </w:rPr>
                  <w:t>103</w:t>
                </w:r>
              </w:p>
            </w:txbxContent>
          </v:textbox>
          <w10:wrap type="none"/>
        </v:shape>
      </w:pict>
    </w: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6.600006pt;margin-top:730.295715pt;width:18.7pt;height:13.05pt;mso-position-horizontal-relative:page;mso-position-vertical-relative:page;z-index:-21504000" type="#_x0000_t202" id="docshape179" filled="false" stroked="false">
          <v:textbox inset="0,0,0,0">
            <w:txbxContent>
              <w:p>
                <w:pPr>
                  <w:spacing w:line="244" w:lineRule="exact" w:before="0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sz w:val="22"/>
                  </w:rPr>
                  <w:t>104</w:t>
                </w:r>
              </w:p>
            </w:txbxContent>
          </v:textbox>
          <w10:wrap type="none"/>
        </v:shape>
      </w:pict>
    </w: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6.600006pt;margin-top:730.295715pt;width:18.7pt;height:13.05pt;mso-position-horizontal-relative:page;mso-position-vertical-relative:page;z-index:-21503488" type="#_x0000_t202" id="docshape180" filled="false" stroked="false">
          <v:textbox inset="0,0,0,0">
            <w:txbxContent>
              <w:p>
                <w:pPr>
                  <w:spacing w:line="244" w:lineRule="exact" w:before="0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sz w:val="22"/>
                  </w:rPr>
                  <w:t>105</w:t>
                </w:r>
              </w:p>
            </w:txbxContent>
          </v:textbox>
          <w10:wrap type="none"/>
        </v:shape>
      </w:pict>
    </w:r>
  </w:p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6.600006pt;margin-top:730.295715pt;width:18.7pt;height:13.05pt;mso-position-horizontal-relative:page;mso-position-vertical-relative:page;z-index:-21502976" type="#_x0000_t202" id="docshape181" filled="false" stroked="false">
          <v:textbox inset="0,0,0,0">
            <w:txbxContent>
              <w:p>
                <w:pPr>
                  <w:spacing w:line="244" w:lineRule="exact" w:before="0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sz w:val="22"/>
                  </w:rPr>
                  <w:t>106</w:t>
                </w:r>
              </w:p>
            </w:txbxContent>
          </v:textbox>
          <w10:wrap type="none"/>
        </v:shape>
      </w:pict>
    </w:r>
  </w:p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6.600006pt;margin-top:730.295715pt;width:18.7pt;height:13.05pt;mso-position-horizontal-relative:page;mso-position-vertical-relative:page;z-index:-21502464" type="#_x0000_t202" id="docshape182" filled="false" stroked="false">
          <v:textbox inset="0,0,0,0">
            <w:txbxContent>
              <w:p>
                <w:pPr>
                  <w:spacing w:line="244" w:lineRule="exact" w:before="0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sz w:val="22"/>
                  </w:rPr>
                  <w:t>107</w:t>
                </w:r>
              </w:p>
            </w:txbxContent>
          </v:textbox>
          <w10:wrap type="none"/>
        </v:shape>
      </w:pict>
    </w:r>
  </w:p>
</w:ftr>
</file>

<file path=word/footer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6.600006pt;margin-top:730.295715pt;width:18.7pt;height:13.05pt;mso-position-horizontal-relative:page;mso-position-vertical-relative:page;z-index:-21501952" type="#_x0000_t202" id="docshape183" filled="false" stroked="false">
          <v:textbox inset="0,0,0,0">
            <w:txbxContent>
              <w:p>
                <w:pPr>
                  <w:spacing w:line="244" w:lineRule="exact" w:before="0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sz w:val="22"/>
                  </w:rPr>
                  <w:t>108</w:t>
                </w:r>
              </w:p>
            </w:txbxContent>
          </v:textbox>
          <w10:wrap type="none"/>
        </v:shape>
      </w:pict>
    </w:r>
  </w:p>
</w:ftr>
</file>

<file path=word/footer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6.600006pt;margin-top:730.295715pt;width:18.7pt;height:13.05pt;mso-position-horizontal-relative:page;mso-position-vertical-relative:page;z-index:-21501440" type="#_x0000_t202" id="docshape184" filled="false" stroked="false">
          <v:textbox inset="0,0,0,0">
            <w:txbxContent>
              <w:p>
                <w:pPr>
                  <w:spacing w:line="244" w:lineRule="exact" w:before="0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sz w:val="22"/>
                  </w:rPr>
                  <w:t>109</w:t>
                </w:r>
              </w:p>
            </w:txbxContent>
          </v:textbox>
          <w10:wrap type="none"/>
        </v:shape>
      </w:pict>
    </w:r>
  </w:p>
</w:ftr>
</file>

<file path=word/footer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6.600006pt;margin-top:730.295715pt;width:21.7pt;height:13.05pt;mso-position-horizontal-relative:page;mso-position-vertical-relative:page;z-index:-21500928" type="#_x0000_t202" id="docshape185" filled="false" stroked="false">
          <v:textbox inset="0,0,0,0">
            <w:txbxContent>
              <w:p>
                <w:pPr>
                  <w:spacing w:line="244" w:lineRule="exact" w:before="0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sz w:val="22"/>
                  </w:rPr>
                  <w:t>1</w:t>
                </w: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01.279999pt;margin-top:730.295715pt;width:9.6pt;height:13.05pt;mso-position-horizontal-relative:page;mso-position-vertical-relative:page;z-index:-21522432" type="#_x0000_t202" id="docshape5" filled="false" stroked="false">
          <v:textbox inset="0,0,0,0">
            <w:txbxContent>
              <w:p>
                <w:pPr>
                  <w:spacing w:line="244" w:lineRule="exact" w:before="0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sz w:val="22"/>
                  </w:rPr>
                  <w:t>vi</w:t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9.959991pt;margin-top:730.295715pt;width:15.15pt;height:13.05pt;mso-position-horizontal-relative:page;mso-position-vertical-relative:page;z-index:-21521920" type="#_x0000_t202" id="docshape61" filled="false" stroked="false">
          <v:textbox inset="0,0,0,0">
            <w:txbxContent>
              <w:p>
                <w:pPr>
                  <w:spacing w:line="244" w:lineRule="exact" w:before="0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sz w:val="22"/>
                  </w:rPr>
                  <w:t>vi</w:t>
                </w:r>
                <w:r>
                  <w:rPr/>
                  <w:fldChar w:fldCharType="begin"/>
                </w:r>
                <w:r>
                  <w:rPr>
                    <w:sz w:val="22"/>
                  </w:rPr>
                  <w:instrText> PAGE  \* roman </w:instrText>
                </w:r>
                <w:r>
                  <w:rPr/>
                  <w:fldChar w:fldCharType="separate"/>
                </w:r>
                <w:r>
                  <w:rPr/>
                  <w:t>i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71.279999pt;margin-top:701.76001pt;width:1.679999pt;height:.960022pt;mso-position-horizontal-relative:page;mso-position-vertical-relative:page;z-index:-21521408" id="docshape65" filled="true" fillcolor="#000000" stroked="false">
          <v:fill type="solid"/>
          <w10:wrap type="none"/>
        </v:rect>
      </w:pict>
    </w:r>
    <w:r>
      <w:rPr/>
      <w:pict>
        <v:line style="position:absolute;mso-position-horizontal-relative:page;mso-position-vertical-relative:page;z-index:-21520896" from="76.800003pt,702.240051pt" to="533.76001pt,702.240051pt" stroked="true" strokeweight=".960022pt" strokecolor="#000000">
          <v:stroke dashstyle="dash"/>
          <w10:wrap type="none"/>
        </v:line>
      </w:pict>
    </w:r>
    <w:r>
      <w:rPr/>
      <w:pict>
        <v:rect style="position:absolute;margin-left:537.600037pt;margin-top:701.76001pt;width:1.919998pt;height:.960022pt;mso-position-horizontal-relative:page;mso-position-vertical-relative:page;z-index:-21520384" id="docshape66" filled="true" fillcolor="#000000" stroked="false">
          <v:fill type="solid"/>
          <w10:wrap type="none"/>
        </v:rect>
      </w:pict>
    </w:r>
    <w:r>
      <w:rPr/>
      <w:pict>
        <v:shape style="position:absolute;margin-left:298.639984pt;margin-top:730.295715pt;width:14.6pt;height:13.05pt;mso-position-horizontal-relative:page;mso-position-vertical-relative:page;z-index:-21519872" type="#_x0000_t202" id="docshape67" filled="false" stroked="false">
          <v:textbox inset="0,0,0,0">
            <w:txbxContent>
              <w:p>
                <w:pPr>
                  <w:spacing w:line="244" w:lineRule="exact" w:before="0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sz w:val="22"/>
                  </w:rPr>
                  <w:t>viii</w:t>
                </w:r>
              </w:p>
            </w:txbxContent>
          </v:textbox>
          <w10:wrap type="non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71.279999pt;margin-top:700.080017pt;width:1.679999pt;height:.959977pt;mso-position-horizontal-relative:page;mso-position-vertical-relative:page;z-index:-21519360" id="docshape94" filled="true" fillcolor="#000000" stroked="false">
          <v:fill type="solid"/>
          <w10:wrap type="none"/>
        </v:rect>
      </w:pict>
    </w:r>
    <w:r>
      <w:rPr/>
      <w:pict>
        <v:line style="position:absolute;mso-position-horizontal-relative:page;mso-position-vertical-relative:page;z-index:-21518848" from="76.800003pt,700.559998pt" to="533.76001pt,700.559998pt" stroked="true" strokeweight=".959977pt" strokecolor="#000000">
          <v:stroke dashstyle="dash"/>
          <w10:wrap type="none"/>
        </v:line>
      </w:pict>
    </w:r>
    <w:r>
      <w:rPr/>
      <w:pict>
        <v:rect style="position:absolute;margin-left:537.600037pt;margin-top:700.080017pt;width:1.919998pt;height:.959977pt;mso-position-horizontal-relative:page;mso-position-vertical-relative:page;z-index:-21518336" id="docshape95" filled="true" fillcolor="#000000" stroked="false">
          <v:fill type="solid"/>
          <w10:wrap type="none"/>
        </v:rect>
      </w:pict>
    </w:r>
    <w:r>
      <w:rPr/>
      <w:pict>
        <v:rect style="position:absolute;margin-left:72pt;margin-top:649.799988pt;width:.959999pt;height:.959977pt;mso-position-horizontal-relative:page;mso-position-vertical-relative:page;z-index:-21517824" id="docshape96" filled="true" fillcolor="#000000" stroked="false">
          <v:fill type="solid"/>
          <w10:wrap type="none"/>
        </v:rect>
      </w:pict>
    </w:r>
    <w:r>
      <w:rPr/>
      <w:pict>
        <v:shape style="position:absolute;margin-left:301.279999pt;margin-top:730.295715pt;width:9.35pt;height:13.05pt;mso-position-horizontal-relative:page;mso-position-vertical-relative:page;z-index:-21517312" type="#_x0000_t202" id="docshape97" filled="false" stroked="false">
          <v:textbox inset="0,0,0,0">
            <w:txbxContent>
              <w:p>
                <w:pPr>
                  <w:spacing w:line="244" w:lineRule="exact" w:before="0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sz w:val="22"/>
                  </w:rPr>
                  <w:t>ix</w:t>
                </w:r>
              </w:p>
            </w:txbxContent>
          </v:textbox>
          <w10:wrap type="non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02.600006pt;margin-top:730.295715pt;width:6.8pt;height:13.05pt;mso-position-horizontal-relative:page;mso-position-vertical-relative:page;z-index:-21516800" type="#_x0000_t202" id="docshape117" filled="false" stroked="false">
          <v:textbox inset="0,0,0,0">
            <w:txbxContent>
              <w:p>
                <w:pPr>
                  <w:spacing w:line="244" w:lineRule="exact" w:before="0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w w:val="100"/>
                    <w:sz w:val="22"/>
                  </w:rPr>
                  <w:t>x</w:t>
                </w:r>
              </w:p>
            </w:txbxContent>
          </v:textbox>
          <w10:wrap type="non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00.079987pt;margin-top:730.295715pt;width:14.85pt;height:13.05pt;mso-position-horizontal-relative:page;mso-position-vertical-relative:page;z-index:-21516288" type="#_x0000_t202" id="docshape139" filled="false" stroked="false">
          <v:textbox inset="0,0,0,0">
            <w:txbxContent>
              <w:p>
                <w:pPr>
                  <w:spacing w:line="244" w:lineRule="exact" w:before="0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sz w:val="22"/>
                  </w:rPr>
                  <w:t>x</w:t>
                </w:r>
                <w:r>
                  <w:rPr/>
                  <w:fldChar w:fldCharType="begin"/>
                </w:r>
                <w:r>
                  <w:rPr>
                    <w:sz w:val="22"/>
                  </w:rPr>
                  <w:instrText> PAGE  \* roman </w:instrText>
                </w:r>
                <w:r>
                  <w:rPr/>
                  <w:fldChar w:fldCharType="separate"/>
                </w:r>
                <w:r>
                  <w:rPr/>
                  <w:t>ii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1"/>
      <w:numFmt w:val="decimal"/>
      <w:lvlText w:val="%1."/>
      <w:lvlJc w:val="left"/>
      <w:pPr>
        <w:ind w:left="840" w:hanging="36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w w:val="99"/>
        <w:sz w:val="24"/>
        <w:szCs w:val="24"/>
      </w:rPr>
    </w:lvl>
    <w:lvl w:ilvl="1">
      <w:start w:val="0"/>
      <w:numFmt w:val="bullet"/>
      <w:lvlText w:val="•"/>
      <w:lvlJc w:val="left"/>
      <w:pPr>
        <w:ind w:left="1766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92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618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544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470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396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322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248" w:hanging="360"/>
      </w:pPr>
      <w:rPr>
        <w:rFonts w:hint="default"/>
      </w:rPr>
    </w:lvl>
  </w:abstractNum>
  <w:abstractNum w:abstractNumId="5">
    <w:multiLevelType w:val="hybridMultilevel"/>
    <w:lvl w:ilvl="0">
      <w:start w:val="4"/>
      <w:numFmt w:val="decimal"/>
      <w:lvlText w:val="%1"/>
      <w:lvlJc w:val="left"/>
      <w:pPr>
        <w:ind w:left="477" w:hanging="358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77" w:hanging="358"/>
        <w:jc w:val="left"/>
      </w:pPr>
      <w:rPr>
        <w:rFonts w:hint="default"/>
        <w:w w:val="99"/>
      </w:rPr>
    </w:lvl>
    <w:lvl w:ilvl="2">
      <w:start w:val="0"/>
      <w:numFmt w:val="bullet"/>
      <w:lvlText w:val="•"/>
      <w:lvlJc w:val="left"/>
      <w:pPr>
        <w:ind w:left="2404" w:hanging="35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366" w:hanging="35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328" w:hanging="35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290" w:hanging="35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252" w:hanging="35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214" w:hanging="35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176" w:hanging="358"/>
      </w:pPr>
      <w:rPr>
        <w:rFonts w:hint="default"/>
      </w:rPr>
    </w:lvl>
  </w:abstractNum>
  <w:abstractNum w:abstractNumId="4">
    <w:multiLevelType w:val="hybridMultilevel"/>
    <w:lvl w:ilvl="0">
      <w:start w:val="2"/>
      <w:numFmt w:val="decimal"/>
      <w:lvlText w:val="%1."/>
      <w:lvlJc w:val="left"/>
      <w:pPr>
        <w:ind w:left="362" w:hanging="243"/>
        <w:jc w:val="left"/>
      </w:pPr>
      <w:rPr>
        <w:rFonts w:hint="default" w:ascii="Calibri" w:hAnsi="Calibri" w:eastAsia="Calibri" w:cs="Calibri"/>
        <w:b/>
        <w:bCs/>
        <w:i w:val="0"/>
        <w:iCs w:val="0"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left="477" w:hanging="358"/>
        <w:jc w:val="left"/>
      </w:pPr>
      <w:rPr>
        <w:rFonts w:hint="default" w:ascii="Calibri" w:hAnsi="Calibri" w:eastAsia="Calibri" w:cs="Calibri"/>
        <w:b w:val="0"/>
        <w:bCs w:val="0"/>
        <w:i/>
        <w:iCs/>
        <w:w w:val="99"/>
        <w:sz w:val="24"/>
        <w:szCs w:val="24"/>
      </w:rPr>
    </w:lvl>
    <w:lvl w:ilvl="2">
      <w:start w:val="1"/>
      <w:numFmt w:val="decimal"/>
      <w:lvlText w:val="%1.%2.%3"/>
      <w:lvlJc w:val="left"/>
      <w:pPr>
        <w:ind w:left="662" w:hanging="543"/>
        <w:jc w:val="left"/>
      </w:pPr>
      <w:rPr>
        <w:rFonts w:hint="default" w:ascii="Calibri" w:hAnsi="Calibri" w:eastAsia="Calibri" w:cs="Calibri"/>
        <w:b w:val="0"/>
        <w:bCs w:val="0"/>
        <w:i/>
        <w:iCs/>
        <w:w w:val="99"/>
        <w:sz w:val="24"/>
        <w:szCs w:val="24"/>
      </w:rPr>
    </w:lvl>
    <w:lvl w:ilvl="3">
      <w:start w:val="0"/>
      <w:numFmt w:val="bullet"/>
      <w:lvlText w:val="•"/>
      <w:lvlJc w:val="left"/>
      <w:pPr>
        <w:ind w:left="1840" w:hanging="54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020" w:hanging="54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200" w:hanging="54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380" w:hanging="54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60" w:hanging="54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740" w:hanging="543"/>
      </w:pPr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lvlText w:val="%1"/>
      <w:lvlJc w:val="left"/>
      <w:pPr>
        <w:ind w:left="477" w:hanging="358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77" w:hanging="358"/>
        <w:jc w:val="left"/>
      </w:pPr>
      <w:rPr>
        <w:rFonts w:hint="default" w:ascii="Calibri" w:hAnsi="Calibri" w:eastAsia="Calibri" w:cs="Calibri"/>
        <w:b w:val="0"/>
        <w:bCs w:val="0"/>
        <w:i/>
        <w:iCs/>
        <w:w w:val="99"/>
        <w:sz w:val="24"/>
        <w:szCs w:val="24"/>
      </w:rPr>
    </w:lvl>
    <w:lvl w:ilvl="2">
      <w:start w:val="1"/>
      <w:numFmt w:val="decimal"/>
      <w:lvlText w:val="%3."/>
      <w:lvlJc w:val="left"/>
      <w:pPr>
        <w:ind w:left="840" w:hanging="36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w w:val="99"/>
        <w:sz w:val="24"/>
        <w:szCs w:val="24"/>
      </w:rPr>
    </w:lvl>
    <w:lvl w:ilvl="3">
      <w:start w:val="0"/>
      <w:numFmt w:val="bullet"/>
      <w:lvlText w:val="•"/>
      <w:lvlJc w:val="left"/>
      <w:pPr>
        <w:ind w:left="2897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26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55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984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013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042" w:hanging="360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362" w:hanging="243"/>
        <w:jc w:val="left"/>
      </w:pPr>
      <w:rPr>
        <w:rFonts w:hint="default" w:ascii="Calibri" w:hAnsi="Calibri" w:eastAsia="Calibri" w:cs="Calibri"/>
        <w:b/>
        <w:bCs/>
        <w:i w:val="0"/>
        <w:iCs w:val="0"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left="477" w:hanging="358"/>
        <w:jc w:val="left"/>
      </w:pPr>
      <w:rPr>
        <w:rFonts w:hint="default" w:ascii="Calibri" w:hAnsi="Calibri" w:eastAsia="Calibri" w:cs="Calibri"/>
        <w:b w:val="0"/>
        <w:bCs w:val="0"/>
        <w:i/>
        <w:iCs/>
        <w:w w:val="99"/>
        <w:sz w:val="24"/>
        <w:szCs w:val="24"/>
      </w:rPr>
    </w:lvl>
    <w:lvl w:ilvl="2">
      <w:start w:val="0"/>
      <w:numFmt w:val="bullet"/>
      <w:lvlText w:val="•"/>
      <w:lvlJc w:val="left"/>
      <w:pPr>
        <w:ind w:left="1548" w:hanging="35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617" w:hanging="35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686" w:hanging="35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55" w:hanging="35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24" w:hanging="35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893" w:hanging="35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962" w:hanging="358"/>
      </w:pPr>
      <w:rPr>
        <w:rFonts w:hint="default"/>
      </w:rPr>
    </w:lvl>
  </w:abstractNum>
  <w:abstractNum w:abstractNumId="1">
    <w:multiLevelType w:val="hybridMultilevel"/>
    <w:lvl w:ilvl="0">
      <w:start w:val="2"/>
      <w:numFmt w:val="decimal"/>
      <w:lvlText w:val="%1."/>
      <w:lvlJc w:val="left"/>
      <w:pPr>
        <w:ind w:left="1184" w:hanging="237"/>
        <w:jc w:val="left"/>
      </w:pPr>
      <w:rPr>
        <w:rFonts w:hint="default" w:ascii="Calibri" w:hAnsi="Calibri" w:eastAsia="Calibri" w:cs="Calibri"/>
        <w:b w:val="0"/>
        <w:bCs w:val="0"/>
        <w:i/>
        <w:iCs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left="2025" w:hanging="358"/>
        <w:jc w:val="left"/>
      </w:pPr>
      <w:rPr>
        <w:rFonts w:hint="default" w:ascii="Calibri" w:hAnsi="Calibri" w:eastAsia="Calibri" w:cs="Calibri"/>
        <w:b w:val="0"/>
        <w:bCs w:val="0"/>
        <w:i/>
        <w:iCs/>
        <w:w w:val="99"/>
        <w:sz w:val="24"/>
        <w:szCs w:val="24"/>
      </w:rPr>
    </w:lvl>
    <w:lvl w:ilvl="2">
      <w:start w:val="1"/>
      <w:numFmt w:val="decimal"/>
      <w:lvlText w:val="%1.%2.%3"/>
      <w:lvlJc w:val="left"/>
      <w:pPr>
        <w:ind w:left="2930" w:hanging="543"/>
        <w:jc w:val="left"/>
      </w:pPr>
      <w:rPr>
        <w:rFonts w:hint="default" w:ascii="Calibri" w:hAnsi="Calibri" w:eastAsia="Calibri" w:cs="Calibri"/>
        <w:b w:val="0"/>
        <w:bCs w:val="0"/>
        <w:i/>
        <w:iCs/>
        <w:w w:val="99"/>
        <w:sz w:val="24"/>
        <w:szCs w:val="24"/>
      </w:rPr>
    </w:lvl>
    <w:lvl w:ilvl="3">
      <w:start w:val="0"/>
      <w:numFmt w:val="bullet"/>
      <w:lvlText w:val="•"/>
      <w:lvlJc w:val="left"/>
      <w:pPr>
        <w:ind w:left="3835" w:hanging="54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730" w:hanging="54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625" w:hanging="54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520" w:hanging="54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415" w:hanging="54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310" w:hanging="543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2025" w:hanging="35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25" w:hanging="358"/>
        <w:jc w:val="left"/>
      </w:pPr>
      <w:rPr>
        <w:rFonts w:hint="default" w:ascii="Calibri" w:hAnsi="Calibri" w:eastAsia="Calibri" w:cs="Calibri"/>
        <w:b w:val="0"/>
        <w:bCs w:val="0"/>
        <w:i/>
        <w:iCs/>
        <w:w w:val="99"/>
        <w:sz w:val="24"/>
        <w:szCs w:val="24"/>
      </w:rPr>
    </w:lvl>
    <w:lvl w:ilvl="2">
      <w:start w:val="0"/>
      <w:numFmt w:val="bullet"/>
      <w:lvlText w:val="•"/>
      <w:lvlJc w:val="left"/>
      <w:pPr>
        <w:ind w:left="3636" w:hanging="35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44" w:hanging="35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52" w:hanging="35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060" w:hanging="35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868" w:hanging="35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676" w:hanging="35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484" w:hanging="358"/>
      </w:pPr>
      <w:rPr>
        <w:rFonts w:hint="default"/>
      </w:rPr>
    </w:lvl>
  </w:abstract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</w:rPr>
  </w:style>
  <w:style w:styleId="TOC1" w:type="paragraph">
    <w:name w:val="TOC 1"/>
    <w:basedOn w:val="Normal"/>
    <w:uiPriority w:val="1"/>
    <w:qFormat/>
    <w:pPr>
      <w:spacing w:before="144"/>
      <w:ind w:left="227"/>
    </w:pPr>
    <w:rPr>
      <w:rFonts w:ascii="Calibri" w:hAnsi="Calibri" w:eastAsia="Calibri" w:cs="Calibri"/>
      <w:b/>
      <w:bCs/>
      <w:sz w:val="24"/>
      <w:szCs w:val="24"/>
    </w:rPr>
  </w:style>
  <w:style w:styleId="TOC2" w:type="paragraph">
    <w:name w:val="TOC 2"/>
    <w:basedOn w:val="Normal"/>
    <w:uiPriority w:val="1"/>
    <w:qFormat/>
    <w:pPr>
      <w:spacing w:before="107"/>
      <w:ind w:left="1184" w:hanging="238"/>
    </w:pPr>
    <w:rPr>
      <w:rFonts w:ascii="Calibri" w:hAnsi="Calibri" w:eastAsia="Calibri" w:cs="Calibri"/>
      <w:i/>
      <w:iCs/>
      <w:sz w:val="24"/>
      <w:szCs w:val="24"/>
    </w:rPr>
  </w:style>
  <w:style w:styleId="TOC3" w:type="paragraph">
    <w:name w:val="TOC 3"/>
    <w:basedOn w:val="Normal"/>
    <w:uiPriority w:val="1"/>
    <w:qFormat/>
    <w:pPr>
      <w:spacing w:before="19"/>
      <w:ind w:left="2025" w:hanging="359"/>
    </w:pPr>
    <w:rPr>
      <w:rFonts w:ascii="Calibri" w:hAnsi="Calibri" w:eastAsia="Calibri" w:cs="Calibri"/>
      <w:i/>
      <w:iCs/>
      <w:sz w:val="24"/>
      <w:szCs w:val="24"/>
    </w:rPr>
  </w:style>
  <w:style w:styleId="TOC4" w:type="paragraph">
    <w:name w:val="TOC 4"/>
    <w:basedOn w:val="Normal"/>
    <w:uiPriority w:val="1"/>
    <w:qFormat/>
    <w:pPr>
      <w:spacing w:before="24"/>
      <w:ind w:left="2025" w:hanging="359"/>
    </w:pPr>
    <w:rPr>
      <w:rFonts w:ascii="Calibri" w:hAnsi="Calibri" w:eastAsia="Calibri" w:cs="Calibri"/>
      <w:b/>
      <w:bCs/>
      <w:i/>
      <w:iCs/>
    </w:rPr>
  </w:style>
  <w:style w:styleId="TOC5" w:type="paragraph">
    <w:name w:val="TOC 5"/>
    <w:basedOn w:val="Normal"/>
    <w:uiPriority w:val="1"/>
    <w:qFormat/>
    <w:pPr>
      <w:spacing w:before="19"/>
      <w:ind w:left="2930" w:hanging="544"/>
    </w:pPr>
    <w:rPr>
      <w:rFonts w:ascii="Calibri" w:hAnsi="Calibri" w:eastAsia="Calibri" w:cs="Calibri"/>
      <w:i/>
      <w:iCs/>
      <w:sz w:val="24"/>
      <w:szCs w:val="24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</w:rPr>
  </w:style>
  <w:style w:styleId="Heading1" w:type="paragraph">
    <w:name w:val="Heading 1"/>
    <w:basedOn w:val="Normal"/>
    <w:uiPriority w:val="1"/>
    <w:qFormat/>
    <w:pPr>
      <w:spacing w:before="39"/>
      <w:ind w:left="3008" w:right="3505"/>
      <w:jc w:val="center"/>
      <w:outlineLvl w:val="1"/>
    </w:pPr>
    <w:rPr>
      <w:rFonts w:ascii="Calibri" w:hAnsi="Calibri" w:eastAsia="Calibri" w:cs="Calibri"/>
      <w:b/>
      <w:bCs/>
      <w:sz w:val="24"/>
      <w:szCs w:val="24"/>
    </w:rPr>
  </w:style>
  <w:style w:styleId="Heading2" w:type="paragraph">
    <w:name w:val="Heading 2"/>
    <w:basedOn w:val="Normal"/>
    <w:uiPriority w:val="1"/>
    <w:qFormat/>
    <w:pPr>
      <w:spacing w:before="209"/>
      <w:ind w:left="362" w:hanging="243"/>
      <w:outlineLvl w:val="2"/>
    </w:pPr>
    <w:rPr>
      <w:rFonts w:ascii="Calibri" w:hAnsi="Calibri" w:eastAsia="Calibri" w:cs="Calibri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>
      <w:spacing w:before="39"/>
      <w:ind w:left="477" w:hanging="358"/>
    </w:pPr>
    <w:rPr>
      <w:rFonts w:ascii="Calibri" w:hAnsi="Calibri" w:eastAsia="Calibri" w:cs="Calibri"/>
    </w:rPr>
  </w:style>
  <w:style w:styleId="TableParagraph" w:type="paragraph">
    <w:name w:val="Table Paragraph"/>
    <w:basedOn w:val="Normal"/>
    <w:uiPriority w:val="1"/>
    <w:qFormat/>
    <w:pPr>
      <w:spacing w:line="174" w:lineRule="exact"/>
      <w:ind w:left="88"/>
      <w:jc w:val="center"/>
    </w:pPr>
    <w:rPr>
      <w:rFonts w:ascii="Calibri" w:hAnsi="Calibri" w:eastAsia="Calibri" w:cs="Calibri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oter" Target="footer4.xml"/><Relationship Id="rId9" Type="http://schemas.openxmlformats.org/officeDocument/2006/relationships/footer" Target="footer5.xml"/><Relationship Id="rId10" Type="http://schemas.openxmlformats.org/officeDocument/2006/relationships/footer" Target="footer6.xml"/><Relationship Id="rId11" Type="http://schemas.openxmlformats.org/officeDocument/2006/relationships/footer" Target="footer7.xml"/><Relationship Id="rId12" Type="http://schemas.openxmlformats.org/officeDocument/2006/relationships/footer" Target="footer8.xml"/><Relationship Id="rId13" Type="http://schemas.openxmlformats.org/officeDocument/2006/relationships/footer" Target="footer9.xml"/><Relationship Id="rId14" Type="http://schemas.openxmlformats.org/officeDocument/2006/relationships/footer" Target="footer10.xml"/><Relationship Id="rId15" Type="http://schemas.openxmlformats.org/officeDocument/2006/relationships/image" Target="media/image1.png"/><Relationship Id="rId16" Type="http://schemas.openxmlformats.org/officeDocument/2006/relationships/image" Target="media/image2.png"/><Relationship Id="rId17" Type="http://schemas.openxmlformats.org/officeDocument/2006/relationships/image" Target="media/image3.jpeg"/><Relationship Id="rId18" Type="http://schemas.openxmlformats.org/officeDocument/2006/relationships/image" Target="media/image4.jpeg"/><Relationship Id="rId19" Type="http://schemas.openxmlformats.org/officeDocument/2006/relationships/footer" Target="footer11.xml"/><Relationship Id="rId20" Type="http://schemas.openxmlformats.org/officeDocument/2006/relationships/footer" Target="footer12.xml"/><Relationship Id="rId21" Type="http://schemas.openxmlformats.org/officeDocument/2006/relationships/image" Target="media/image5.jpeg"/><Relationship Id="rId22" Type="http://schemas.openxmlformats.org/officeDocument/2006/relationships/image" Target="media/image6.jpeg"/><Relationship Id="rId23" Type="http://schemas.openxmlformats.org/officeDocument/2006/relationships/image" Target="media/image7.jpeg"/><Relationship Id="rId24" Type="http://schemas.openxmlformats.org/officeDocument/2006/relationships/image" Target="media/image8.jpeg"/><Relationship Id="rId25" Type="http://schemas.openxmlformats.org/officeDocument/2006/relationships/footer" Target="footer13.xml"/><Relationship Id="rId26" Type="http://schemas.openxmlformats.org/officeDocument/2006/relationships/image" Target="media/image9.png"/><Relationship Id="rId27" Type="http://schemas.openxmlformats.org/officeDocument/2006/relationships/footer" Target="footer14.xml"/><Relationship Id="rId28" Type="http://schemas.openxmlformats.org/officeDocument/2006/relationships/image" Target="media/image10.jpeg"/><Relationship Id="rId29" Type="http://schemas.openxmlformats.org/officeDocument/2006/relationships/image" Target="media/image11.jpeg"/><Relationship Id="rId30" Type="http://schemas.openxmlformats.org/officeDocument/2006/relationships/footer" Target="footer15.xml"/><Relationship Id="rId31" Type="http://schemas.openxmlformats.org/officeDocument/2006/relationships/footer" Target="footer16.xml"/><Relationship Id="rId32" Type="http://schemas.openxmlformats.org/officeDocument/2006/relationships/image" Target="media/image12.jpeg"/><Relationship Id="rId33" Type="http://schemas.openxmlformats.org/officeDocument/2006/relationships/image" Target="media/image13.png"/><Relationship Id="rId34" Type="http://schemas.openxmlformats.org/officeDocument/2006/relationships/image" Target="media/image14.jpeg"/><Relationship Id="rId35" Type="http://schemas.openxmlformats.org/officeDocument/2006/relationships/image" Target="media/image15.png"/><Relationship Id="rId36" Type="http://schemas.openxmlformats.org/officeDocument/2006/relationships/image" Target="media/image16.jpeg"/><Relationship Id="rId37" Type="http://schemas.openxmlformats.org/officeDocument/2006/relationships/image" Target="media/image17.jpeg"/><Relationship Id="rId38" Type="http://schemas.openxmlformats.org/officeDocument/2006/relationships/footer" Target="footer17.xml"/><Relationship Id="rId39" Type="http://schemas.openxmlformats.org/officeDocument/2006/relationships/image" Target="media/image18.jpeg"/><Relationship Id="rId40" Type="http://schemas.openxmlformats.org/officeDocument/2006/relationships/footer" Target="footer18.xml"/><Relationship Id="rId41" Type="http://schemas.openxmlformats.org/officeDocument/2006/relationships/image" Target="media/image19.png"/><Relationship Id="rId42" Type="http://schemas.openxmlformats.org/officeDocument/2006/relationships/image" Target="media/image20.png"/><Relationship Id="rId43" Type="http://schemas.openxmlformats.org/officeDocument/2006/relationships/image" Target="media/image21.png"/><Relationship Id="rId44" Type="http://schemas.openxmlformats.org/officeDocument/2006/relationships/image" Target="media/image22.png"/><Relationship Id="rId45" Type="http://schemas.openxmlformats.org/officeDocument/2006/relationships/image" Target="media/image23.jpeg"/><Relationship Id="rId46" Type="http://schemas.openxmlformats.org/officeDocument/2006/relationships/footer" Target="footer19.xml"/><Relationship Id="rId47" Type="http://schemas.openxmlformats.org/officeDocument/2006/relationships/footer" Target="footer20.xml"/><Relationship Id="rId48" Type="http://schemas.openxmlformats.org/officeDocument/2006/relationships/image" Target="media/image24.jpeg"/><Relationship Id="rId49" Type="http://schemas.openxmlformats.org/officeDocument/2006/relationships/image" Target="media/image25.jpeg"/><Relationship Id="rId50" Type="http://schemas.openxmlformats.org/officeDocument/2006/relationships/image" Target="media/image26.png"/><Relationship Id="rId51" Type="http://schemas.openxmlformats.org/officeDocument/2006/relationships/footer" Target="footer21.xml"/><Relationship Id="rId52" Type="http://schemas.openxmlformats.org/officeDocument/2006/relationships/footer" Target="footer22.xml"/><Relationship Id="rId53" Type="http://schemas.openxmlformats.org/officeDocument/2006/relationships/image" Target="media/image27.jpeg"/><Relationship Id="rId54" Type="http://schemas.openxmlformats.org/officeDocument/2006/relationships/image" Target="media/image28.png"/><Relationship Id="rId55" Type="http://schemas.openxmlformats.org/officeDocument/2006/relationships/image" Target="media/image29.jpeg"/><Relationship Id="rId56" Type="http://schemas.openxmlformats.org/officeDocument/2006/relationships/footer" Target="footer23.xml"/><Relationship Id="rId57" Type="http://schemas.openxmlformats.org/officeDocument/2006/relationships/footer" Target="footer24.xml"/><Relationship Id="rId58" Type="http://schemas.openxmlformats.org/officeDocument/2006/relationships/image" Target="media/image30.jpeg"/><Relationship Id="rId59" Type="http://schemas.openxmlformats.org/officeDocument/2006/relationships/image" Target="media/image31.jpeg"/><Relationship Id="rId60" Type="http://schemas.openxmlformats.org/officeDocument/2006/relationships/image" Target="media/image32.jpeg"/><Relationship Id="rId61" Type="http://schemas.openxmlformats.org/officeDocument/2006/relationships/image" Target="media/image33.png"/><Relationship Id="rId62" Type="http://schemas.openxmlformats.org/officeDocument/2006/relationships/footer" Target="footer25.xml"/><Relationship Id="rId63" Type="http://schemas.openxmlformats.org/officeDocument/2006/relationships/footer" Target="footer26.xml"/><Relationship Id="rId64" Type="http://schemas.openxmlformats.org/officeDocument/2006/relationships/footer" Target="footer27.xml"/><Relationship Id="rId65" Type="http://schemas.openxmlformats.org/officeDocument/2006/relationships/footer" Target="footer28.xml"/><Relationship Id="rId66" Type="http://schemas.openxmlformats.org/officeDocument/2006/relationships/image" Target="media/image34.png"/><Relationship Id="rId67" Type="http://schemas.openxmlformats.org/officeDocument/2006/relationships/image" Target="media/image35.jpeg"/><Relationship Id="rId68" Type="http://schemas.openxmlformats.org/officeDocument/2006/relationships/image" Target="media/image36.jpeg"/><Relationship Id="rId69" Type="http://schemas.openxmlformats.org/officeDocument/2006/relationships/footer" Target="footer29.xml"/><Relationship Id="rId70" Type="http://schemas.openxmlformats.org/officeDocument/2006/relationships/image" Target="media/image37.png"/><Relationship Id="rId71" Type="http://schemas.openxmlformats.org/officeDocument/2006/relationships/footer" Target="footer30.xml"/><Relationship Id="rId72" Type="http://schemas.openxmlformats.org/officeDocument/2006/relationships/footer" Target="footer31.xml"/><Relationship Id="rId73" Type="http://schemas.openxmlformats.org/officeDocument/2006/relationships/footer" Target="footer32.xml"/><Relationship Id="rId74" Type="http://schemas.openxmlformats.org/officeDocument/2006/relationships/footer" Target="footer33.xml"/><Relationship Id="rId75" Type="http://schemas.openxmlformats.org/officeDocument/2006/relationships/footer" Target="footer34.xml"/><Relationship Id="rId76" Type="http://schemas.openxmlformats.org/officeDocument/2006/relationships/footer" Target="footer35.xml"/><Relationship Id="rId77" Type="http://schemas.openxmlformats.org/officeDocument/2006/relationships/footer" Target="footer36.xml"/><Relationship Id="rId78" Type="http://schemas.openxmlformats.org/officeDocument/2006/relationships/footer" Target="footer37.xml"/><Relationship Id="rId79" Type="http://schemas.openxmlformats.org/officeDocument/2006/relationships/footer" Target="footer38.xml"/><Relationship Id="rId80" Type="http://schemas.openxmlformats.org/officeDocument/2006/relationships/image" Target="media/image38.png"/><Relationship Id="rId81" Type="http://schemas.openxmlformats.org/officeDocument/2006/relationships/footer" Target="footer39.xml"/><Relationship Id="rId82" Type="http://schemas.openxmlformats.org/officeDocument/2006/relationships/image" Target="media/image39.png"/><Relationship Id="rId83" Type="http://schemas.openxmlformats.org/officeDocument/2006/relationships/image" Target="media/image40.png"/><Relationship Id="rId84" Type="http://schemas.openxmlformats.org/officeDocument/2006/relationships/image" Target="media/image41.png"/><Relationship Id="rId85" Type="http://schemas.openxmlformats.org/officeDocument/2006/relationships/image" Target="media/image42.png"/><Relationship Id="rId86" Type="http://schemas.openxmlformats.org/officeDocument/2006/relationships/image" Target="media/image43.png"/><Relationship Id="rId87" Type="http://schemas.openxmlformats.org/officeDocument/2006/relationships/image" Target="media/image44.png"/><Relationship Id="rId88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2021-08-04T22:32:59Z</dcterms:created>
  <dcterms:modified xsi:type="dcterms:W3CDTF">2021-08-04T22:32:59Z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2021-08-04T00:00:00Z</vt:filetime>
  </property>
</Properties>
</file>